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91FCD">
      <w:pPr>
        <w:jc w:val="left"/>
        <w:rPr>
          <w:rFonts w:hint="eastAsia" w:ascii="仿宋" w:hAnsi="仿宋" w:eastAsia="仿宋" w:cs="仿宋"/>
          <w:b/>
          <w:bCs/>
          <w:color w:val="auto"/>
          <w:sz w:val="32"/>
          <w:szCs w:val="32"/>
          <w:highlight w:val="none"/>
        </w:rPr>
      </w:pPr>
      <w:r>
        <w:rPr>
          <w:rFonts w:hint="eastAsia" w:ascii="仿宋" w:hAnsi="仿宋" w:eastAsia="仿宋" w:cs="仿宋"/>
          <w:sz w:val="28"/>
          <w:szCs w:val="28"/>
          <w:highlight w:val="none"/>
        </w:rPr>
        <w:t>合同编号：</w:t>
      </w:r>
      <w:r>
        <w:rPr>
          <w:rFonts w:hint="eastAsia" w:ascii="仿宋" w:hAnsi="仿宋" w:eastAsia="仿宋" w:cs="仿宋"/>
          <w:color w:val="000000"/>
          <w:sz w:val="28"/>
          <w:szCs w:val="28"/>
          <w:highlight w:val="none"/>
        </w:rPr>
        <w:t>【】</w:t>
      </w:r>
    </w:p>
    <w:p w14:paraId="1432D26C">
      <w:pPr>
        <w:pStyle w:val="8"/>
        <w:rPr>
          <w:rFonts w:hint="eastAsia" w:ascii="仿宋" w:hAnsi="仿宋" w:eastAsia="仿宋" w:cs="仿宋"/>
          <w:b/>
          <w:bCs/>
          <w:color w:val="auto"/>
          <w:sz w:val="32"/>
          <w:szCs w:val="32"/>
          <w:highlight w:val="none"/>
        </w:rPr>
      </w:pPr>
    </w:p>
    <w:p w14:paraId="4D4BAE9E">
      <w:pPr>
        <w:pStyle w:val="9"/>
        <w:ind w:firstLine="640" w:firstLineChars="200"/>
        <w:jc w:val="center"/>
        <w:rPr>
          <w:rFonts w:hint="eastAsia" w:ascii="仿宋" w:hAnsi="仿宋" w:eastAsia="仿宋" w:cs="仿宋"/>
          <w:sz w:val="32"/>
          <w:szCs w:val="32"/>
          <w:lang w:val="en-US" w:eastAsia="zh-CN"/>
        </w:rPr>
      </w:pPr>
    </w:p>
    <w:p w14:paraId="2E16E080">
      <w:pPr>
        <w:pStyle w:val="9"/>
        <w:ind w:firstLine="964" w:firstLineChars="200"/>
        <w:jc w:val="center"/>
        <w:rPr>
          <w:rFonts w:hint="eastAsia" w:ascii="仿宋" w:hAnsi="仿宋" w:eastAsia="仿宋" w:cs="仿宋"/>
          <w:sz w:val="32"/>
          <w:szCs w:val="32"/>
        </w:rPr>
      </w:pPr>
      <w:r>
        <w:rPr>
          <w:rFonts w:hint="eastAsia" w:ascii="仿宋" w:hAnsi="仿宋" w:eastAsia="仿宋" w:cs="仿宋"/>
          <w:b/>
          <w:bCs/>
          <w:sz w:val="48"/>
          <w:szCs w:val="48"/>
          <w:lang w:val="en-US" w:eastAsia="zh-CN"/>
        </w:rPr>
        <w:t>支持社会组织开展公益服务</w:t>
      </w:r>
      <w:r>
        <w:rPr>
          <w:rFonts w:hint="eastAsia" w:ascii="仿宋" w:hAnsi="仿宋" w:eastAsia="仿宋" w:cs="仿宋"/>
          <w:b/>
          <w:bCs/>
          <w:sz w:val="48"/>
          <w:szCs w:val="48"/>
        </w:rPr>
        <w:t>项目</w:t>
      </w:r>
    </w:p>
    <w:p w14:paraId="052BD004">
      <w:pPr>
        <w:pStyle w:val="9"/>
        <w:ind w:firstLine="640" w:firstLineChars="200"/>
        <w:rPr>
          <w:rFonts w:hint="eastAsia" w:ascii="仿宋" w:hAnsi="仿宋" w:eastAsia="仿宋" w:cs="仿宋"/>
          <w:sz w:val="32"/>
          <w:szCs w:val="32"/>
        </w:rPr>
      </w:pPr>
    </w:p>
    <w:p w14:paraId="2AE7350D">
      <w:pPr>
        <w:pStyle w:val="9"/>
        <w:ind w:firstLine="640" w:firstLineChars="200"/>
        <w:rPr>
          <w:rFonts w:hint="eastAsia" w:ascii="仿宋" w:hAnsi="仿宋" w:eastAsia="仿宋" w:cs="仿宋"/>
          <w:sz w:val="32"/>
          <w:szCs w:val="32"/>
        </w:rPr>
      </w:pPr>
    </w:p>
    <w:p w14:paraId="386E0A1F">
      <w:pPr>
        <w:pStyle w:val="5"/>
        <w:jc w:val="center"/>
        <w:rPr>
          <w:rFonts w:hint="eastAsia" w:ascii="仿宋" w:hAnsi="仿宋" w:eastAsia="仿宋" w:cs="仿宋"/>
          <w:sz w:val="32"/>
          <w:szCs w:val="32"/>
        </w:rPr>
      </w:pPr>
      <w:r>
        <w:rPr>
          <w:rFonts w:hint="eastAsia" w:ascii="仿宋" w:hAnsi="仿宋" w:eastAsia="仿宋" w:cs="仿宋"/>
          <w:sz w:val="36"/>
          <w:szCs w:val="36"/>
          <w:lang w:val="en-US" w:eastAsia="zh-CN"/>
        </w:rPr>
        <w:t xml:space="preserve">服  务  </w:t>
      </w:r>
      <w:r>
        <w:rPr>
          <w:rFonts w:hint="eastAsia" w:ascii="仿宋" w:hAnsi="仿宋" w:eastAsia="仿宋" w:cs="仿宋"/>
          <w:sz w:val="36"/>
          <w:szCs w:val="36"/>
        </w:rPr>
        <w:t>合</w:t>
      </w:r>
      <w:r>
        <w:rPr>
          <w:rFonts w:hint="eastAsia" w:ascii="仿宋" w:hAnsi="仿宋" w:eastAsia="仿宋" w:cs="仿宋"/>
          <w:sz w:val="36"/>
          <w:szCs w:val="36"/>
          <w:lang w:val="en-US" w:eastAsia="zh-CN"/>
        </w:rPr>
        <w:t xml:space="preserve">  </w:t>
      </w:r>
      <w:r>
        <w:rPr>
          <w:rFonts w:hint="eastAsia" w:ascii="仿宋" w:hAnsi="仿宋" w:eastAsia="仿宋" w:cs="仿宋"/>
          <w:sz w:val="36"/>
          <w:szCs w:val="36"/>
        </w:rPr>
        <w:t>同</w:t>
      </w:r>
    </w:p>
    <w:p w14:paraId="59A52C7B">
      <w:pPr>
        <w:pStyle w:val="9"/>
        <w:ind w:firstLine="640" w:firstLineChars="200"/>
        <w:rPr>
          <w:rFonts w:hint="eastAsia" w:ascii="仿宋" w:hAnsi="仿宋" w:eastAsia="仿宋" w:cs="仿宋"/>
          <w:sz w:val="32"/>
          <w:szCs w:val="32"/>
        </w:rPr>
      </w:pPr>
      <w:bookmarkStart w:id="0" w:name="_GoBack"/>
      <w:bookmarkEnd w:id="0"/>
    </w:p>
    <w:p w14:paraId="103758CC">
      <w:pPr>
        <w:pStyle w:val="9"/>
        <w:ind w:firstLine="640" w:firstLineChars="200"/>
        <w:rPr>
          <w:rFonts w:hint="eastAsia" w:ascii="仿宋" w:hAnsi="仿宋" w:eastAsia="仿宋" w:cs="仿宋"/>
          <w:sz w:val="32"/>
          <w:szCs w:val="32"/>
        </w:rPr>
      </w:pPr>
    </w:p>
    <w:p w14:paraId="054BF12F">
      <w:pPr>
        <w:pStyle w:val="9"/>
        <w:ind w:firstLine="640" w:firstLineChars="200"/>
        <w:rPr>
          <w:rFonts w:hint="eastAsia" w:ascii="仿宋" w:hAnsi="仿宋" w:eastAsia="仿宋" w:cs="仿宋"/>
          <w:sz w:val="32"/>
          <w:szCs w:val="32"/>
        </w:rPr>
      </w:pPr>
    </w:p>
    <w:p w14:paraId="53EBA623">
      <w:pPr>
        <w:pStyle w:val="9"/>
        <w:ind w:firstLine="640" w:firstLineChars="200"/>
        <w:rPr>
          <w:rFonts w:hint="eastAsia" w:ascii="仿宋" w:hAnsi="仿宋" w:eastAsia="仿宋" w:cs="仿宋"/>
          <w:sz w:val="32"/>
          <w:szCs w:val="32"/>
        </w:rPr>
      </w:pPr>
    </w:p>
    <w:p w14:paraId="7FA320F7">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（示范文本</w:t>
      </w:r>
      <w:r>
        <w:rPr>
          <w:rFonts w:hint="eastAsia" w:ascii="仿宋" w:hAnsi="仿宋" w:eastAsia="仿宋" w:cs="仿宋"/>
          <w:b/>
          <w:color w:val="auto"/>
          <w:sz w:val="36"/>
          <w:szCs w:val="36"/>
          <w:highlight w:val="none"/>
          <w:lang w:eastAsia="zh-CN"/>
        </w:rPr>
        <w:t>，仅供参考</w:t>
      </w:r>
      <w:r>
        <w:rPr>
          <w:rFonts w:hint="eastAsia" w:ascii="仿宋" w:hAnsi="仿宋" w:eastAsia="仿宋" w:cs="仿宋"/>
          <w:b/>
          <w:color w:val="auto"/>
          <w:sz w:val="36"/>
          <w:szCs w:val="36"/>
          <w:highlight w:val="none"/>
        </w:rPr>
        <w:t>）</w:t>
      </w:r>
    </w:p>
    <w:p w14:paraId="5483B15C">
      <w:pPr>
        <w:pStyle w:val="9"/>
        <w:ind w:firstLine="2249" w:firstLineChars="800"/>
        <w:jc w:val="both"/>
        <w:rPr>
          <w:rFonts w:ascii="仿宋" w:hAnsi="仿宋" w:eastAsia="仿宋"/>
          <w:sz w:val="32"/>
          <w:szCs w:val="32"/>
        </w:rPr>
      </w:pPr>
      <w:r>
        <w:rPr>
          <w:rFonts w:hint="eastAsia" w:ascii="仿宋" w:hAnsi="仿宋" w:eastAsia="仿宋" w:cs="仿宋"/>
          <w:b/>
          <w:bCs w:val="0"/>
          <w:color w:val="auto"/>
          <w:sz w:val="28"/>
          <w:szCs w:val="28"/>
          <w:highlight w:val="none"/>
          <w:lang w:eastAsia="zh-CN"/>
        </w:rPr>
        <w:t>具体内容由甲乙双方协商而定</w:t>
      </w:r>
    </w:p>
    <w:p w14:paraId="5C421365">
      <w:pPr>
        <w:rPr>
          <w:rFonts w:hint="eastAsia"/>
        </w:rPr>
        <w:sectPr>
          <w:pgSz w:w="11906" w:h="16838"/>
          <w:pgMar w:top="1440" w:right="1800" w:bottom="1440" w:left="1800" w:header="851" w:footer="992" w:gutter="0"/>
          <w:cols w:space="425" w:num="1"/>
          <w:docGrid w:type="lines" w:linePitch="312" w:charSpace="0"/>
        </w:sectPr>
      </w:pPr>
    </w:p>
    <w:p w14:paraId="0BB8B247">
      <w:pPr>
        <w:pStyle w:val="8"/>
        <w:rPr>
          <w:rFonts w:hint="eastAsia"/>
        </w:rPr>
      </w:pPr>
    </w:p>
    <w:p w14:paraId="09680D3B">
      <w:pPr>
        <w:keepNext w:val="0"/>
        <w:keepLines w:val="0"/>
        <w:pageBreakBefore w:val="0"/>
        <w:kinsoku/>
        <w:wordWrap/>
        <w:topLinePunct w:val="0"/>
        <w:bidi w:val="0"/>
        <w:snapToGrid/>
        <w:spacing w:line="360" w:lineRule="auto"/>
        <w:jc w:val="center"/>
        <w:textAlignment w:val="auto"/>
        <w:rPr>
          <w:rFonts w:hint="eastAsia" w:ascii="宋体" w:hAnsi="宋体" w:eastAsia="宋体" w:cs="宋体"/>
          <w:color w:val="auto"/>
          <w:sz w:val="24"/>
          <w:szCs w:val="32"/>
          <w:highlight w:val="none"/>
          <w:lang w:eastAsia="zh-CN"/>
        </w:rPr>
      </w:pPr>
    </w:p>
    <w:p w14:paraId="5CEB65E7">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color w:val="auto"/>
          <w:sz w:val="24"/>
          <w:szCs w:val="32"/>
          <w:highlight w:val="none"/>
          <w:u w:val="single"/>
          <w:lang w:val="en-US" w:eastAsia="zh-CN"/>
        </w:rPr>
      </w:pPr>
      <w:r>
        <w:rPr>
          <w:rFonts w:hint="eastAsia" w:ascii="宋体" w:hAnsi="宋体" w:eastAsia="宋体" w:cs="宋体"/>
          <w:color w:val="auto"/>
          <w:sz w:val="24"/>
          <w:szCs w:val="32"/>
          <w:highlight w:val="none"/>
        </w:rPr>
        <w:t>采购人（以下简称甲方）：</w:t>
      </w:r>
      <w:r>
        <w:rPr>
          <w:rFonts w:hint="eastAsia" w:ascii="宋体" w:hAnsi="宋体" w:eastAsia="宋体" w:cs="宋体"/>
          <w:color w:val="auto"/>
          <w:sz w:val="24"/>
          <w:szCs w:val="32"/>
          <w:highlight w:val="none"/>
          <w:u w:val="single"/>
          <w:lang w:val="en-US" w:eastAsia="zh-CN"/>
        </w:rPr>
        <w:t xml:space="preserve">           </w:t>
      </w:r>
    </w:p>
    <w:p w14:paraId="44F3DFC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供应商（以下简称乙方）：</w:t>
      </w:r>
      <w:r>
        <w:rPr>
          <w:rFonts w:hint="eastAsia" w:ascii="宋体" w:hAnsi="宋体" w:eastAsia="宋体" w:cs="宋体"/>
          <w:color w:val="auto"/>
          <w:sz w:val="24"/>
          <w:szCs w:val="32"/>
          <w:highlight w:val="none"/>
          <w:u w:val="single"/>
          <w:lang w:val="en-US" w:eastAsia="zh-CN"/>
        </w:rPr>
        <w:t xml:space="preserve">           </w:t>
      </w:r>
    </w:p>
    <w:p w14:paraId="69E65EC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根据《中华人民共和国民法典》、《中华人民共和国政府采购法》及其它有关法律、行政法规，为明确双方在</w:t>
      </w:r>
      <w:r>
        <w:rPr>
          <w:rFonts w:hint="eastAsia" w:ascii="宋体" w:hAnsi="宋体" w:cs="宋体"/>
          <w:bCs/>
          <w:color w:val="auto"/>
          <w:sz w:val="24"/>
          <w:highlight w:val="none"/>
          <w:lang w:eastAsia="zh-CN"/>
        </w:rPr>
        <w:t>实施</w:t>
      </w:r>
      <w:r>
        <w:rPr>
          <w:rFonts w:hint="eastAsia" w:ascii="宋体" w:hAnsi="宋体" w:eastAsia="宋体" w:cs="宋体"/>
          <w:bCs/>
          <w:color w:val="auto"/>
          <w:sz w:val="24"/>
          <w:highlight w:val="none"/>
        </w:rPr>
        <w:t>过程中的权利、义务，经双方协商自愿签订本合同。</w:t>
      </w:r>
    </w:p>
    <w:p w14:paraId="2F5BAF1C">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3A0508D6">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06BC2890">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7C2EA19F">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文件及澄清文件。</w:t>
      </w:r>
    </w:p>
    <w:p w14:paraId="2582B43C">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w:t>
      </w:r>
    </w:p>
    <w:p w14:paraId="218D0DBC">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中标</w:t>
      </w:r>
      <w:r>
        <w:rPr>
          <w:rFonts w:hint="eastAsia" w:ascii="宋体" w:hAnsi="宋体" w:eastAsia="宋体" w:cs="宋体"/>
          <w:color w:val="auto"/>
          <w:sz w:val="24"/>
          <w:highlight w:val="none"/>
          <w:lang w:val="zh-CN"/>
        </w:rPr>
        <w:t>通知书。</w:t>
      </w:r>
    </w:p>
    <w:p w14:paraId="1A408A4E">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37CE9EC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03D9C759">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7C3944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文件及质疑解答文件内容违背或低于甲方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文件要求或任何可能导致影响当次采购目的的情形，均应当被视为乙方自动放弃</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文件及质疑解答文件中相应部分而同意以</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文件相应内容为准。如果乙方的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文件及质疑解答文件内容高于甲方</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lang w:val="zh-CN"/>
        </w:rPr>
        <w:t>文件要求，则以乙方的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val="zh-CN"/>
        </w:rPr>
        <w:t>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46C59479">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184B84FF">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50EC355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3CCD5E2E">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highlight w:val="none"/>
          <w:lang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服务</w:t>
      </w:r>
      <w:r>
        <w:rPr>
          <w:rFonts w:hint="eastAsia" w:ascii="宋体" w:hAnsi="宋体" w:eastAsia="宋体" w:cs="宋体"/>
          <w:color w:val="auto"/>
          <w:sz w:val="24"/>
          <w:highlight w:val="none"/>
        </w:rPr>
        <w:t>期：</w:t>
      </w:r>
    </w:p>
    <w:p w14:paraId="54D94802">
      <w:pPr>
        <w:keepNext w:val="0"/>
        <w:keepLines w:val="0"/>
        <w:pageBreakBefore w:val="0"/>
        <w:kinsoku/>
        <w:wordWrap/>
        <w:topLinePunct w:val="0"/>
        <w:bidi w:val="0"/>
        <w:snapToGrid/>
        <w:spacing w:line="360" w:lineRule="auto"/>
        <w:ind w:firstLine="480" w:firstLineChars="200"/>
        <w:textAlignment w:val="auto"/>
        <w:rPr>
          <w:rFonts w:hint="eastAsia" w:ascii="宋体" w:hAnsi="宋体" w:cs="宋体"/>
          <w:color w:val="auto"/>
          <w:sz w:val="24"/>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服务地点：</w:t>
      </w:r>
    </w:p>
    <w:p w14:paraId="53B7147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服务标准</w:t>
      </w:r>
      <w:r>
        <w:rPr>
          <w:rFonts w:hint="eastAsia" w:ascii="宋体" w:hAnsi="宋体" w:eastAsia="宋体" w:cs="宋体"/>
          <w:color w:val="auto"/>
          <w:sz w:val="24"/>
          <w:highlight w:val="none"/>
        </w:rPr>
        <w:t>：</w:t>
      </w:r>
    </w:p>
    <w:p w14:paraId="48FBC359">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w:t>
      </w:r>
      <w:r>
        <w:rPr>
          <w:rFonts w:hint="eastAsia" w:ascii="宋体" w:hAnsi="宋体" w:eastAsia="宋体" w:cs="宋体"/>
          <w:b/>
          <w:bCs/>
          <w:color w:val="auto"/>
          <w:sz w:val="24"/>
          <w:highlight w:val="none"/>
        </w:rPr>
        <w:t>合同价款及付款比例</w:t>
      </w:r>
    </w:p>
    <w:p w14:paraId="063A2B3D">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highlight w:val="none"/>
          <w:lang w:eastAsia="zh-CN"/>
        </w:rPr>
      </w:pPr>
      <w:r>
        <w:rPr>
          <w:rFonts w:hint="eastAsia" w:ascii="宋体" w:hAnsi="宋体" w:eastAsia="宋体" w:cs="宋体"/>
          <w:bCs/>
          <w:color w:val="auto"/>
          <w:sz w:val="24"/>
          <w:highlight w:val="none"/>
        </w:rPr>
        <w:t>1.合同价款：</w:t>
      </w:r>
      <w:r>
        <w:rPr>
          <w:rFonts w:hint="eastAsia" w:ascii="宋体" w:hAnsi="宋体" w:eastAsia="宋体" w:cs="宋体"/>
          <w:color w:val="auto"/>
          <w:sz w:val="24"/>
          <w:highlight w:val="none"/>
        </w:rPr>
        <w:t>合同为固定</w:t>
      </w:r>
      <w:r>
        <w:rPr>
          <w:rFonts w:hint="eastAsia" w:ascii="宋体" w:hAnsi="宋体" w:eastAsia="宋体" w:cs="宋体"/>
          <w:color w:val="auto"/>
          <w:sz w:val="24"/>
          <w:highlight w:val="none"/>
          <w:lang w:eastAsia="zh-CN"/>
        </w:rPr>
        <w:t>总</w:t>
      </w:r>
      <w:r>
        <w:rPr>
          <w:rFonts w:hint="eastAsia" w:ascii="宋体" w:hAnsi="宋体" w:eastAsia="宋体" w:cs="宋体"/>
          <w:color w:val="auto"/>
          <w:sz w:val="24"/>
          <w:highlight w:val="none"/>
        </w:rPr>
        <w:t>价合同</w:t>
      </w:r>
      <w:r>
        <w:rPr>
          <w:rFonts w:hint="eastAsia" w:ascii="宋体" w:hAnsi="宋体" w:eastAsia="宋体" w:cs="宋体"/>
          <w:color w:val="auto"/>
          <w:sz w:val="24"/>
          <w:highlight w:val="none"/>
          <w:lang w:eastAsia="zh-CN"/>
        </w:rPr>
        <w:t>。</w:t>
      </w:r>
    </w:p>
    <w:p w14:paraId="3D57E936">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color w:val="auto"/>
          <w:sz w:val="24"/>
          <w:szCs w:val="24"/>
          <w:highlight w:val="none"/>
        </w:rPr>
        <w:t>合同总价款</w:t>
      </w:r>
      <w:r>
        <w:rPr>
          <w:rFonts w:hint="eastAsia" w:ascii="宋体" w:hAnsi="宋体" w:eastAsia="宋体" w:cs="宋体"/>
          <w:color w:val="auto"/>
          <w:sz w:val="24"/>
          <w:highlight w:val="none"/>
        </w:rPr>
        <w:t>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w:t>
      </w:r>
    </w:p>
    <w:p w14:paraId="38B57ADF">
      <w:pPr>
        <w:keepNext w:val="0"/>
        <w:keepLines w:val="0"/>
        <w:pageBreakBefore w:val="0"/>
        <w:numPr>
          <w:ilvl w:val="0"/>
          <w:numId w:val="0"/>
        </w:numPr>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lang w:val="en-US" w:eastAsia="zh-CN"/>
        </w:rPr>
        <w:t>2.</w:t>
      </w:r>
      <w:r>
        <w:rPr>
          <w:rFonts w:hint="eastAsia" w:ascii="宋体" w:hAnsi="宋体" w:eastAsia="宋体" w:cs="宋体"/>
          <w:bCs/>
          <w:color w:val="auto"/>
          <w:sz w:val="24"/>
          <w:highlight w:val="none"/>
        </w:rPr>
        <w:t>付款方式：</w:t>
      </w:r>
      <w:r>
        <w:rPr>
          <w:rFonts w:hint="eastAsia" w:ascii="宋体" w:hAnsi="宋体" w:eastAsia="宋体" w:cs="宋体"/>
          <w:b w:val="0"/>
          <w:bCs w:val="0"/>
          <w:color w:val="auto"/>
          <w:sz w:val="24"/>
          <w:szCs w:val="24"/>
          <w:highlight w:val="none"/>
          <w:lang w:val="en-US" w:eastAsia="zh-CN"/>
        </w:rPr>
        <w:t>资金根据项目阶段性实施情况等进行两期拨付，项目启动即拨付60％，结项评估合格后拨付40％（40%的尾款将根据项目实际开展情况及实施数据进行最终认定，拨付资金），各阶段资金拨付前，各项目实施主体应提供正规税务票据。</w:t>
      </w:r>
    </w:p>
    <w:p w14:paraId="0FAF56E6">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3.乙方开户银行指定账户为：</w:t>
      </w:r>
    </w:p>
    <w:p w14:paraId="47B8020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收款人：</w:t>
      </w:r>
    </w:p>
    <w:p w14:paraId="70EE33C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开户行：</w:t>
      </w:r>
    </w:p>
    <w:p w14:paraId="432B18C7">
      <w:pPr>
        <w:keepNext w:val="0"/>
        <w:keepLines w:val="0"/>
        <w:pageBreakBefore w:val="0"/>
        <w:widowControl/>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账号：</w:t>
      </w:r>
    </w:p>
    <w:p w14:paraId="712775A0">
      <w:pPr>
        <w:keepNext w:val="0"/>
        <w:keepLines w:val="0"/>
        <w:pageBreakBefore w:val="0"/>
        <w:kinsoku/>
        <w:wordWrap/>
        <w:topLinePunct w:val="0"/>
        <w:bidi w:val="0"/>
        <w:snapToGrid/>
        <w:spacing w:line="360" w:lineRule="auto"/>
        <w:textAlignment w:val="auto"/>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四、</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乙方更换负责任的，应当书面通知甲方，如因乙方未通知或通知未到达甲方期间，乙方负责人给甲方造成损失的，应当由乙方承担赔偿责任。</w:t>
      </w:r>
    </w:p>
    <w:p w14:paraId="04ACF4FF">
      <w:pPr>
        <w:pStyle w:val="9"/>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五、甲方的主要责任和权利</w:t>
      </w:r>
    </w:p>
    <w:p w14:paraId="740387E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1.乙方在为甲方提供服务时所形成的成果及成果的知识产权归甲方所有。</w:t>
      </w:r>
    </w:p>
    <w:p w14:paraId="3A8E1454">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2.甲方有权随时了解乙方的工作进展情况，并对</w:t>
      </w:r>
      <w:r>
        <w:rPr>
          <w:rFonts w:hint="eastAsia" w:ascii="宋体" w:hAnsi="宋体" w:eastAsia="宋体" w:cs="宋体"/>
          <w:color w:val="auto"/>
          <w:sz w:val="24"/>
          <w:highlight w:val="none"/>
          <w:lang w:eastAsia="zh-CN"/>
        </w:rPr>
        <w:t>服务过程</w:t>
      </w:r>
      <w:r>
        <w:rPr>
          <w:rFonts w:hint="eastAsia" w:ascii="宋体" w:hAnsi="宋体" w:eastAsia="宋体" w:cs="宋体"/>
          <w:color w:val="auto"/>
          <w:sz w:val="24"/>
          <w:highlight w:val="none"/>
        </w:rPr>
        <w:t>进行监督检查。</w:t>
      </w:r>
    </w:p>
    <w:p w14:paraId="7283D3E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3.甲方将向乙方提供为完成服务工作所需要的信息、资料和其他相关协助。</w:t>
      </w:r>
    </w:p>
    <w:p w14:paraId="628C2D35">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4.甲方若认为乙方履行合同不力严重影响项目服务质量，甲方有权要求更换乙方主要人员，直至终止</w:t>
      </w:r>
      <w:r>
        <w:rPr>
          <w:rFonts w:hint="eastAsia" w:ascii="宋体" w:hAnsi="宋体" w:eastAsia="宋体" w:cs="宋体"/>
          <w:color w:val="auto"/>
          <w:sz w:val="24"/>
          <w:highlight w:val="none"/>
          <w:lang w:val="en-US" w:eastAsia="zh-CN"/>
        </w:rPr>
        <w:t>或解除</w:t>
      </w:r>
      <w:r>
        <w:rPr>
          <w:rFonts w:hint="eastAsia" w:ascii="宋体" w:hAnsi="宋体" w:eastAsia="宋体" w:cs="宋体"/>
          <w:color w:val="auto"/>
          <w:sz w:val="24"/>
          <w:highlight w:val="none"/>
        </w:rPr>
        <w:t>合同。</w:t>
      </w:r>
    </w:p>
    <w:p w14:paraId="582D692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5.甲方支持乙方的工作，按合同保证乙方责任和权力的统一。</w:t>
      </w:r>
    </w:p>
    <w:p w14:paraId="4349192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6.甲方有权阐述对具体问题的意见和建议。</w:t>
      </w:r>
    </w:p>
    <w:p w14:paraId="0FA370B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7.甲方有权根据项目的具体情况，要求乙方按期到项目现场解决争议。</w:t>
      </w:r>
    </w:p>
    <w:p w14:paraId="5075215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8.甲方有权对服务质量进行评估，若服务评估结果不合格，甲方有权扣除不超过10%的合同金额或终止合同。</w:t>
      </w:r>
    </w:p>
    <w:p w14:paraId="7B35C51B">
      <w:pPr>
        <w:keepNext w:val="0"/>
        <w:keepLines w:val="0"/>
        <w:pageBreakBefore w:val="0"/>
        <w:kinsoku/>
        <w:wordWrap/>
        <w:topLinePunct w:val="0"/>
        <w:bidi w:val="0"/>
        <w:snapToGrid/>
        <w:spacing w:line="360" w:lineRule="auto"/>
        <w:ind w:firstLine="482" w:firstLineChars="20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六、乙方的主要责任和权利</w:t>
      </w:r>
    </w:p>
    <w:p w14:paraId="3784D17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1.乙方必须具有履行本合同书所需的技能，必须按照相关的职业准则完成其全部职责。</w:t>
      </w:r>
    </w:p>
    <w:p w14:paraId="627D5C7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2.乙方应根据本合同的约定提交相关文件、资料。</w:t>
      </w:r>
    </w:p>
    <w:p w14:paraId="34EBF8F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.对甲方提供的基础资料、数据、信息等严格保密。</w:t>
      </w:r>
    </w:p>
    <w:p w14:paraId="357F1E1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.解答甲方提出的与项目有关的询问，接受甲方监督和检查，无条件按照甲方要求对成果报告进行整改和完善。</w:t>
      </w:r>
    </w:p>
    <w:p w14:paraId="74EB99D1">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.乙方应根据本合同的约定提供服务并提交工作成果，确保所提交成果的实用质量，具有可借鉴、可操作性。</w:t>
      </w:r>
    </w:p>
    <w:p w14:paraId="4F4B51A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25BFA9FC">
      <w:pPr>
        <w:pStyle w:val="14"/>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0709D858">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0AE3DCD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0159ADD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3D80B68C">
      <w:pPr>
        <w:pStyle w:val="17"/>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cs="宋体"/>
          <w:color w:val="auto"/>
          <w:sz w:val="24"/>
          <w:lang w:val="en-US" w:eastAsia="zh-CN"/>
        </w:rPr>
        <w:t>4.</w:t>
      </w:r>
      <w:r>
        <w:rPr>
          <w:rFonts w:hint="eastAsia" w:ascii="宋体" w:hAnsi="宋体" w:cs="宋体"/>
          <w:color w:val="auto"/>
          <w:sz w:val="24"/>
        </w:rPr>
        <w:t>本合同条款的规定不因本合同的到期而失效。</w:t>
      </w:r>
    </w:p>
    <w:p w14:paraId="24374D75">
      <w:pPr>
        <w:pStyle w:val="14"/>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385F03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验收时间：项目完成后</w:t>
      </w:r>
    </w:p>
    <w:p w14:paraId="5CCFA1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质量标准：须符合国家最新法律法规、行业规范、规程和采购人具体要求等。</w:t>
      </w:r>
    </w:p>
    <w:p w14:paraId="4CF475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和技术规格书及合同要求，符合招标文件、中标交供应商的投标文件、澄清文件和中标通知书的要求等,乙方应严格按照上述及采购人要求实施项目服务，甲方有权对乙方服务质量进行评估，当乙方出现较为严重的服务质量问题时，从乙方服务费中扣除合同总价的10%。</w:t>
      </w:r>
    </w:p>
    <w:p w14:paraId="17786352">
      <w:pPr>
        <w:pStyle w:val="14"/>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11B8D1B9">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1.在本合同的履行期内，乙方获得与本项目相关的信息（包括获得的资料等），应当采取适当有效的方式保护，不得未经授权使用、传播或公开。</w:t>
      </w:r>
    </w:p>
    <w:p w14:paraId="17BF473E">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64448ABA">
      <w:pPr>
        <w:pStyle w:val="17"/>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7ED2791B">
      <w:pPr>
        <w:pStyle w:val="17"/>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546C498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695FFD99">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一</w:t>
      </w:r>
      <w:r>
        <w:rPr>
          <w:rFonts w:hint="eastAsia" w:ascii="宋体" w:hAnsi="宋体" w:eastAsia="宋体" w:cs="宋体"/>
          <w:b/>
          <w:bCs/>
          <w:color w:val="auto"/>
          <w:sz w:val="24"/>
          <w:highlight w:val="none"/>
        </w:rPr>
        <w:t>、破产终止合同</w:t>
      </w:r>
    </w:p>
    <w:p w14:paraId="4D202CE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370786A6">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、转让</w:t>
      </w:r>
    </w:p>
    <w:p w14:paraId="2504D12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5C481DEC">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lang w:val="zh-CN"/>
        </w:rPr>
        <w:t>、违约责任</w:t>
      </w:r>
    </w:p>
    <w:p w14:paraId="533646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1.乙方承诺其履行本合同所制作的一切文件、资料、图片等不会侵犯任何其他人的知识产权或合法</w:t>
      </w:r>
      <w:r>
        <w:rPr>
          <w:rFonts w:hint="default" w:ascii="Times New Roman" w:hAnsi="Times New Roman" w:eastAsia="宋体" w:cs="Times New Roman"/>
          <w:b w:val="0"/>
          <w:bCs w:val="0"/>
          <w:sz w:val="24"/>
          <w:szCs w:val="24"/>
          <w:lang w:val="en-US" w:eastAsia="zh-CN"/>
        </w:rPr>
        <w:t>权益，否则一切责任由乙方自行承担，给甲方造成损害的，由乙方负责赔偿并按合同总金额的30%向甲方支付</w:t>
      </w:r>
      <w:r>
        <w:rPr>
          <w:rFonts w:hint="eastAsia" w:ascii="宋体" w:hAnsi="宋体" w:eastAsia="宋体" w:cs="宋体"/>
          <w:b w:val="0"/>
          <w:bCs w:val="0"/>
          <w:sz w:val="24"/>
          <w:szCs w:val="24"/>
          <w:lang w:val="en-US" w:eastAsia="zh-CN"/>
        </w:rPr>
        <w:t>违约金。</w:t>
      </w:r>
    </w:p>
    <w:p w14:paraId="4F8FD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2.乙方须对甲方提供的一切文件</w:t>
      </w:r>
      <w:r>
        <w:rPr>
          <w:rFonts w:hint="default" w:ascii="Times New Roman" w:hAnsi="Times New Roman" w:eastAsia="宋体" w:cs="Times New Roman"/>
          <w:b w:val="0"/>
          <w:bCs w:val="0"/>
          <w:sz w:val="24"/>
          <w:szCs w:val="24"/>
          <w:lang w:val="en-US" w:eastAsia="zh-CN"/>
        </w:rPr>
        <w:t>、资料、信息予以保密,未经甲方书面许可，不得私自复制或向任何第三方泄露，否则应当向甲方按照合同总价款的 30%支付违</w:t>
      </w:r>
      <w:r>
        <w:rPr>
          <w:rFonts w:hint="eastAsia" w:ascii="宋体" w:hAnsi="宋体" w:eastAsia="宋体" w:cs="宋体"/>
          <w:b w:val="0"/>
          <w:bCs w:val="0"/>
          <w:sz w:val="24"/>
          <w:szCs w:val="24"/>
          <w:lang w:val="en-US" w:eastAsia="zh-CN"/>
        </w:rPr>
        <w:t>约金，由此给甲方造成的一切损失，应当由乙方另行赔偿。</w:t>
      </w:r>
    </w:p>
    <w:p w14:paraId="31069A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sz w:val="24"/>
          <w:szCs w:val="24"/>
          <w:lang w:val="en-US" w:eastAsia="zh-CN"/>
        </w:rPr>
      </w:pPr>
      <w:r>
        <w:rPr>
          <w:rFonts w:hint="eastAsia" w:ascii="宋体" w:hAnsi="宋体" w:eastAsia="宋体" w:cs="宋体"/>
          <w:b w:val="0"/>
          <w:bCs w:val="0"/>
          <w:sz w:val="24"/>
          <w:szCs w:val="24"/>
          <w:lang w:val="en-US" w:eastAsia="zh-CN"/>
        </w:rPr>
        <w:t>3.乙方未按合</w:t>
      </w:r>
      <w:r>
        <w:rPr>
          <w:rFonts w:hint="default" w:ascii="Times New Roman" w:hAnsi="Times New Roman" w:eastAsia="宋体" w:cs="Times New Roman"/>
          <w:b w:val="0"/>
          <w:bCs w:val="0"/>
          <w:sz w:val="24"/>
          <w:szCs w:val="24"/>
          <w:lang w:val="en-US" w:eastAsia="zh-CN"/>
        </w:rPr>
        <w:t>同要求提供服务或提供服务不能满足采购及甲方要求的，乙方必须无条件变更调整，提高和完善服务质量，并每次按照合同总价款的 10%向甲方支付违约金，由此给甲方造成的一切损失，应当由乙方另行赔偿。</w:t>
      </w:r>
    </w:p>
    <w:p w14:paraId="0D50B4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4.乙方未按甲方</w:t>
      </w:r>
      <w:r>
        <w:rPr>
          <w:rFonts w:hint="default" w:ascii="Times New Roman" w:hAnsi="Times New Roman" w:eastAsia="宋体" w:cs="Times New Roman"/>
          <w:b w:val="0"/>
          <w:bCs w:val="0"/>
          <w:sz w:val="24"/>
          <w:szCs w:val="24"/>
          <w:lang w:val="en-US" w:eastAsia="zh-CN"/>
        </w:rPr>
        <w:t>要求的时间节点提交书面实施方案、情况报告、书面检查报告等或未能按期通过验收的，每逾期一日，应按合同总价款</w:t>
      </w:r>
      <w:r>
        <w:rPr>
          <w:rFonts w:hint="eastAsia" w:ascii="Times New Roman" w:hAnsi="Times New Roman" w:eastAsia="宋体" w:cs="Times New Roman"/>
          <w:b w:val="0"/>
          <w:bCs w:val="0"/>
          <w:sz w:val="24"/>
          <w:szCs w:val="24"/>
          <w:lang w:val="en-US" w:eastAsia="zh-CN"/>
        </w:rPr>
        <w:t>2</w:t>
      </w:r>
      <w:r>
        <w:rPr>
          <w:rFonts w:hint="default" w:ascii="Times New Roman" w:hAnsi="Times New Roman" w:eastAsia="宋体" w:cs="Times New Roman"/>
          <w:b w:val="0"/>
          <w:bCs w:val="0"/>
          <w:sz w:val="24"/>
          <w:szCs w:val="24"/>
          <w:lang w:val="en-US" w:eastAsia="zh-CN"/>
        </w:rPr>
        <w:t>%向甲方支付违约金，经甲方催告后15天内仍无法提交相关服务成果的，甲方有权解除合同，并要求乙方承担违约责任，退还</w:t>
      </w:r>
      <w:r>
        <w:rPr>
          <w:rFonts w:hint="eastAsia" w:ascii="Times New Roman" w:hAnsi="Times New Roman" w:cs="Times New Roman"/>
          <w:b w:val="0"/>
          <w:bCs w:val="0"/>
          <w:sz w:val="24"/>
          <w:szCs w:val="24"/>
          <w:lang w:val="en-US" w:eastAsia="zh-CN"/>
        </w:rPr>
        <w:t>已支付的合同款项，</w:t>
      </w:r>
      <w:r>
        <w:rPr>
          <w:rFonts w:hint="default" w:ascii="Times New Roman" w:hAnsi="Times New Roman" w:eastAsia="宋体" w:cs="Times New Roman"/>
          <w:b w:val="0"/>
          <w:bCs w:val="0"/>
          <w:sz w:val="24"/>
          <w:szCs w:val="24"/>
          <w:lang w:val="en-US" w:eastAsia="zh-CN"/>
        </w:rPr>
        <w:t>由此给甲方造成的一切损失，应当由乙方</w:t>
      </w:r>
      <w:r>
        <w:rPr>
          <w:rFonts w:hint="eastAsia" w:ascii="宋体" w:hAnsi="宋体" w:eastAsia="宋体" w:cs="宋体"/>
          <w:b w:val="0"/>
          <w:bCs w:val="0"/>
          <w:sz w:val="24"/>
          <w:szCs w:val="24"/>
          <w:lang w:val="en-US" w:eastAsia="zh-CN"/>
        </w:rPr>
        <w:t>另行赔偿。</w:t>
      </w:r>
    </w:p>
    <w:p w14:paraId="6AD14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5.除本合同约定的各项违约金外，乙方还应赔偿甲方为维护自身合法权益所支出的一切费用，包括但不限于律师费、诉讼费、保全保险费等。</w:t>
      </w:r>
    </w:p>
    <w:p w14:paraId="2E3C638E">
      <w:pPr>
        <w:pStyle w:val="14"/>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p>
    <w:p w14:paraId="6F68CC66">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rPr>
        <w:t>、合同争议和解决办法</w:t>
      </w:r>
    </w:p>
    <w:p w14:paraId="5E1172B2">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cs="宋体"/>
          <w:bCs/>
          <w:color w:val="auto"/>
          <w:sz w:val="24"/>
          <w:highlight w:val="none"/>
        </w:rPr>
        <w:t>因本合同产生纠纷，如协商无法解决，双方均有权向</w:t>
      </w:r>
      <w:r>
        <w:rPr>
          <w:rFonts w:hint="eastAsia" w:ascii="宋体" w:hAnsi="宋体" w:cs="宋体"/>
          <w:bCs/>
          <w:color w:val="auto"/>
          <w:sz w:val="24"/>
          <w:highlight w:val="none"/>
          <w:lang w:val="en-US" w:eastAsia="zh-CN"/>
        </w:rPr>
        <w:t>甲方所在地</w:t>
      </w:r>
      <w:r>
        <w:rPr>
          <w:rFonts w:hint="eastAsia" w:ascii="宋体" w:hAnsi="宋体" w:cs="宋体"/>
          <w:bCs/>
          <w:color w:val="auto"/>
          <w:sz w:val="24"/>
          <w:highlight w:val="none"/>
        </w:rPr>
        <w:t>有管辖权的人民法院提起诉讼。</w:t>
      </w:r>
    </w:p>
    <w:p w14:paraId="30A53FC0">
      <w:pPr>
        <w:autoSpaceDE w:val="0"/>
        <w:autoSpaceDN w:val="0"/>
        <w:adjustRightInd w:val="0"/>
        <w:spacing w:line="360" w:lineRule="auto"/>
        <w:rPr>
          <w:rFonts w:ascii="宋体"/>
          <w:b/>
          <w:bCs/>
          <w:color w:val="auto"/>
          <w:sz w:val="24"/>
          <w:highlight w:val="none"/>
        </w:rPr>
      </w:pPr>
      <w:r>
        <w:rPr>
          <w:rFonts w:hint="eastAsia" w:ascii="宋体" w:hAnsi="宋体" w:cs="宋体"/>
          <w:b/>
          <w:bCs/>
          <w:color w:val="auto"/>
          <w:sz w:val="24"/>
          <w:highlight w:val="none"/>
        </w:rPr>
        <w:t>十</w:t>
      </w:r>
      <w:r>
        <w:rPr>
          <w:rFonts w:hint="eastAsia" w:ascii="宋体" w:hAnsi="宋体" w:cs="宋体"/>
          <w:b/>
          <w:bCs/>
          <w:color w:val="auto"/>
          <w:sz w:val="24"/>
          <w:highlight w:val="none"/>
          <w:lang w:eastAsia="zh-CN"/>
        </w:rPr>
        <w:t>五</w:t>
      </w:r>
      <w:r>
        <w:rPr>
          <w:rFonts w:hint="eastAsia" w:ascii="宋体" w:hAnsi="宋体" w:cs="宋体"/>
          <w:b/>
          <w:bCs/>
          <w:color w:val="auto"/>
          <w:sz w:val="24"/>
          <w:highlight w:val="none"/>
        </w:rPr>
        <w:t>、合同生效</w:t>
      </w:r>
    </w:p>
    <w:p w14:paraId="27CB458E">
      <w:pPr>
        <w:keepNext w:val="0"/>
        <w:keepLines w:val="0"/>
        <w:pageBreakBefore w:val="0"/>
        <w:widowControl w:val="0"/>
        <w:kinsoku/>
        <w:wordWrap/>
        <w:overflowPunct/>
        <w:topLinePunct w:val="0"/>
        <w:bidi w:val="0"/>
        <w:adjustRightInd/>
        <w:ind w:firstLine="480" w:firstLineChars="200"/>
        <w:textAlignment w:val="auto"/>
        <w:rPr>
          <w:rFonts w:hint="eastAsia" w:ascii="宋体" w:hAnsi="宋体" w:cs="宋体"/>
          <w:color w:val="auto"/>
          <w:sz w:val="24"/>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本合同须经甲、乙双方的法定代表人（委托代理人）在合同书上签字并加盖本单位公章后正式生效。</w:t>
      </w:r>
    </w:p>
    <w:p w14:paraId="79E13B1E">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color w:val="auto"/>
          <w:sz w:val="24"/>
        </w:rPr>
      </w:pPr>
      <w:r>
        <w:rPr>
          <w:rFonts w:hint="eastAsia" w:ascii="宋体" w:hAnsi="宋体" w:cs="宋体"/>
          <w:color w:val="auto"/>
          <w:sz w:val="24"/>
          <w:lang w:val="en-US" w:eastAsia="zh-CN"/>
        </w:rPr>
        <w:t>2.</w:t>
      </w:r>
      <w:r>
        <w:rPr>
          <w:rFonts w:hint="eastAsia" w:ascii="宋体" w:hAnsi="宋体" w:cs="宋体"/>
          <w:color w:val="auto"/>
          <w:sz w:val="24"/>
        </w:rPr>
        <w:t>合同生效后，甲、乙双方须严格执行本合同条款的规定，全面履行合同，违者按《中华人民共和国民法典》的有关规定承担相应责任。</w:t>
      </w:r>
    </w:p>
    <w:p w14:paraId="6E0F1EED">
      <w:pPr>
        <w:keepNext w:val="0"/>
        <w:keepLines w:val="0"/>
        <w:pageBreakBefore w:val="0"/>
        <w:widowControl w:val="0"/>
        <w:kinsoku/>
        <w:wordWrap/>
        <w:overflowPunct/>
        <w:topLinePunct w:val="0"/>
        <w:autoSpaceDE w:val="0"/>
        <w:autoSpaceDN w:val="0"/>
        <w:bidi w:val="0"/>
        <w:adjustRightInd/>
        <w:spacing w:line="360" w:lineRule="auto"/>
        <w:ind w:firstLine="480" w:firstLineChars="200"/>
        <w:textAlignment w:val="auto"/>
        <w:rPr>
          <w:rFonts w:ascii="宋体"/>
          <w:color w:val="auto"/>
          <w:sz w:val="24"/>
        </w:rPr>
      </w:pPr>
      <w:r>
        <w:rPr>
          <w:rFonts w:hint="eastAsia" w:ascii="宋体" w:hAnsi="宋体" w:cs="宋体"/>
          <w:color w:val="auto"/>
          <w:sz w:val="24"/>
          <w:lang w:val="en-US" w:eastAsia="zh-CN"/>
        </w:rPr>
        <w:t>3.</w:t>
      </w:r>
      <w:r>
        <w:rPr>
          <w:rFonts w:hint="eastAsia" w:ascii="宋体" w:hAnsi="宋体" w:cs="宋体"/>
          <w:color w:val="auto"/>
          <w:sz w:val="24"/>
        </w:rPr>
        <w:t>本合同一式</w:t>
      </w:r>
      <w:r>
        <w:rPr>
          <w:rFonts w:hint="eastAsia" w:ascii="宋体" w:hAnsi="宋体" w:cs="宋体"/>
          <w:color w:val="auto"/>
          <w:sz w:val="24"/>
          <w:u w:val="single"/>
        </w:rPr>
        <w:t xml:space="preserve">   </w:t>
      </w:r>
      <w:r>
        <w:rPr>
          <w:rFonts w:hint="eastAsia" w:ascii="宋体" w:hAnsi="宋体" w:cs="宋体"/>
          <w:color w:val="auto"/>
          <w:sz w:val="24"/>
        </w:rPr>
        <w:t>份，甲乙双方各执</w:t>
      </w:r>
      <w:r>
        <w:rPr>
          <w:rFonts w:hint="eastAsia" w:ascii="宋体" w:hAnsi="宋体" w:cs="宋体"/>
          <w:color w:val="auto"/>
          <w:sz w:val="24"/>
          <w:u w:val="single"/>
        </w:rPr>
        <w:t xml:space="preserve">   </w:t>
      </w:r>
      <w:r>
        <w:rPr>
          <w:rFonts w:hint="eastAsia" w:ascii="宋体" w:hAnsi="宋体" w:cs="宋体"/>
          <w:color w:val="auto"/>
          <w:sz w:val="24"/>
        </w:rPr>
        <w:t>份。</w:t>
      </w:r>
    </w:p>
    <w:p w14:paraId="75B0F496">
      <w:pPr>
        <w:keepNext w:val="0"/>
        <w:keepLines w:val="0"/>
        <w:pageBreakBefore w:val="0"/>
        <w:widowControl w:val="0"/>
        <w:kinsoku/>
        <w:wordWrap/>
        <w:overflowPunct/>
        <w:topLinePunct w:val="0"/>
        <w:bidi w:val="0"/>
        <w:adjustRightInd/>
        <w:snapToGrid w:val="0"/>
        <w:spacing w:line="360" w:lineRule="auto"/>
        <w:ind w:firstLine="480" w:firstLineChars="200"/>
        <w:textAlignment w:val="auto"/>
        <w:rPr>
          <w:rFonts w:ascii="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本合同如有未尽事宜，甲、乙双方协商解决。</w:t>
      </w:r>
    </w:p>
    <w:p w14:paraId="326643AE">
      <w:pPr>
        <w:keepNext w:val="0"/>
        <w:keepLines w:val="0"/>
        <w:pageBreakBefore w:val="0"/>
        <w:widowControl w:val="0"/>
        <w:kinsoku/>
        <w:wordWrap/>
        <w:overflowPunct/>
        <w:topLinePunct w:val="0"/>
        <w:autoSpaceDE w:val="0"/>
        <w:autoSpaceDN w:val="0"/>
        <w:bidi w:val="0"/>
        <w:adjustRightInd/>
        <w:spacing w:line="360" w:lineRule="auto"/>
        <w:textAlignment w:val="auto"/>
        <w:rPr>
          <w:rFonts w:hint="eastAsia" w:ascii="宋体" w:hAnsi="宋体" w:cs="宋体"/>
          <w:color w:val="auto"/>
          <w:sz w:val="24"/>
          <w:lang w:val="en-US" w:eastAsia="zh-CN"/>
        </w:rPr>
        <w:sectPr>
          <w:pgSz w:w="11906" w:h="16838"/>
          <w:pgMar w:top="1440" w:right="1800" w:bottom="1440" w:left="1800" w:header="851" w:footer="992" w:gutter="0"/>
          <w:cols w:space="425" w:num="1"/>
          <w:docGrid w:type="lines" w:linePitch="312" w:charSpace="0"/>
        </w:sectPr>
      </w:pPr>
    </w:p>
    <w:p w14:paraId="5521E573">
      <w:pPr>
        <w:keepNext w:val="0"/>
        <w:keepLines w:val="0"/>
        <w:pageBreakBefore w:val="0"/>
        <w:widowControl w:val="0"/>
        <w:kinsoku/>
        <w:wordWrap/>
        <w:overflowPunct/>
        <w:topLinePunct w:val="0"/>
        <w:autoSpaceDE w:val="0"/>
        <w:autoSpaceDN w:val="0"/>
        <w:bidi w:val="0"/>
        <w:adjustRightInd/>
        <w:spacing w:line="360" w:lineRule="auto"/>
        <w:textAlignment w:val="auto"/>
        <w:rPr>
          <w:rFonts w:hint="eastAsia" w:ascii="宋体" w:hAnsi="宋体" w:cs="宋体"/>
          <w:color w:val="auto"/>
          <w:sz w:val="24"/>
          <w:lang w:val="en-US" w:eastAsia="zh-CN"/>
        </w:rPr>
      </w:pPr>
      <w:r>
        <w:rPr>
          <w:rFonts w:hint="eastAsia" w:ascii="宋体" w:hAnsi="宋体" w:cs="宋体"/>
          <w:color w:val="auto"/>
          <w:sz w:val="24"/>
          <w:lang w:val="en-US" w:eastAsia="zh-CN"/>
        </w:rPr>
        <w:t>（以下无正文，为签字盖章页）</w:t>
      </w:r>
    </w:p>
    <w:tbl>
      <w:tblPr>
        <w:tblStyle w:val="11"/>
        <w:tblpPr w:leftFromText="180" w:rightFromText="180" w:vertAnchor="text" w:horzAnchor="page" w:tblpX="1937" w:tblpY="99"/>
        <w:tblOverlap w:val="never"/>
        <w:tblW w:w="8459" w:type="dxa"/>
        <w:tblInd w:w="0" w:type="dxa"/>
        <w:tblLayout w:type="fixed"/>
        <w:tblCellMar>
          <w:top w:w="0" w:type="dxa"/>
          <w:left w:w="108" w:type="dxa"/>
          <w:bottom w:w="0" w:type="dxa"/>
          <w:right w:w="108" w:type="dxa"/>
        </w:tblCellMar>
      </w:tblPr>
      <w:tblGrid>
        <w:gridCol w:w="4229"/>
        <w:gridCol w:w="4230"/>
      </w:tblGrid>
      <w:tr w14:paraId="1EDBD017">
        <w:tblPrEx>
          <w:tblCellMar>
            <w:top w:w="0" w:type="dxa"/>
            <w:left w:w="108" w:type="dxa"/>
            <w:bottom w:w="0" w:type="dxa"/>
            <w:right w:w="108" w:type="dxa"/>
          </w:tblCellMar>
        </w:tblPrEx>
        <w:trPr>
          <w:trHeight w:val="690" w:hRule="atLeast"/>
        </w:trPr>
        <w:tc>
          <w:tcPr>
            <w:tcW w:w="4229" w:type="dxa"/>
            <w:noWrap w:val="0"/>
            <w:vAlign w:val="center"/>
          </w:tcPr>
          <w:p w14:paraId="62924A14">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甲</w:t>
            </w:r>
            <w:r>
              <w:rPr>
                <w:rFonts w:ascii="宋体" w:hAnsi="宋体" w:cs="宋体"/>
                <w:color w:val="auto"/>
                <w:sz w:val="24"/>
              </w:rPr>
              <w:t xml:space="preserve">  </w:t>
            </w:r>
            <w:r>
              <w:rPr>
                <w:rFonts w:hint="eastAsia" w:ascii="宋体" w:hAnsi="宋体" w:cs="宋体"/>
                <w:color w:val="auto"/>
                <w:sz w:val="24"/>
              </w:rPr>
              <w:t>方</w:t>
            </w:r>
          </w:p>
        </w:tc>
        <w:tc>
          <w:tcPr>
            <w:tcW w:w="4230" w:type="dxa"/>
            <w:noWrap w:val="0"/>
            <w:vAlign w:val="center"/>
          </w:tcPr>
          <w:p w14:paraId="73225DA9">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乙</w:t>
            </w:r>
            <w:r>
              <w:rPr>
                <w:rFonts w:ascii="宋体" w:hAnsi="宋体" w:cs="宋体"/>
                <w:color w:val="auto"/>
                <w:sz w:val="24"/>
              </w:rPr>
              <w:t xml:space="preserve">  </w:t>
            </w:r>
            <w:r>
              <w:rPr>
                <w:rFonts w:hint="eastAsia" w:ascii="宋体" w:hAnsi="宋体" w:cs="宋体"/>
                <w:color w:val="auto"/>
                <w:sz w:val="24"/>
              </w:rPr>
              <w:t>方</w:t>
            </w:r>
          </w:p>
        </w:tc>
      </w:tr>
      <w:tr w14:paraId="61926CD1">
        <w:tblPrEx>
          <w:tblCellMar>
            <w:top w:w="0" w:type="dxa"/>
            <w:left w:w="108" w:type="dxa"/>
            <w:bottom w:w="0" w:type="dxa"/>
            <w:right w:w="108" w:type="dxa"/>
          </w:tblCellMar>
        </w:tblPrEx>
        <w:trPr>
          <w:trHeight w:val="690" w:hRule="atLeast"/>
        </w:trPr>
        <w:tc>
          <w:tcPr>
            <w:tcW w:w="4229" w:type="dxa"/>
            <w:noWrap w:val="0"/>
            <w:vAlign w:val="center"/>
          </w:tcPr>
          <w:p w14:paraId="486F20AB">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（盖章）</w:t>
            </w:r>
          </w:p>
        </w:tc>
        <w:tc>
          <w:tcPr>
            <w:tcW w:w="4230" w:type="dxa"/>
            <w:noWrap w:val="0"/>
            <w:vAlign w:val="center"/>
          </w:tcPr>
          <w:p w14:paraId="07D8F2E0">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（盖章）</w:t>
            </w:r>
          </w:p>
        </w:tc>
      </w:tr>
      <w:tr w14:paraId="133E3A32">
        <w:tblPrEx>
          <w:tblCellMar>
            <w:top w:w="0" w:type="dxa"/>
            <w:left w:w="108" w:type="dxa"/>
            <w:bottom w:w="0" w:type="dxa"/>
            <w:right w:w="108" w:type="dxa"/>
          </w:tblCellMar>
        </w:tblPrEx>
        <w:trPr>
          <w:trHeight w:val="690" w:hRule="atLeast"/>
        </w:trPr>
        <w:tc>
          <w:tcPr>
            <w:tcW w:w="4229" w:type="dxa"/>
            <w:noWrap w:val="0"/>
            <w:vAlign w:val="center"/>
          </w:tcPr>
          <w:p w14:paraId="6F1BF6B8">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hAnsi="宋体" w:cs="宋体"/>
                <w:color w:val="auto"/>
                <w:sz w:val="24"/>
              </w:rPr>
            </w:pPr>
            <w:r>
              <w:rPr>
                <w:rFonts w:hint="eastAsia" w:ascii="宋体" w:hAnsi="宋体" w:cs="宋体"/>
                <w:color w:val="auto"/>
                <w:sz w:val="24"/>
              </w:rPr>
              <w:t>地址：</w:t>
            </w:r>
            <w:r>
              <w:rPr>
                <w:rFonts w:ascii="宋体" w:hAnsi="宋体" w:cs="宋体"/>
                <w:color w:val="auto"/>
                <w:sz w:val="24"/>
              </w:rPr>
              <w:t xml:space="preserve"> </w:t>
            </w:r>
          </w:p>
        </w:tc>
        <w:tc>
          <w:tcPr>
            <w:tcW w:w="4230" w:type="dxa"/>
            <w:noWrap w:val="0"/>
            <w:vAlign w:val="center"/>
          </w:tcPr>
          <w:p w14:paraId="238358DF">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地址：</w:t>
            </w:r>
          </w:p>
        </w:tc>
      </w:tr>
      <w:tr w14:paraId="03505793">
        <w:tblPrEx>
          <w:tblCellMar>
            <w:top w:w="0" w:type="dxa"/>
            <w:left w:w="108" w:type="dxa"/>
            <w:bottom w:w="0" w:type="dxa"/>
            <w:right w:w="108" w:type="dxa"/>
          </w:tblCellMar>
        </w:tblPrEx>
        <w:trPr>
          <w:trHeight w:val="690" w:hRule="atLeast"/>
        </w:trPr>
        <w:tc>
          <w:tcPr>
            <w:tcW w:w="4229" w:type="dxa"/>
            <w:noWrap w:val="0"/>
            <w:vAlign w:val="center"/>
          </w:tcPr>
          <w:p w14:paraId="5BEBC96A">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邮编：</w:t>
            </w:r>
          </w:p>
        </w:tc>
        <w:tc>
          <w:tcPr>
            <w:tcW w:w="4230" w:type="dxa"/>
            <w:noWrap w:val="0"/>
            <w:vAlign w:val="center"/>
          </w:tcPr>
          <w:p w14:paraId="0FC279B2">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邮编：</w:t>
            </w:r>
          </w:p>
        </w:tc>
      </w:tr>
      <w:tr w14:paraId="6048D6AB">
        <w:tblPrEx>
          <w:tblCellMar>
            <w:top w:w="0" w:type="dxa"/>
            <w:left w:w="108" w:type="dxa"/>
            <w:bottom w:w="0" w:type="dxa"/>
            <w:right w:w="108" w:type="dxa"/>
          </w:tblCellMar>
        </w:tblPrEx>
        <w:trPr>
          <w:trHeight w:val="1380" w:hRule="atLeast"/>
        </w:trPr>
        <w:tc>
          <w:tcPr>
            <w:tcW w:w="4229" w:type="dxa"/>
            <w:noWrap w:val="0"/>
            <w:vAlign w:val="center"/>
          </w:tcPr>
          <w:p w14:paraId="401FF6F2">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ascii="宋体" w:hAnsi="宋体" w:cs="宋体"/>
                <w:color w:val="auto"/>
                <w:sz w:val="24"/>
              </w:rPr>
            </w:pPr>
            <w:r>
              <w:rPr>
                <w:rFonts w:hint="eastAsia" w:ascii="宋体" w:hAnsi="宋体" w:cs="宋体"/>
                <w:color w:val="auto"/>
                <w:sz w:val="24"/>
              </w:rPr>
              <w:t>法定代表人</w:t>
            </w:r>
            <w:r>
              <w:rPr>
                <w:rFonts w:hint="eastAsia" w:ascii="宋体" w:hAnsi="宋体" w:cs="宋体"/>
                <w:color w:val="auto"/>
                <w:sz w:val="24"/>
                <w:lang w:val="en-US" w:eastAsia="zh-CN"/>
              </w:rPr>
              <w:t>或</w:t>
            </w:r>
            <w:r>
              <w:rPr>
                <w:rFonts w:ascii="宋体" w:hAnsi="宋体" w:cs="宋体"/>
                <w:color w:val="auto"/>
                <w:sz w:val="24"/>
              </w:rPr>
              <w:t xml:space="preserve"> </w:t>
            </w:r>
          </w:p>
          <w:p w14:paraId="5923CB0C">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ascii="宋体"/>
                <w:color w:val="auto"/>
                <w:sz w:val="24"/>
              </w:rPr>
            </w:pPr>
            <w:r>
              <w:rPr>
                <w:rFonts w:hint="eastAsia" w:ascii="宋体" w:hAnsi="宋体" w:cs="宋体"/>
                <w:color w:val="auto"/>
                <w:sz w:val="24"/>
              </w:rPr>
              <w:t>委托代理人：</w:t>
            </w:r>
          </w:p>
        </w:tc>
        <w:tc>
          <w:tcPr>
            <w:tcW w:w="4230" w:type="dxa"/>
            <w:tcBorders/>
            <w:noWrap w:val="0"/>
            <w:vAlign w:val="center"/>
          </w:tcPr>
          <w:p w14:paraId="210CB5C3">
            <w:pPr>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rPr>
                <w:rFonts w:hint="eastAsia" w:ascii="宋体" w:hAnsi="宋体" w:cs="宋体"/>
                <w:color w:val="auto"/>
                <w:sz w:val="24"/>
              </w:rPr>
            </w:pPr>
            <w:r>
              <w:rPr>
                <w:rFonts w:hint="eastAsia" w:ascii="宋体" w:hAnsi="宋体" w:cs="宋体"/>
                <w:color w:val="auto"/>
                <w:sz w:val="24"/>
              </w:rPr>
              <w:t>法定代表人</w:t>
            </w:r>
            <w:r>
              <w:rPr>
                <w:rFonts w:hint="eastAsia" w:ascii="宋体" w:hAnsi="宋体" w:cs="宋体"/>
                <w:color w:val="auto"/>
                <w:sz w:val="24"/>
                <w:lang w:val="en-US" w:eastAsia="zh-CN"/>
              </w:rPr>
              <w:t>或</w:t>
            </w:r>
            <w:r>
              <w:rPr>
                <w:rFonts w:ascii="宋体" w:hAnsi="宋体" w:cs="宋体"/>
                <w:color w:val="auto"/>
                <w:sz w:val="24"/>
              </w:rPr>
              <w:t xml:space="preserve"> </w:t>
            </w:r>
          </w:p>
          <w:p w14:paraId="2267F168">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委托代理人：</w:t>
            </w:r>
          </w:p>
        </w:tc>
      </w:tr>
      <w:tr w14:paraId="4B80E62B">
        <w:tblPrEx>
          <w:tblCellMar>
            <w:top w:w="0" w:type="dxa"/>
            <w:left w:w="108" w:type="dxa"/>
            <w:bottom w:w="0" w:type="dxa"/>
            <w:right w:w="108" w:type="dxa"/>
          </w:tblCellMar>
        </w:tblPrEx>
        <w:trPr>
          <w:trHeight w:val="690" w:hRule="atLeast"/>
        </w:trPr>
        <w:tc>
          <w:tcPr>
            <w:tcW w:w="4229" w:type="dxa"/>
            <w:noWrap w:val="0"/>
            <w:vAlign w:val="center"/>
          </w:tcPr>
          <w:p w14:paraId="5CBFA545">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电话：</w:t>
            </w:r>
          </w:p>
        </w:tc>
        <w:tc>
          <w:tcPr>
            <w:tcW w:w="4230" w:type="dxa"/>
            <w:noWrap w:val="0"/>
            <w:vAlign w:val="center"/>
          </w:tcPr>
          <w:p w14:paraId="6B0E50FC">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电话：</w:t>
            </w:r>
          </w:p>
        </w:tc>
      </w:tr>
      <w:tr w14:paraId="52509DB8">
        <w:tblPrEx>
          <w:tblCellMar>
            <w:top w:w="0" w:type="dxa"/>
            <w:left w:w="108" w:type="dxa"/>
            <w:bottom w:w="0" w:type="dxa"/>
            <w:right w:w="108" w:type="dxa"/>
          </w:tblCellMar>
        </w:tblPrEx>
        <w:trPr>
          <w:trHeight w:val="690" w:hRule="atLeast"/>
        </w:trPr>
        <w:tc>
          <w:tcPr>
            <w:tcW w:w="4229" w:type="dxa"/>
            <w:noWrap w:val="0"/>
            <w:vAlign w:val="center"/>
          </w:tcPr>
          <w:p w14:paraId="3DB57CCD">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传真：</w:t>
            </w:r>
          </w:p>
        </w:tc>
        <w:tc>
          <w:tcPr>
            <w:tcW w:w="4230" w:type="dxa"/>
            <w:noWrap w:val="0"/>
            <w:vAlign w:val="center"/>
          </w:tcPr>
          <w:p w14:paraId="2342C1D8">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传真：</w:t>
            </w:r>
          </w:p>
        </w:tc>
      </w:tr>
      <w:tr w14:paraId="4E909C3C">
        <w:tblPrEx>
          <w:tblCellMar>
            <w:top w:w="0" w:type="dxa"/>
            <w:left w:w="108" w:type="dxa"/>
            <w:bottom w:w="0" w:type="dxa"/>
            <w:right w:w="108" w:type="dxa"/>
          </w:tblCellMar>
        </w:tblPrEx>
        <w:trPr>
          <w:trHeight w:val="690" w:hRule="atLeast"/>
        </w:trPr>
        <w:tc>
          <w:tcPr>
            <w:tcW w:w="4229" w:type="dxa"/>
            <w:noWrap w:val="0"/>
            <w:vAlign w:val="center"/>
          </w:tcPr>
          <w:p w14:paraId="07CD6307">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开户银行：</w:t>
            </w:r>
          </w:p>
        </w:tc>
        <w:tc>
          <w:tcPr>
            <w:tcW w:w="4230" w:type="dxa"/>
            <w:noWrap w:val="0"/>
            <w:vAlign w:val="center"/>
          </w:tcPr>
          <w:p w14:paraId="32C7E669">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开户银行：</w:t>
            </w:r>
          </w:p>
        </w:tc>
      </w:tr>
      <w:tr w14:paraId="1055A4CE">
        <w:tblPrEx>
          <w:tblCellMar>
            <w:top w:w="0" w:type="dxa"/>
            <w:left w:w="108" w:type="dxa"/>
            <w:bottom w:w="0" w:type="dxa"/>
            <w:right w:w="108" w:type="dxa"/>
          </w:tblCellMar>
        </w:tblPrEx>
        <w:trPr>
          <w:trHeight w:val="690" w:hRule="atLeast"/>
        </w:trPr>
        <w:tc>
          <w:tcPr>
            <w:tcW w:w="4229" w:type="dxa"/>
            <w:noWrap w:val="0"/>
            <w:vAlign w:val="center"/>
          </w:tcPr>
          <w:p w14:paraId="67569E6B">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ascii="宋体"/>
                <w:color w:val="auto"/>
                <w:sz w:val="24"/>
              </w:rPr>
            </w:pPr>
            <w:r>
              <w:rPr>
                <w:rFonts w:hint="eastAsia" w:ascii="宋体" w:hAnsi="宋体" w:cs="宋体"/>
                <w:color w:val="auto"/>
                <w:sz w:val="24"/>
              </w:rPr>
              <w:t>日期：</w:t>
            </w:r>
          </w:p>
        </w:tc>
        <w:tc>
          <w:tcPr>
            <w:tcW w:w="4230" w:type="dxa"/>
            <w:noWrap w:val="0"/>
            <w:vAlign w:val="center"/>
          </w:tcPr>
          <w:p w14:paraId="73DE4909">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ascii="宋体"/>
                <w:color w:val="auto"/>
                <w:sz w:val="24"/>
              </w:rPr>
            </w:pPr>
            <w:r>
              <w:rPr>
                <w:rFonts w:hint="eastAsia" w:ascii="宋体" w:hAnsi="宋体" w:cs="宋体"/>
                <w:color w:val="auto"/>
                <w:sz w:val="24"/>
              </w:rPr>
              <w:t>日期：</w:t>
            </w:r>
          </w:p>
        </w:tc>
      </w:tr>
    </w:tbl>
    <w:p w14:paraId="4526BBB0">
      <w:pPr>
        <w:pStyle w:val="7"/>
        <w:rPr>
          <w:rFonts w:ascii="Lucida Sans Unicode" w:hAnsi="Lucida Sans Unicode" w:eastAsia="Lucida Sans Unicode" w:cs="Lucida Sans Unicode"/>
          <w:color w:val="auto"/>
          <w:sz w:val="19"/>
          <w:szCs w:val="19"/>
        </w:rPr>
      </w:pPr>
    </w:p>
    <w:p w14:paraId="76C1091F">
      <w:pPr>
        <w:keepNext w:val="0"/>
        <w:keepLines w:val="0"/>
        <w:pageBreakBefore w:val="0"/>
        <w:widowControl/>
        <w:kinsoku/>
        <w:wordWrap/>
        <w:overflowPunct/>
        <w:topLinePunct w:val="0"/>
        <w:autoSpaceDE/>
        <w:autoSpaceDN/>
        <w:bidi w:val="0"/>
        <w:adjustRightInd/>
        <w:snapToGrid/>
        <w:spacing w:line="520" w:lineRule="atLeast"/>
        <w:textAlignment w:val="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6276"/>
    <w:rsid w:val="04F83EEB"/>
    <w:rsid w:val="065038DE"/>
    <w:rsid w:val="06F76370"/>
    <w:rsid w:val="0C015C16"/>
    <w:rsid w:val="0C9C502E"/>
    <w:rsid w:val="18AF1506"/>
    <w:rsid w:val="1A653E95"/>
    <w:rsid w:val="1C4B0991"/>
    <w:rsid w:val="203105A6"/>
    <w:rsid w:val="29FA38B3"/>
    <w:rsid w:val="2B094B17"/>
    <w:rsid w:val="2BAF5BC0"/>
    <w:rsid w:val="2DC72A2F"/>
    <w:rsid w:val="372413A9"/>
    <w:rsid w:val="3B315BDE"/>
    <w:rsid w:val="3B65138C"/>
    <w:rsid w:val="3FB57555"/>
    <w:rsid w:val="42203971"/>
    <w:rsid w:val="44675005"/>
    <w:rsid w:val="45570510"/>
    <w:rsid w:val="45943BEF"/>
    <w:rsid w:val="45BF007D"/>
    <w:rsid w:val="49E72DEA"/>
    <w:rsid w:val="49FF23AB"/>
    <w:rsid w:val="4E344243"/>
    <w:rsid w:val="4F4E6866"/>
    <w:rsid w:val="4FA64C9F"/>
    <w:rsid w:val="534F48F0"/>
    <w:rsid w:val="55AF7117"/>
    <w:rsid w:val="5BD95038"/>
    <w:rsid w:val="5C485CEA"/>
    <w:rsid w:val="69BA5839"/>
    <w:rsid w:val="69ED5A80"/>
    <w:rsid w:val="6B0634EE"/>
    <w:rsid w:val="6FD632BA"/>
    <w:rsid w:val="775F036E"/>
    <w:rsid w:val="793F7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16"/>
    <w:qFormat/>
    <w:uiPriority w:val="0"/>
    <w:pPr>
      <w:keepNext/>
      <w:keepLines/>
      <w:spacing w:beforeLines="0" w:beforeAutospacing="0" w:afterLines="0" w:afterAutospacing="0" w:line="240" w:lineRule="auto"/>
      <w:jc w:val="center"/>
      <w:outlineLvl w:val="0"/>
    </w:pPr>
    <w:rPr>
      <w:b/>
      <w:kern w:val="44"/>
      <w:sz w:val="30"/>
    </w:rPr>
  </w:style>
  <w:style w:type="paragraph" w:styleId="3">
    <w:name w:val="heading 2"/>
    <w:basedOn w:val="1"/>
    <w:next w:val="1"/>
    <w:qFormat/>
    <w:uiPriority w:val="0"/>
    <w:pPr>
      <w:keepNext/>
      <w:keepLines/>
      <w:spacing w:beforeLines="0" w:beforeAutospacing="0" w:afterLines="0" w:afterAutospacing="0" w:line="240" w:lineRule="auto"/>
      <w:jc w:val="center"/>
      <w:outlineLvl w:val="1"/>
    </w:pPr>
    <w:rPr>
      <w:rFonts w:ascii="Arial" w:hAnsi="Arial" w:eastAsia="宋体"/>
      <w:b/>
      <w:sz w:val="28"/>
    </w:rPr>
  </w:style>
  <w:style w:type="paragraph" w:styleId="4">
    <w:name w:val="heading 4"/>
    <w:basedOn w:val="1"/>
    <w:next w:val="1"/>
    <w:qFormat/>
    <w:uiPriority w:val="0"/>
    <w:pPr>
      <w:keepNext/>
      <w:outlineLvl w:val="3"/>
    </w:pPr>
    <w:rPr>
      <w:color w:val="FF0000"/>
      <w:sz w:val="28"/>
      <w:u w:val="single"/>
    </w:rPr>
  </w:style>
  <w:style w:type="paragraph" w:styleId="5">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qFormat/>
    <w:uiPriority w:val="0"/>
    <w:rPr>
      <w:color w:val="993300"/>
      <w:sz w:val="24"/>
    </w:rPr>
  </w:style>
  <w:style w:type="paragraph" w:styleId="8">
    <w:name w:val="index 4"/>
    <w:basedOn w:val="1"/>
    <w:next w:val="1"/>
    <w:qFormat/>
    <w:uiPriority w:val="0"/>
    <w:pPr>
      <w:ind w:left="600" w:leftChars="600"/>
    </w:pPr>
    <w:rPr>
      <w:rFonts w:ascii="Times New Roman" w:hAnsi="Times New Roman"/>
    </w:rPr>
  </w:style>
  <w:style w:type="paragraph" w:styleId="9">
    <w:name w:val="Plain Text"/>
    <w:basedOn w:val="1"/>
    <w:qFormat/>
    <w:uiPriority w:val="0"/>
    <w:rPr>
      <w:rFonts w:ascii="宋体" w:hAnsi="Courier New" w:cs="Courier New"/>
      <w:szCs w:val="21"/>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3">
    <w:name w:val="Char"/>
    <w:basedOn w:val="1"/>
    <w:next w:val="1"/>
    <w:qFormat/>
    <w:uiPriority w:val="0"/>
    <w:rPr>
      <w:rFonts w:ascii="仿宋_GB2312" w:eastAsia="仿宋_GB2312"/>
      <w:szCs w:val="32"/>
    </w:rPr>
  </w:style>
  <w:style w:type="paragraph" w:styleId="14">
    <w:name w:val="List Paragraph"/>
    <w:basedOn w:val="1"/>
    <w:qFormat/>
    <w:uiPriority w:val="0"/>
    <w:pPr>
      <w:ind w:left="720"/>
      <w:contextualSpacing/>
    </w:pPr>
  </w:style>
  <w:style w:type="paragraph" w:customStyle="1" w:styleId="15">
    <w:name w:val="p17"/>
    <w:basedOn w:val="1"/>
    <w:qFormat/>
    <w:uiPriority w:val="0"/>
    <w:pPr>
      <w:widowControl/>
      <w:spacing w:line="550" w:lineRule="atLeast"/>
      <w:ind w:firstLine="570"/>
      <w:jc w:val="left"/>
    </w:pPr>
    <w:rPr>
      <w:rFonts w:ascii="华文新魏" w:hAnsi="宋体" w:eastAsia="华文新魏" w:cs="宋体"/>
      <w:kern w:val="0"/>
      <w:sz w:val="28"/>
      <w:szCs w:val="28"/>
    </w:rPr>
  </w:style>
  <w:style w:type="character" w:customStyle="1" w:styleId="16">
    <w:name w:val="标题 1 字符"/>
    <w:link w:val="2"/>
    <w:qFormat/>
    <w:uiPriority w:val="0"/>
    <w:rPr>
      <w:b/>
      <w:kern w:val="44"/>
      <w:sz w:val="30"/>
    </w:rPr>
  </w:style>
  <w:style w:type="paragraph" w:customStyle="1" w:styleId="17">
    <w:name w:val="列出段落1"/>
    <w:basedOn w:val="1"/>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3510</Words>
  <Characters>3582</Characters>
  <Lines>0</Lines>
  <Paragraphs>0</Paragraphs>
  <TotalTime>1</TotalTime>
  <ScaleCrop>false</ScaleCrop>
  <LinksUpToDate>false</LinksUpToDate>
  <CharactersWithSpaces>3645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2025-09-22T06:27:00Z</dcterms:created>
  <dc:creator>Administrator</dc:creator>
  <cp:lastModifiedBy>夏花雨末</cp:lastModifiedBy>
  <cp:lastPrinted>2025-10-24T08:34:00Z</cp:lastPrinted>
  <dcterms:modified xsi:type="dcterms:W3CDTF">2026-05-10T09:29:11Z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eyJoZGlkIjoiMGFhMTIzN2I1ZDVmNGVhNzExOGQwZGY4N2VjZTc1MTEiLCJ1c2VySWQiOiIyNDc0MDEwMTUifQ==</vt:lpwstr>
  </property>
  <property fmtid="{D5CDD505-2E9C-101B-9397-08002B2CF9AE}" pid="4" name="ICV">
    <vt:lpwstr>47541812BDEF4A1AA6A7E44812D726C3_13</vt:lpwstr>
  </property>
</Properties>
</file>