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41C96">
      <w:pPr>
        <w:pStyle w:val="5"/>
      </w:pPr>
    </w:p>
    <w:p w14:paraId="49E58974">
      <w:pPr>
        <w:spacing w:line="240" w:lineRule="auto"/>
        <w:jc w:val="center"/>
        <w:rPr>
          <w:rFonts w:hint="eastAsia"/>
          <w:color w:val="auto"/>
          <w:sz w:val="52"/>
          <w:szCs w:val="52"/>
          <w:lang w:val="en-US" w:eastAsia="zh-CN"/>
        </w:rPr>
      </w:pPr>
      <w:r>
        <w:rPr>
          <w:rFonts w:hint="eastAsia"/>
          <w:color w:val="auto"/>
          <w:sz w:val="52"/>
          <w:szCs w:val="52"/>
          <w:lang w:val="en-US" w:eastAsia="zh-CN"/>
        </w:rPr>
        <w:t>延安市公共资源交易中心</w:t>
      </w:r>
    </w:p>
    <w:p w14:paraId="58303888">
      <w:pPr>
        <w:spacing w:line="240" w:lineRule="auto"/>
        <w:jc w:val="center"/>
        <w:rPr>
          <w:rFonts w:hint="eastAsia"/>
          <w:color w:val="auto"/>
          <w:sz w:val="52"/>
          <w:szCs w:val="52"/>
          <w:lang w:val="en-US" w:eastAsia="zh-CN"/>
        </w:rPr>
      </w:pPr>
      <w:r>
        <w:rPr>
          <w:rFonts w:hint="eastAsia"/>
          <w:color w:val="auto"/>
          <w:sz w:val="52"/>
          <w:szCs w:val="52"/>
          <w:lang w:val="en-US" w:eastAsia="zh-CN"/>
        </w:rPr>
        <w:t>（延安市市直单位政府采购中心 ）</w:t>
      </w:r>
    </w:p>
    <w:p w14:paraId="14B6DB55">
      <w:pPr>
        <w:pStyle w:val="26"/>
      </w:pP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1482CFF">
      <w:pPr>
        <w:pStyle w:val="20"/>
        <w:ind w:firstLine="183"/>
        <w:rPr>
          <w:color w:val="auto"/>
        </w:rPr>
      </w:pPr>
    </w:p>
    <w:p w14:paraId="2E03C3D7">
      <w:pPr>
        <w:pStyle w:val="30"/>
        <w:ind w:firstLine="727"/>
        <w:rPr>
          <w:color w:val="auto"/>
          <w:sz w:val="36"/>
          <w:szCs w:val="36"/>
        </w:rPr>
      </w:pPr>
    </w:p>
    <w:p w14:paraId="243AF6E0">
      <w:pPr>
        <w:pStyle w:val="30"/>
        <w:spacing w:line="240" w:lineRule="auto"/>
        <w:ind w:right="424" w:rightChars="150" w:firstLine="727"/>
        <w:rPr>
          <w:color w:val="auto"/>
          <w:sz w:val="36"/>
          <w:szCs w:val="36"/>
        </w:rPr>
      </w:pPr>
    </w:p>
    <w:p w14:paraId="7EEDFD39">
      <w:pPr>
        <w:spacing w:line="240" w:lineRule="auto"/>
        <w:ind w:left="2539" w:leftChars="256" w:right="707" w:rightChars="250" w:hanging="1815" w:hangingChars="500"/>
        <w:rPr>
          <w:rFonts w:hint="eastAsia"/>
          <w:b/>
          <w:bCs/>
          <w:color w:val="auto"/>
          <w:spacing w:val="-11"/>
          <w:sz w:val="36"/>
          <w:szCs w:val="36"/>
          <w:lang w:eastAsia="zh-CN"/>
        </w:rPr>
      </w:pPr>
      <w:r>
        <w:rPr>
          <w:rFonts w:hint="eastAsia"/>
          <w:b/>
          <w:bCs/>
          <w:color w:val="auto"/>
          <w:sz w:val="36"/>
          <w:szCs w:val="36"/>
        </w:rPr>
        <w:t>项目名称：</w:t>
      </w:r>
      <w:r>
        <w:rPr>
          <w:rFonts w:hint="eastAsia"/>
          <w:b/>
          <w:bCs/>
          <w:color w:val="auto"/>
          <w:spacing w:val="-11"/>
          <w:sz w:val="36"/>
          <w:szCs w:val="36"/>
          <w:lang w:eastAsia="zh-CN"/>
        </w:rPr>
        <w:t>延安市自然资源局</w:t>
      </w:r>
      <w:r>
        <w:rPr>
          <w:rFonts w:hint="eastAsia"/>
          <w:b/>
          <w:bCs/>
          <w:color w:val="auto"/>
          <w:spacing w:val="-11"/>
          <w:sz w:val="36"/>
          <w:szCs w:val="36"/>
          <w:lang w:val="en-US" w:eastAsia="zh-CN"/>
        </w:rPr>
        <w:t>-延地质灾害群专结合监测预警信息核查处置</w:t>
      </w:r>
    </w:p>
    <w:p w14:paraId="79D043DC">
      <w:pPr>
        <w:spacing w:line="240" w:lineRule="auto"/>
        <w:ind w:left="2539" w:leftChars="256" w:right="707" w:rightChars="250" w:hanging="1815" w:hangingChars="500"/>
        <w:rPr>
          <w:rFonts w:hint="default" w:eastAsia="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rPr>
        <w:t>YAZCJC</w:t>
      </w:r>
      <w:r>
        <w:rPr>
          <w:rFonts w:hint="eastAsia" w:ascii="仿宋" w:hAnsi="仿宋" w:eastAsia="仿宋" w:cs="仿宋"/>
          <w:b/>
          <w:bCs/>
          <w:color w:val="auto"/>
          <w:sz w:val="36"/>
          <w:szCs w:val="36"/>
          <w:lang w:eastAsia="zh-CN"/>
        </w:rPr>
        <w:t>2026-</w:t>
      </w:r>
      <w:r>
        <w:rPr>
          <w:rFonts w:hint="eastAsia" w:ascii="仿宋" w:hAnsi="仿宋" w:eastAsia="仿宋" w:cs="仿宋"/>
          <w:b/>
          <w:bCs/>
          <w:color w:val="auto"/>
          <w:sz w:val="36"/>
          <w:szCs w:val="36"/>
          <w:lang w:val="en-US" w:eastAsia="zh-CN"/>
        </w:rPr>
        <w:t>34</w:t>
      </w:r>
    </w:p>
    <w:p w14:paraId="11573C8A">
      <w:pPr>
        <w:spacing w:line="240" w:lineRule="auto"/>
        <w:ind w:right="707" w:rightChars="250" w:firstLine="726" w:firstLineChars="200"/>
        <w:jc w:val="left"/>
        <w:rPr>
          <w:rFonts w:hint="eastAsia" w:eastAsia="华文仿宋"/>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延安市自然资源局</w:t>
      </w:r>
    </w:p>
    <w:p w14:paraId="5A625861">
      <w:pPr>
        <w:spacing w:line="240" w:lineRule="auto"/>
        <w:ind w:left="3265" w:leftChars="256" w:right="707" w:rightChars="250" w:hanging="2541" w:hangingChars="7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  延安市公共资源交易中心</w:t>
      </w:r>
    </w:p>
    <w:p w14:paraId="72B45EA1">
      <w:pPr>
        <w:spacing w:line="240" w:lineRule="auto"/>
        <w:ind w:left="3260" w:leftChars="1024" w:right="707" w:rightChars="250" w:hanging="363" w:hangingChars="100"/>
        <w:rPr>
          <w:rFonts w:hint="eastAsia"/>
          <w:b/>
          <w:bCs/>
          <w:color w:val="auto"/>
          <w:sz w:val="36"/>
          <w:szCs w:val="36"/>
        </w:rPr>
      </w:pPr>
      <w:r>
        <w:rPr>
          <w:rFonts w:hint="eastAsia"/>
          <w:b/>
          <w:bCs/>
          <w:color w:val="auto"/>
          <w:sz w:val="36"/>
          <w:szCs w:val="36"/>
          <w:lang w:val="en-US" w:eastAsia="zh-CN"/>
        </w:rPr>
        <w:t>（延安市市直单位政府采购中心 ）</w:t>
      </w:r>
      <w:r>
        <w:rPr>
          <w:rFonts w:hint="eastAsia"/>
          <w:b/>
          <w:bCs/>
          <w:color w:val="auto"/>
          <w:sz w:val="36"/>
          <w:szCs w:val="36"/>
        </w:rPr>
        <w:t xml:space="preserve"> </w:t>
      </w:r>
    </w:p>
    <w:p w14:paraId="0214197E">
      <w:pPr>
        <w:spacing w:line="240" w:lineRule="auto"/>
        <w:ind w:left="3260" w:leftChars="1024" w:right="707" w:rightChars="250" w:hanging="363" w:hangingChars="100"/>
        <w:rPr>
          <w:rFonts w:hint="eastAsia"/>
          <w:b/>
          <w:bCs/>
          <w:color w:val="auto"/>
          <w:sz w:val="36"/>
          <w:szCs w:val="36"/>
          <w:lang w:val="en-US" w:eastAsia="zh-CN"/>
        </w:rPr>
      </w:pPr>
    </w:p>
    <w:p w14:paraId="2A7D1F80">
      <w:pPr>
        <w:spacing w:line="240" w:lineRule="auto"/>
        <w:ind w:left="3260" w:leftChars="1024" w:right="707" w:rightChars="250" w:hanging="363" w:hangingChars="100"/>
        <w:rPr>
          <w:rFonts w:hint="default" w:eastAsia="华文仿宋"/>
          <w:b/>
          <w:bCs/>
          <w:color w:val="auto"/>
          <w:sz w:val="36"/>
          <w:szCs w:val="36"/>
          <w:highlight w:val="none"/>
          <w:lang w:val="en-US" w:eastAsia="zh-CN"/>
        </w:rPr>
      </w:pPr>
      <w:r>
        <w:rPr>
          <w:rFonts w:hint="eastAsia"/>
          <w:b/>
          <w:bCs/>
          <w:color w:val="auto"/>
          <w:sz w:val="36"/>
          <w:szCs w:val="36"/>
          <w:highlight w:val="none"/>
          <w:lang w:val="en-US" w:eastAsia="zh-CN"/>
        </w:rPr>
        <w:t>2026年10月14日</w:t>
      </w:r>
    </w:p>
    <w:p w14:paraId="52197E8A">
      <w:pPr>
        <w:spacing w:line="240" w:lineRule="auto"/>
        <w:ind w:right="424" w:rightChars="150" w:firstLine="726" w:firstLineChars="200"/>
        <w:rPr>
          <w:color w:val="auto"/>
          <w:sz w:val="36"/>
          <w:szCs w:val="36"/>
        </w:rPr>
      </w:pPr>
    </w:p>
    <w:p w14:paraId="64F503CB">
      <w:pPr>
        <w:pStyle w:val="14"/>
        <w:tabs>
          <w:tab w:val="right" w:leader="dot" w:pos="9072"/>
        </w:tabs>
        <w:spacing w:beforeLines="50" w:afterLines="50" w:line="500" w:lineRule="exact"/>
        <w:jc w:val="center"/>
        <w:rPr>
          <w:rFonts w:hint="eastAsia" w:ascii="黑体" w:hAnsi="黑体" w:eastAsia="黑体"/>
          <w:color w:val="auto"/>
          <w:sz w:val="44"/>
          <w:szCs w:val="44"/>
        </w:rPr>
      </w:pPr>
      <w:bookmarkStart w:id="0" w:name="_Toc30340_WPSOffice_Level1"/>
      <w:bookmarkStart w:id="1" w:name="_Toc30102_WPSOffice_Level1"/>
      <w:bookmarkStart w:id="2" w:name="_Toc10222_WPSOffice_Level1"/>
    </w:p>
    <w:p w14:paraId="1130A058">
      <w:pPr>
        <w:rPr>
          <w:rFonts w:hint="eastAsia"/>
        </w:rPr>
      </w:pPr>
    </w:p>
    <w:p w14:paraId="08A4F9D5">
      <w:pPr>
        <w:pStyle w:val="14"/>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4"/>
        <w:tabs>
          <w:tab w:val="right" w:leader="dot" w:pos="9072"/>
        </w:tabs>
        <w:spacing w:line="500" w:lineRule="exact"/>
        <w:ind w:left="0" w:leftChars="0" w:firstLine="1694" w:firstLineChars="599"/>
        <w:rPr>
          <w:rFonts w:hint="eastAsia" w:ascii="黑体" w:hAnsi="黑体" w:eastAsia="黑体" w:cs="黑体"/>
          <w:color w:val="auto"/>
        </w:rPr>
      </w:pPr>
    </w:p>
    <w:p w14:paraId="1FA3D71D">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第一章  磋商邀请函</w:t>
      </w:r>
    </w:p>
    <w:p w14:paraId="2756F9C8">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第二章  供应商须知</w:t>
      </w:r>
    </w:p>
    <w:p w14:paraId="41224AC9">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一、定义</w:t>
      </w:r>
    </w:p>
    <w:p w14:paraId="4B69BF30">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二、供应商注意事项</w:t>
      </w:r>
    </w:p>
    <w:p w14:paraId="673444E3">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三、电子磋商文件</w:t>
      </w:r>
    </w:p>
    <w:p w14:paraId="6E79551A">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四、磋商报价</w:t>
      </w:r>
    </w:p>
    <w:p w14:paraId="1A026BC5">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五、电子响应文件</w:t>
      </w:r>
    </w:p>
    <w:p w14:paraId="15BD52A3">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六、开启电子响应文件</w:t>
      </w:r>
    </w:p>
    <w:p w14:paraId="06C1C63A">
      <w:pPr>
        <w:pStyle w:val="14"/>
        <w:tabs>
          <w:tab w:val="right" w:leader="dot" w:pos="9072"/>
        </w:tabs>
        <w:spacing w:line="500" w:lineRule="exact"/>
        <w:ind w:left="0" w:leftChars="0" w:firstLine="1694" w:firstLineChars="599"/>
        <w:rPr>
          <w:rFonts w:hint="eastAsia" w:ascii="黑体" w:hAnsi="黑体" w:eastAsia="黑体" w:cs="黑体"/>
          <w:color w:val="auto"/>
        </w:rPr>
      </w:pPr>
      <w:r>
        <w:rPr>
          <w:rFonts w:hint="eastAsia" w:ascii="黑体" w:hAnsi="黑体" w:eastAsia="黑体" w:cs="黑体"/>
          <w:color w:val="auto"/>
        </w:rPr>
        <w:t>七、组织评审</w:t>
      </w:r>
    </w:p>
    <w:p w14:paraId="41C9BCA9">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八、成交</w:t>
      </w:r>
    </w:p>
    <w:p w14:paraId="559664C9">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九、签订政府采购合同</w:t>
      </w:r>
    </w:p>
    <w:p w14:paraId="2B9606F3">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十、其他</w:t>
      </w:r>
    </w:p>
    <w:p w14:paraId="05A173AD">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第三章  磋商内容及采购要求</w:t>
      </w:r>
    </w:p>
    <w:p w14:paraId="330CEA41">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第四章  合同草案条款</w:t>
      </w:r>
    </w:p>
    <w:p w14:paraId="26C1DEB1">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第五章  电子响应文件构成及格式</w:t>
      </w:r>
    </w:p>
    <w:p w14:paraId="5CADDF6A">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第一部分  资格证明文件</w:t>
      </w:r>
    </w:p>
    <w:p w14:paraId="6EDF0147">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p>
    <w:p w14:paraId="1855B683">
      <w:pPr>
        <w:pStyle w:val="16"/>
        <w:tabs>
          <w:tab w:val="right" w:leader="dot" w:pos="9072"/>
        </w:tabs>
        <w:spacing w:line="500" w:lineRule="exact"/>
        <w:ind w:left="0" w:leftChars="0" w:firstLine="1694" w:firstLineChars="599"/>
        <w:rPr>
          <w:rFonts w:hint="default" w:ascii="黑体" w:hAnsi="黑体" w:eastAsia="黑体"/>
          <w:color w:val="auto"/>
          <w:szCs w:val="32"/>
          <w:lang w:val="en-US" w:eastAsia="zh-CN"/>
        </w:rPr>
      </w:pPr>
      <w:r>
        <w:rPr>
          <w:rFonts w:hint="eastAsia" w:ascii="黑体" w:hAnsi="黑体" w:eastAsia="黑体" w:cs="黑体"/>
          <w:color w:val="auto"/>
        </w:rPr>
        <w:t>第三部分  响应方案</w:t>
      </w:r>
    </w:p>
    <w:p w14:paraId="48053CFE">
      <w:pPr>
        <w:tabs>
          <w:tab w:val="center" w:pos="60"/>
        </w:tabs>
        <w:rPr>
          <w:rFonts w:hint="eastAsia" w:eastAsia="华文仿宋"/>
          <w:color w:val="auto"/>
          <w:lang w:eastAsia="zh-CN"/>
        </w:rPr>
      </w:pPr>
      <w:r>
        <w:rPr>
          <w:rFonts w:hint="eastAsia"/>
          <w:color w:val="auto"/>
          <w:lang w:eastAsia="zh-CN"/>
        </w:rPr>
        <w:tab/>
      </w:r>
    </w:p>
    <w:p w14:paraId="1F4E2172">
      <w:pPr>
        <w:outlineLvl w:val="9"/>
        <w:rPr>
          <w:rFonts w:hint="eastAsia" w:ascii="黑体" w:hAnsi="黑体" w:eastAsia="黑体"/>
          <w:b w:val="0"/>
          <w:color w:val="auto"/>
          <w:szCs w:val="32"/>
          <w:lang w:eastAsia="zh-CN"/>
        </w:rPr>
        <w:sectPr>
          <w:headerReference r:id="rId5" w:type="default"/>
          <w:footerReference r:id="rId6" w:type="default"/>
          <w:pgSz w:w="11906" w:h="16838"/>
          <w:pgMar w:top="1417" w:right="1417" w:bottom="1417" w:left="1417" w:header="850" w:footer="992" w:gutter="0"/>
          <w:pgNumType w:start="1"/>
          <w:cols w:space="720" w:num="1"/>
          <w:docGrid w:type="linesAndChars" w:linePitch="381" w:charSpace="704"/>
        </w:sectPr>
      </w:pPr>
      <w:r>
        <w:rPr>
          <w:rFonts w:hint="eastAsia" w:ascii="黑体" w:hAnsi="黑体"/>
          <w:b w:val="0"/>
          <w:color w:val="auto"/>
          <w:szCs w:val="32"/>
          <w:lang w:eastAsia="zh-CN"/>
        </w:rPr>
        <w:tab/>
      </w:r>
    </w:p>
    <w:p w14:paraId="2F621B0B">
      <w:pPr>
        <w:pStyle w:val="2"/>
        <w:spacing w:line="500" w:lineRule="exact"/>
        <w:jc w:val="center"/>
        <w:rPr>
          <w:rFonts w:ascii="黑体" w:hAnsi="黑体"/>
          <w:b w:val="0"/>
          <w:color w:val="auto"/>
          <w:szCs w:val="32"/>
        </w:rPr>
      </w:pPr>
      <w:bookmarkStart w:id="3" w:name="_Toc21489"/>
      <w:bookmarkStart w:id="4" w:name="_Toc26235"/>
      <w:bookmarkStart w:id="5" w:name="_Toc24418"/>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31"/>
        <w:spacing w:line="500" w:lineRule="exact"/>
        <w:ind w:firstLine="567"/>
        <w:rPr>
          <w:rFonts w:ascii="华文仿宋" w:hAnsi="华文仿宋" w:cs="华文仿宋"/>
          <w:color w:val="auto"/>
          <w:highlight w:val="none"/>
        </w:rPr>
      </w:pPr>
      <w:bookmarkStart w:id="6" w:name="_Toc8775_WPSOffice_Level2"/>
      <w:bookmarkStart w:id="7" w:name="_Toc15046_WPSOffice_Level2"/>
      <w:bookmarkStart w:id="8" w:name="_Toc22804_WPSOffice_Level2"/>
      <w:bookmarkStart w:id="9" w:name="_Toc6471"/>
      <w:r>
        <w:rPr>
          <w:rFonts w:hint="eastAsia" w:ascii="华文仿宋" w:hAnsi="华文仿宋" w:cs="华文仿宋"/>
          <w:b/>
          <w:bCs/>
          <w:color w:val="auto"/>
          <w:lang w:eastAsia="zh-CN"/>
        </w:rPr>
        <w:t>延安市自然资源局-延地质灾害群专结合监测预警信息核查处置</w:t>
      </w:r>
      <w:r>
        <w:rPr>
          <w:rFonts w:hint="eastAsia" w:ascii="华文仿宋" w:hAnsi="华文仿宋" w:cs="华文仿宋"/>
          <w:color w:val="auto"/>
          <w:highlight w:val="none"/>
        </w:rPr>
        <w:t>潜在的供应商可在全国公共资源交易平台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10-29  10：00</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2"/>
        </w:numPr>
        <w:spacing w:line="500" w:lineRule="exact"/>
        <w:ind w:firstLine="566"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7698"/>
      <w:bookmarkStart w:id="11" w:name="_Toc28286_WPSOffice_Level2"/>
      <w:bookmarkStart w:id="12" w:name="_Toc181_WPSOffice_Level2"/>
      <w:bookmarkStart w:id="13" w:name="_Toc619_WPSOffice_Level2"/>
      <w:r>
        <w:rPr>
          <w:rFonts w:hint="eastAsia"/>
          <w:b w:val="0"/>
          <w:bCs w:val="0"/>
          <w:color w:val="auto"/>
          <w:lang w:eastAsia="zh-CN"/>
        </w:rPr>
        <w:t>延安市自然资源局-延地质灾害群专结合监测预警信息核查处置</w:t>
      </w:r>
    </w:p>
    <w:p w14:paraId="4D09738F">
      <w:pPr>
        <w:numPr>
          <w:ilvl w:val="0"/>
          <w:numId w:val="0"/>
        </w:numPr>
        <w:spacing w:line="500" w:lineRule="exact"/>
        <w:ind w:firstLine="566" w:firstLineChars="200"/>
        <w:rPr>
          <w:rFonts w:hint="default" w:eastAsia="仿宋"/>
          <w:b/>
          <w:bCs/>
          <w:color w:val="auto"/>
          <w:lang w:val="en-US" w:eastAsia="zh-CN"/>
        </w:rPr>
      </w:pPr>
      <w:r>
        <w:rPr>
          <w:rFonts w:hint="eastAsia"/>
          <w:b/>
          <w:bCs/>
          <w:color w:val="auto"/>
        </w:rPr>
        <w:t>二、项目编号：</w:t>
      </w:r>
      <w:bookmarkEnd w:id="10"/>
      <w:bookmarkEnd w:id="11"/>
      <w:bookmarkEnd w:id="12"/>
      <w:bookmarkEnd w:id="13"/>
      <w:bookmarkStart w:id="14" w:name="_Toc22627_WPSOffice_Level2"/>
      <w:bookmarkStart w:id="15" w:name="_Toc7884"/>
      <w:bookmarkStart w:id="16" w:name="_Toc23148_WPSOffice_Level2"/>
      <w:bookmarkStart w:id="17" w:name="_Toc8221_WPSOffice_Level2"/>
      <w:r>
        <w:rPr>
          <w:rFonts w:hint="eastAsia" w:ascii="仿宋" w:hAnsi="仿宋" w:eastAsia="仿宋" w:cs="仿宋"/>
          <w:color w:val="auto"/>
          <w:highlight w:val="none"/>
        </w:rPr>
        <w:t>YAZCJC</w:t>
      </w:r>
      <w:r>
        <w:rPr>
          <w:rFonts w:hint="eastAsia" w:ascii="仿宋" w:hAnsi="仿宋" w:eastAsia="仿宋" w:cs="仿宋"/>
          <w:color w:val="auto"/>
          <w:highlight w:val="none"/>
          <w:lang w:eastAsia="zh-CN"/>
        </w:rPr>
        <w:t>2026-</w:t>
      </w:r>
      <w:r>
        <w:rPr>
          <w:rFonts w:hint="eastAsia" w:ascii="仿宋" w:hAnsi="仿宋" w:eastAsia="仿宋" w:cs="仿宋"/>
          <w:color w:val="auto"/>
          <w:highlight w:val="none"/>
          <w:lang w:val="en-US" w:eastAsia="zh-CN"/>
        </w:rPr>
        <w:t>34</w:t>
      </w:r>
    </w:p>
    <w:bookmarkEnd w:id="14"/>
    <w:bookmarkEnd w:id="15"/>
    <w:bookmarkEnd w:id="16"/>
    <w:bookmarkEnd w:id="17"/>
    <w:p w14:paraId="727570DE">
      <w:pPr>
        <w:spacing w:line="500" w:lineRule="exact"/>
        <w:ind w:firstLine="566" w:firstLineChars="200"/>
        <w:rPr>
          <w:rFonts w:hint="eastAsia" w:ascii="华文仿宋" w:hAnsi="华文仿宋" w:eastAsia="华文仿宋" w:cs="华文仿宋"/>
          <w:color w:val="auto"/>
          <w:lang w:eastAsia="zh-CN"/>
        </w:rPr>
      </w:pPr>
      <w:bookmarkStart w:id="18" w:name="_Toc30103_WPSOffice_Level2"/>
      <w:bookmarkStart w:id="19" w:name="_Toc29947_WPSOffice_Level2"/>
      <w:bookmarkStart w:id="20" w:name="_Toc31311_WPSOffice_Level2"/>
      <w:bookmarkStart w:id="21" w:name="_Toc27211"/>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延安市自然资源局</w:t>
      </w:r>
    </w:p>
    <w:p w14:paraId="1FAD7762">
      <w:pPr>
        <w:keepNext w:val="0"/>
        <w:keepLines w:val="0"/>
        <w:pageBreakBefore w:val="0"/>
        <w:widowControl/>
        <w:kinsoku/>
        <w:wordWrap/>
        <w:overflowPunct/>
        <w:topLinePunct w:val="0"/>
        <w:autoSpaceDE/>
        <w:autoSpaceDN/>
        <w:bidi w:val="0"/>
        <w:adjustRightInd/>
        <w:snapToGrid/>
        <w:spacing w:line="500" w:lineRule="exact"/>
        <w:ind w:firstLine="1132" w:firstLineChars="400"/>
        <w:textAlignment w:val="auto"/>
        <w:rPr>
          <w:rFonts w:hint="default"/>
          <w:b w:val="0"/>
          <w:bCs w:val="0"/>
          <w:color w:val="auto"/>
          <w:lang w:val="en-US" w:eastAsia="zh-CN"/>
        </w:rPr>
      </w:pPr>
      <w:r>
        <w:rPr>
          <w:rFonts w:hint="eastAsia"/>
          <w:b w:val="0"/>
          <w:bCs w:val="0"/>
          <w:color w:val="auto"/>
          <w:lang w:eastAsia="zh-CN"/>
        </w:rPr>
        <w:t>地  址：</w:t>
      </w:r>
      <w:r>
        <w:rPr>
          <w:rFonts w:hint="eastAsia"/>
          <w:b w:val="0"/>
          <w:bCs w:val="0"/>
          <w:color w:val="auto"/>
          <w:lang w:val="en-US" w:eastAsia="zh-CN"/>
        </w:rPr>
        <w:t>延安市新区为民服务中心1号楼</w:t>
      </w:r>
    </w:p>
    <w:p w14:paraId="158D018F">
      <w:pPr>
        <w:keepNext w:val="0"/>
        <w:keepLines w:val="0"/>
        <w:pageBreakBefore w:val="0"/>
        <w:widowControl/>
        <w:kinsoku/>
        <w:wordWrap/>
        <w:overflowPunct/>
        <w:topLinePunct w:val="0"/>
        <w:autoSpaceDE/>
        <w:autoSpaceDN/>
        <w:bidi w:val="0"/>
        <w:adjustRightInd/>
        <w:snapToGrid/>
        <w:spacing w:line="500" w:lineRule="exact"/>
        <w:ind w:firstLine="1132" w:firstLineChars="400"/>
        <w:textAlignment w:val="auto"/>
        <w:rPr>
          <w:rFonts w:hint="eastAsia"/>
          <w:b w:val="0"/>
          <w:bCs w:val="0"/>
          <w:color w:val="auto"/>
          <w:lang w:eastAsia="zh-CN"/>
        </w:rPr>
      </w:pPr>
      <w:r>
        <w:rPr>
          <w:rFonts w:hint="eastAsia"/>
          <w:b w:val="0"/>
          <w:bCs w:val="0"/>
          <w:color w:val="auto"/>
          <w:lang w:eastAsia="zh-CN"/>
        </w:rPr>
        <w:t>联系人：</w:t>
      </w:r>
      <w:r>
        <w:rPr>
          <w:rFonts w:hint="eastAsia"/>
          <w:b w:val="0"/>
          <w:bCs w:val="0"/>
          <w:color w:val="auto"/>
          <w:lang w:val="en-US" w:eastAsia="zh-CN"/>
        </w:rPr>
        <w:t>张</w:t>
      </w:r>
      <w:r>
        <w:rPr>
          <w:rFonts w:hint="eastAsia"/>
          <w:b w:val="0"/>
          <w:bCs w:val="0"/>
          <w:color w:val="auto"/>
          <w:lang w:eastAsia="zh-CN"/>
        </w:rPr>
        <w:t>先生</w:t>
      </w:r>
    </w:p>
    <w:p w14:paraId="566F0830">
      <w:pPr>
        <w:keepNext w:val="0"/>
        <w:keepLines w:val="0"/>
        <w:pageBreakBefore w:val="0"/>
        <w:widowControl/>
        <w:kinsoku/>
        <w:wordWrap/>
        <w:overflowPunct/>
        <w:topLinePunct w:val="0"/>
        <w:autoSpaceDE/>
        <w:autoSpaceDN/>
        <w:bidi w:val="0"/>
        <w:adjustRightInd/>
        <w:snapToGrid/>
        <w:spacing w:line="500" w:lineRule="exact"/>
        <w:ind w:firstLine="1132" w:firstLineChars="400"/>
        <w:textAlignment w:val="auto"/>
        <w:rPr>
          <w:rFonts w:hint="default"/>
          <w:b w:val="0"/>
          <w:bCs w:val="0"/>
          <w:color w:val="auto"/>
          <w:lang w:val="en-US" w:eastAsia="zh-CN"/>
        </w:rPr>
      </w:pPr>
      <w:r>
        <w:rPr>
          <w:rFonts w:hint="eastAsia"/>
          <w:b w:val="0"/>
          <w:bCs w:val="0"/>
          <w:color w:val="auto"/>
          <w:lang w:eastAsia="zh-CN"/>
        </w:rPr>
        <w:t>联系方式：</w:t>
      </w:r>
      <w:r>
        <w:rPr>
          <w:rFonts w:hint="eastAsia"/>
          <w:b w:val="0"/>
          <w:bCs w:val="0"/>
          <w:color w:val="auto"/>
          <w:lang w:val="en-US" w:eastAsia="zh-CN"/>
        </w:rPr>
        <w:t>17634032017</w:t>
      </w:r>
    </w:p>
    <w:p w14:paraId="18D31A56">
      <w:pPr>
        <w:tabs>
          <w:tab w:val="left" w:pos="1620"/>
        </w:tabs>
        <w:snapToGrid w:val="0"/>
        <w:spacing w:line="500" w:lineRule="exact"/>
        <w:ind w:firstLine="566"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w:t>
      </w:r>
    </w:p>
    <w:p w14:paraId="5DBA77C8">
      <w:pPr>
        <w:tabs>
          <w:tab w:val="left" w:pos="1620"/>
        </w:tabs>
        <w:snapToGrid w:val="0"/>
        <w:spacing w:line="500" w:lineRule="exact"/>
        <w:ind w:firstLine="1132"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32" w:firstLineChars="400"/>
        <w:rPr>
          <w:rFonts w:hint="default" w:eastAsia="华文仿宋"/>
          <w:b w:val="0"/>
          <w:bCs w:val="0"/>
          <w:color w:val="auto"/>
          <w:lang w:val="en-US" w:eastAsia="zh-CN"/>
        </w:rPr>
      </w:pPr>
      <w:r>
        <w:rPr>
          <w:rFonts w:hint="eastAsia"/>
          <w:b w:val="0"/>
          <w:bCs w:val="0"/>
          <w:color w:val="auto"/>
        </w:rPr>
        <w:t>磋商文件联系人：</w:t>
      </w:r>
      <w:r>
        <w:rPr>
          <w:rFonts w:hint="eastAsia"/>
          <w:b w:val="0"/>
          <w:bCs w:val="0"/>
          <w:color w:val="auto"/>
          <w:lang w:val="en-US" w:eastAsia="zh-CN"/>
        </w:rPr>
        <w:t>高女士  赵先生</w:t>
      </w:r>
    </w:p>
    <w:p w14:paraId="3DB10CF9">
      <w:pPr>
        <w:spacing w:line="500" w:lineRule="exact"/>
        <w:ind w:firstLine="1132"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 xml:space="preserve">0911-7092221  </w:t>
      </w:r>
    </w:p>
    <w:p w14:paraId="4886E520">
      <w:pPr>
        <w:numPr>
          <w:ilvl w:val="0"/>
          <w:numId w:val="0"/>
        </w:numPr>
        <w:tabs>
          <w:tab w:val="left" w:pos="1620"/>
        </w:tabs>
        <w:snapToGrid w:val="0"/>
        <w:spacing w:line="500" w:lineRule="exact"/>
        <w:ind w:firstLine="566"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6"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延安市自然资源局-延地质灾害群专结合监测预警信息核查处置</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6" w:firstLineChars="200"/>
        <w:rPr>
          <w:rFonts w:hint="default" w:ascii="华文仿宋" w:hAnsi="华文仿宋" w:eastAsia="华文仿宋" w:cs="华文仿宋"/>
          <w:color w:val="auto"/>
          <w:highlight w:val="yellow"/>
          <w:lang w:val="en-US" w:eastAsia="zh-CN"/>
        </w:rPr>
      </w:pPr>
      <w:bookmarkStart w:id="22" w:name="_Toc6459_WPSOffice_Level2"/>
      <w:bookmarkStart w:id="23" w:name="_Toc25753"/>
      <w:bookmarkStart w:id="24" w:name="_Toc9917_WPSOffice_Level2"/>
      <w:bookmarkStart w:id="25" w:name="_Toc14570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1E39BC51">
      <w:pPr>
        <w:spacing w:line="500" w:lineRule="exact"/>
        <w:ind w:firstLine="566" w:firstLineChars="200"/>
        <w:rPr>
          <w:rFonts w:hint="default" w:ascii="仿宋" w:hAnsi="仿宋" w:eastAsia="华文仿宋" w:cs="仿宋"/>
          <w:b/>
          <w:color w:val="auto"/>
          <w:lang w:val="en-US" w:eastAsia="zh-CN"/>
        </w:rPr>
      </w:pPr>
      <w:r>
        <w:rPr>
          <w:rFonts w:hint="eastAsia" w:ascii="华文仿宋" w:hAnsi="华文仿宋" w:cs="华文仿宋"/>
          <w:b/>
          <w:color w:val="auto"/>
        </w:rPr>
        <w:t>七、采购预算：</w:t>
      </w:r>
      <w:r>
        <w:rPr>
          <w:rFonts w:hint="eastAsia" w:ascii="仿宋" w:hAnsi="仿宋" w:eastAsia="仿宋" w:cs="仿宋"/>
          <w:color w:val="auto"/>
          <w:lang w:val="en-US" w:eastAsia="zh-CN"/>
        </w:rPr>
        <w:t>330000.00</w:t>
      </w:r>
      <w:r>
        <w:rPr>
          <w:rFonts w:hint="eastAsia" w:ascii="华文仿宋" w:hAnsi="华文仿宋" w:cs="华文仿宋"/>
          <w:bCs/>
          <w:color w:val="auto"/>
        </w:rPr>
        <w:t>元</w:t>
      </w:r>
      <w:r>
        <w:rPr>
          <w:rFonts w:hint="eastAsia" w:ascii="华文仿宋" w:hAnsi="华文仿宋" w:cs="华文仿宋"/>
          <w:bCs/>
          <w:color w:val="auto"/>
          <w:lang w:val="en-US" w:eastAsia="zh-CN"/>
        </w:rPr>
        <w:t>（大写：叁拾叁万元整）</w:t>
      </w:r>
    </w:p>
    <w:p w14:paraId="41109504">
      <w:pPr>
        <w:pStyle w:val="9"/>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其他未列明行业</w:t>
      </w:r>
    </w:p>
    <w:p w14:paraId="694C3E41">
      <w:pPr>
        <w:spacing w:line="500" w:lineRule="exact"/>
        <w:ind w:firstLine="566"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6"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6"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3947265E">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48538929">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2.投</w:t>
      </w:r>
      <w:r>
        <w:rPr>
          <w:rFonts w:hint="eastAsia" w:ascii="华文仿宋" w:hAnsi="华文仿宋" w:cs="华文仿宋"/>
          <w:color w:val="auto"/>
        </w:rPr>
        <w:t>标人需提供财务状况、缴纳税收和社保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w:t>
      </w:r>
      <w:r>
        <w:rPr>
          <w:rFonts w:hint="eastAsia" w:ascii="华文仿宋" w:hAnsi="华文仿宋" w:cs="华文仿宋"/>
          <w:color w:val="auto"/>
          <w:lang w:eastAsia="zh-CN"/>
        </w:rPr>
        <w:t>（</w:t>
      </w:r>
      <w:r>
        <w:rPr>
          <w:rFonts w:hint="eastAsia" w:ascii="华文仿宋" w:hAnsi="华文仿宋" w:cs="华文仿宋"/>
          <w:color w:val="auto"/>
        </w:rPr>
        <w:t>无需另行提供证明文件）。</w:t>
      </w:r>
    </w:p>
    <w:p w14:paraId="1E030985">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w:t>
      </w:r>
      <w:r>
        <w:rPr>
          <w:rFonts w:hint="eastAsia" w:ascii="华文仿宋" w:hAnsi="华文仿宋" w:cs="华文仿宋"/>
          <w:color w:val="auto"/>
          <w:lang w:eastAsia="zh-CN"/>
        </w:rPr>
        <w:t>（</w:t>
      </w:r>
      <w:r>
        <w:rPr>
          <w:rFonts w:hint="eastAsia" w:ascii="华文仿宋" w:hAnsi="华文仿宋" w:cs="华文仿宋"/>
          <w:color w:val="auto"/>
        </w:rPr>
        <w:t>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462BF6F1">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0FE126B2">
      <w:pPr>
        <w:widowControl w:val="0"/>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E7F5A63">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7D3F661E">
      <w:pPr>
        <w:spacing w:line="500" w:lineRule="exact"/>
        <w:ind w:firstLine="566"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3A247E6F">
      <w:pPr>
        <w:widowControl w:val="0"/>
        <w:numPr>
          <w:ilvl w:val="0"/>
          <w:numId w:val="3"/>
        </w:numPr>
        <w:spacing w:line="500" w:lineRule="exact"/>
        <w:ind w:firstLine="566" w:firstLineChars="200"/>
        <w:jc w:val="left"/>
        <w:rPr>
          <w:rFonts w:hint="eastAsia" w:ascii="华文仿宋" w:hAnsi="华文仿宋" w:cs="华文仿宋"/>
          <w:color w:val="auto"/>
        </w:rPr>
      </w:pP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05E93B85">
      <w:pPr>
        <w:spacing w:line="240" w:lineRule="auto"/>
        <w:ind w:firstLine="426" w:firstLineChars="200"/>
        <w:rPr>
          <w:rFonts w:ascii="宋体" w:hAnsi="宋体" w:eastAsia="宋体" w:cs="宋体"/>
          <w:b/>
          <w:bCs/>
          <w:color w:val="auto"/>
          <w:sz w:val="21"/>
          <w:szCs w:val="21"/>
        </w:rPr>
      </w:pPr>
      <w:bookmarkStart w:id="26" w:name="_Toc8666"/>
      <w:bookmarkStart w:id="27" w:name="_Toc8219_WPSOffice_Level2"/>
      <w:bookmarkStart w:id="28" w:name="_Toc31685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6"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6"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6" w:firstLineChars="200"/>
        <w:rPr>
          <w:rFonts w:hint="eastAsia" w:ascii="华文仿宋" w:hAnsi="华文仿宋" w:cs="华文仿宋"/>
          <w:b/>
          <w:bCs/>
          <w:color w:val="auto"/>
          <w:highlight w:val="none"/>
        </w:rPr>
      </w:pPr>
      <w:bookmarkStart w:id="30" w:name="_Toc20141_WPSOffice_Level2"/>
      <w:bookmarkStart w:id="31" w:name="_Toc21125"/>
      <w:bookmarkStart w:id="32" w:name="_Toc30400_WPSOffice_Level2"/>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6"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lang w:val="en-US" w:eastAsia="zh-CN"/>
        </w:rPr>
        <w:t>其他未列明行业</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6"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6"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6"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6"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6"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6" w:firstLineChars="200"/>
        <w:jc w:val="left"/>
        <w:rPr>
          <w:rFonts w:hint="eastAsia" w:ascii="仿宋" w:hAnsi="仿宋" w:eastAsia="仿宋" w:cs="仿宋"/>
          <w:bCs/>
          <w:color w:val="auto"/>
        </w:rPr>
      </w:pPr>
      <w:bookmarkStart w:id="33" w:name="_Toc27420_WPSOffice_Level2"/>
      <w:bookmarkStart w:id="34" w:name="_Toc26982_WPSOffice_Level2"/>
      <w:bookmarkStart w:id="35" w:name="_Toc26863_WPSOffice_Level2"/>
      <w:bookmarkStart w:id="36" w:name="_Toc20847"/>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6"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6" w:firstLineChars="200"/>
        <w:jc w:val="left"/>
        <w:rPr>
          <w:rFonts w:ascii="仿宋" w:hAnsi="仿宋" w:eastAsia="仿宋" w:cs="仿宋"/>
          <w:bCs/>
          <w:color w:val="auto"/>
          <w:highlight w:val="none"/>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w:t>
      </w:r>
      <w:r>
        <w:rPr>
          <w:rFonts w:hint="eastAsia" w:ascii="仿宋" w:hAnsi="仿宋" w:eastAsia="仿宋" w:cs="仿宋"/>
          <w:bCs/>
          <w:color w:val="auto"/>
          <w:highlight w:val="none"/>
        </w:rPr>
        <w:t>ow/533.html，现场办理地址：延安市新区为民服务中心南区东楼</w:t>
      </w:r>
      <w:r>
        <w:rPr>
          <w:rFonts w:hint="eastAsia" w:ascii="仿宋" w:hAnsi="仿宋" w:eastAsia="仿宋" w:cs="仿宋"/>
          <w:bCs/>
          <w:color w:val="auto"/>
          <w:highlight w:val="none"/>
          <w:lang w:eastAsia="zh-CN"/>
        </w:rPr>
        <w:t>（</w:t>
      </w:r>
      <w:r>
        <w:rPr>
          <w:rFonts w:hint="eastAsia" w:ascii="仿宋" w:hAnsi="仿宋" w:eastAsia="仿宋" w:cs="仿宋"/>
          <w:bCs/>
          <w:color w:val="auto"/>
          <w:highlight w:val="none"/>
        </w:rPr>
        <w:t>7号楼）A2楼，咨询电话：0911-2162266。</w:t>
      </w:r>
    </w:p>
    <w:p w14:paraId="1225FC02">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10月14日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20</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00</w:t>
      </w:r>
      <w:r>
        <w:rPr>
          <w:rFonts w:hint="eastAsia" w:ascii="仿宋" w:hAnsi="仿宋" w:eastAsia="仿宋" w:cs="仿宋"/>
          <w:b/>
          <w:bCs/>
          <w:color w:val="auto"/>
          <w:highlight w:val="none"/>
        </w:rPr>
        <w:t>:00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6"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6"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6"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6"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29</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10</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42"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开标8室</w:t>
      </w:r>
    </w:p>
    <w:p w14:paraId="07BE4106">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default" w:eastAsia="华文仿宋"/>
          <w:b/>
          <w:bCs/>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6"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_GB2312" w:hAnsi="仿宋_GB2312" w:eastAsia="仿宋_GB2312" w:cs="仿宋_GB2312"/>
          <w:b/>
          <w:bCs/>
          <w:sz w:val="28"/>
          <w:szCs w:val="28"/>
          <w:highlight w:val="none"/>
          <w:lang w:val="en-US" w:eastAsia="zh-CN"/>
        </w:rPr>
        <w:t>0512-58188039</w:t>
      </w:r>
      <w:r>
        <w:rPr>
          <w:rFonts w:hint="eastAsia" w:ascii="华文仿宋" w:hAnsi="华文仿宋" w:cs="华文仿宋"/>
          <w:b/>
          <w:bCs/>
          <w:sz w:val="28"/>
          <w:szCs w:val="28"/>
          <w:highlight w:val="none"/>
        </w:rPr>
        <w:t>。</w:t>
      </w:r>
    </w:p>
    <w:p w14:paraId="09D12969">
      <w:pPr>
        <w:spacing w:line="500" w:lineRule="exact"/>
        <w:ind w:firstLine="566"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6" w:firstLineChars="200"/>
        <w:rPr>
          <w:b/>
          <w:bCs/>
          <w:color w:val="000000"/>
        </w:rPr>
      </w:pPr>
      <w:bookmarkStart w:id="37" w:name="_Toc17917"/>
      <w:bookmarkStart w:id="38" w:name="_Toc10758_WPSOffice_Level2"/>
      <w:bookmarkStart w:id="39" w:name="_Toc22849_WPSOffice_Level2"/>
      <w:bookmarkStart w:id="40" w:name="_Toc14110_WPSOffice_Level2"/>
      <w:bookmarkStart w:id="41" w:name="_Toc20005"/>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7A133A1E">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6" w:firstLineChars="200"/>
        <w:rPr>
          <w:rFonts w:ascii="宋体" w:hAnsi="宋体" w:eastAsia="宋体" w:cs="宋体"/>
          <w:b/>
          <w:bCs/>
          <w:color w:val="auto"/>
          <w:sz w:val="21"/>
          <w:szCs w:val="21"/>
          <w:highlight w:val="none"/>
        </w:rPr>
      </w:pPr>
      <w:bookmarkStart w:id="42" w:name="_Toc495012770"/>
      <w:bookmarkStart w:id="43" w:name="_Toc7814"/>
      <w:bookmarkStart w:id="44" w:name="_Toc495012820"/>
      <w:bookmarkStart w:id="45" w:name="_Toc495014919"/>
      <w:bookmarkStart w:id="46" w:name="_Toc22804_WPSOffice_Level1"/>
      <w:bookmarkStart w:id="47" w:name="_Toc495014953"/>
      <w:bookmarkStart w:id="48" w:name="_Toc15046_WPSOffice_Level1"/>
      <w:bookmarkStart w:id="49" w:name="_Toc495014610"/>
      <w:bookmarkStart w:id="50" w:name="_Toc445306492"/>
      <w:bookmarkStart w:id="51" w:name="_Toc495014648"/>
      <w:bookmarkStart w:id="52" w:name="_Toc495014584"/>
      <w:bookmarkStart w:id="53" w:name="_Toc19337_WPSOffice_Level1"/>
      <w:bookmarkStart w:id="54" w:name="_Toc4326"/>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6"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6"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3"/>
        <w:ind w:firstLine="567"/>
        <w:rPr>
          <w:color w:val="000000"/>
          <w:sz w:val="28"/>
          <w:szCs w:val="28"/>
        </w:rPr>
      </w:pPr>
      <w:bookmarkStart w:id="56" w:name="_Toc12337"/>
      <w:bookmarkStart w:id="57" w:name="_Toc11989"/>
      <w:bookmarkStart w:id="58" w:name="_Toc3858_WPSOffice_Level2"/>
      <w:bookmarkStart w:id="59" w:name="_Toc18466_WPSOffice_Level2"/>
      <w:bookmarkStart w:id="60" w:name="_Toc16238"/>
      <w:bookmarkStart w:id="61" w:name="_Toc24451_WPSOffice_Level2"/>
      <w:r>
        <w:rPr>
          <w:rFonts w:hint="eastAsia"/>
          <w:color w:val="000000"/>
          <w:sz w:val="28"/>
          <w:szCs w:val="28"/>
        </w:rPr>
        <w:t>一、定义</w:t>
      </w:r>
      <w:bookmarkEnd w:id="56"/>
      <w:bookmarkEnd w:id="57"/>
      <w:bookmarkEnd w:id="58"/>
      <w:bookmarkEnd w:id="59"/>
      <w:bookmarkEnd w:id="60"/>
      <w:bookmarkEnd w:id="61"/>
    </w:p>
    <w:p w14:paraId="4BF229BD">
      <w:pPr>
        <w:spacing w:line="500" w:lineRule="exact"/>
        <w:ind w:firstLine="606" w:firstLineChars="200"/>
        <w:rPr>
          <w:rFonts w:hint="eastAsia" w:ascii="华文仿宋" w:hAnsi="华文仿宋" w:eastAsia="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延安市自然资源局</w:t>
      </w:r>
    </w:p>
    <w:p w14:paraId="01424C05">
      <w:pPr>
        <w:spacing w:line="500" w:lineRule="exact"/>
        <w:ind w:firstLine="606"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2FFAECAF">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 ）（以下简称：中心）</w:t>
      </w:r>
    </w:p>
    <w:p w14:paraId="07B822FE">
      <w:pPr>
        <w:spacing w:line="500" w:lineRule="exact"/>
        <w:ind w:firstLine="606"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187D14A6">
      <w:pPr>
        <w:pStyle w:val="3"/>
        <w:ind w:firstLine="567"/>
        <w:rPr>
          <w:rFonts w:ascii="华文仿宋" w:hAnsi="华文仿宋" w:cs="华文仿宋"/>
          <w:color w:val="000000"/>
          <w:sz w:val="28"/>
          <w:szCs w:val="28"/>
        </w:rPr>
      </w:pPr>
      <w:bookmarkStart w:id="64" w:name="_Toc11745_WPSOffice_Level2"/>
      <w:bookmarkStart w:id="65" w:name="_Toc20906_WPSOffice_Level2"/>
      <w:bookmarkStart w:id="66" w:name="_Toc4606"/>
      <w:bookmarkStart w:id="67" w:name="_Toc27278_WPSOffice_Level2"/>
      <w:bookmarkStart w:id="68" w:name="_Toc1878"/>
      <w:bookmarkStart w:id="69" w:name="_Toc9291"/>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6" w:firstLineChars="200"/>
        <w:rPr>
          <w:b/>
          <w:bCs/>
          <w:color w:val="000000"/>
        </w:rPr>
      </w:pPr>
      <w:bookmarkStart w:id="70" w:name="_Toc21291"/>
      <w:bookmarkStart w:id="71" w:name="_Toc26982_WPSOffice_Level3"/>
      <w:r>
        <w:rPr>
          <w:rFonts w:hint="eastAsia"/>
          <w:b/>
          <w:bCs/>
          <w:color w:val="000000"/>
          <w:lang w:eastAsia="zh-CN"/>
        </w:rPr>
        <w:t>（</w:t>
      </w:r>
      <w:r>
        <w:rPr>
          <w:rFonts w:hint="eastAsia"/>
          <w:b/>
          <w:bCs/>
          <w:color w:val="000000"/>
        </w:rPr>
        <w:t>一）询问</w:t>
      </w:r>
      <w:bookmarkEnd w:id="70"/>
      <w:bookmarkEnd w:id="71"/>
    </w:p>
    <w:p w14:paraId="654DB18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w:t>
      </w:r>
      <w:r>
        <w:rPr>
          <w:rFonts w:hint="eastAsia" w:ascii="华文仿宋" w:hAnsi="华文仿宋" w:cs="华文仿宋"/>
          <w:color w:val="000000"/>
          <w:lang w:eastAsia="zh-CN"/>
        </w:rPr>
        <w:t>作出</w:t>
      </w:r>
      <w:r>
        <w:rPr>
          <w:rFonts w:hint="eastAsia" w:ascii="华文仿宋" w:hAnsi="华文仿宋" w:cs="华文仿宋"/>
          <w:color w:val="000000"/>
        </w:rPr>
        <w:t>答复。</w:t>
      </w:r>
    </w:p>
    <w:p w14:paraId="0D0CC5B5">
      <w:pPr>
        <w:spacing w:line="500" w:lineRule="exact"/>
        <w:ind w:firstLine="566" w:firstLineChars="200"/>
        <w:rPr>
          <w:b/>
          <w:bCs/>
          <w:color w:val="000000"/>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6DC2D7A5">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lang w:eastAsia="zh-CN"/>
        </w:rPr>
        <w:t>（</w:t>
      </w:r>
      <w:r>
        <w:rPr>
          <w:rFonts w:hint="eastAsia" w:ascii="华文仿宋" w:hAnsi="华文仿宋" w:cs="华文仿宋"/>
          <w:b/>
          <w:color w:val="000000"/>
        </w:rPr>
        <w:t>二）现场踏勘及标前答疑会</w:t>
      </w:r>
      <w:bookmarkEnd w:id="72"/>
    </w:p>
    <w:p w14:paraId="73535431">
      <w:pPr>
        <w:pStyle w:val="7"/>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w:t>
      </w:r>
      <w:r>
        <w:rPr>
          <w:rFonts w:hint="eastAsia"/>
          <w:color w:val="000000"/>
          <w:lang w:eastAsia="zh-CN"/>
        </w:rPr>
        <w:t>（</w:t>
      </w:r>
      <w:r>
        <w:rPr>
          <w:rFonts w:hint="eastAsia"/>
          <w:color w:val="000000"/>
        </w:rPr>
        <w:t>口头提问可口头答复），现场不能</w:t>
      </w:r>
      <w:r>
        <w:rPr>
          <w:rFonts w:hint="eastAsia"/>
          <w:color w:val="000000"/>
          <w:lang w:eastAsia="zh-CN"/>
        </w:rPr>
        <w:t>作出</w:t>
      </w:r>
      <w:r>
        <w:rPr>
          <w:rFonts w:hint="eastAsia"/>
          <w:color w:val="000000"/>
        </w:rPr>
        <w:t>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2E5D8AF">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52AFAE84">
      <w:pPr>
        <w:spacing w:line="500" w:lineRule="exact"/>
        <w:ind w:firstLine="566"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1656374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三）质疑和投诉</w:t>
      </w:r>
      <w:bookmarkEnd w:id="73"/>
    </w:p>
    <w:p w14:paraId="2964FE6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22D40FB">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59F47EF">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29D67661">
      <w:pPr>
        <w:spacing w:line="500" w:lineRule="exact"/>
        <w:ind w:firstLine="566"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4ECF40D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029E9E3C">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w:t>
      </w:r>
      <w:r>
        <w:rPr>
          <w:rFonts w:hint="eastAsia" w:ascii="华文仿宋" w:hAnsi="华文仿宋" w:cs="华文仿宋"/>
          <w:color w:val="000000"/>
          <w:lang w:eastAsia="zh-CN"/>
        </w:rPr>
        <w:t>作出</w:t>
      </w:r>
      <w:r>
        <w:rPr>
          <w:rFonts w:hint="eastAsia" w:ascii="华文仿宋" w:hAnsi="华文仿宋" w:cs="华文仿宋"/>
          <w:color w:val="000000"/>
        </w:rPr>
        <w:t>答复，并以书面形式通知质疑人和其他有关供应商。</w:t>
      </w:r>
    </w:p>
    <w:p w14:paraId="316E48CF">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388B5BB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1）质疑人不是参与本次政府采购项目的供应商或潜在供应商；</w:t>
      </w:r>
    </w:p>
    <w:p w14:paraId="3F8829A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2）质疑人与质疑事项不存在利害关系的；</w:t>
      </w:r>
    </w:p>
    <w:p w14:paraId="27C2D696">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3）未在法定期限内提出质疑的；</w:t>
      </w:r>
    </w:p>
    <w:p w14:paraId="0E5388B1">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4）质疑未以书面形式提出，或质疑函主要内容构成不完整的，或缺乏必要的证明材料及证明材料不完整的；</w:t>
      </w:r>
    </w:p>
    <w:p w14:paraId="0D4EBE0B">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5）质疑函没有合法有效的签字、盖章或授权的；</w:t>
      </w:r>
    </w:p>
    <w:p w14:paraId="290E2AC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6）以非法手段取得证据、材料的；</w:t>
      </w:r>
    </w:p>
    <w:p w14:paraId="02700EFD">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7）质疑答复后，同一质疑人就同一事项再次提出质疑的；</w:t>
      </w:r>
    </w:p>
    <w:p w14:paraId="18F8691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8）不符合法律、法规、规章和政府采购监管机构规定的其他条件的。</w:t>
      </w:r>
    </w:p>
    <w:p w14:paraId="33DDCA9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w:t>
      </w:r>
      <w:r>
        <w:rPr>
          <w:rFonts w:hint="eastAsia" w:ascii="华文仿宋" w:hAnsi="华文仿宋" w:cs="华文仿宋"/>
          <w:color w:val="000000"/>
          <w:lang w:eastAsia="zh-CN"/>
        </w:rPr>
        <w:t>作出</w:t>
      </w:r>
      <w:r>
        <w:rPr>
          <w:rFonts w:hint="eastAsia" w:ascii="华文仿宋" w:hAnsi="华文仿宋" w:cs="华文仿宋"/>
          <w:color w:val="000000"/>
        </w:rPr>
        <w:t>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EC632E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3D90BE3F">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DB39AB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7D5618E">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0A77456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7998644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6"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中心</w:t>
      </w:r>
    </w:p>
    <w:p w14:paraId="5CA11703">
      <w:pPr>
        <w:spacing w:line="500" w:lineRule="exact"/>
        <w:ind w:firstLine="566"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6"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6"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9"/>
        <w:spacing w:line="500" w:lineRule="exact"/>
        <w:ind w:firstLine="56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764A380">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9"/>
        <w:spacing w:line="500" w:lineRule="exact"/>
        <w:ind w:firstLine="566"/>
        <w:rPr>
          <w:color w:val="000000"/>
          <w:sz w:val="24"/>
          <w:szCs w:val="24"/>
        </w:rPr>
      </w:pPr>
      <w:r>
        <w:rPr>
          <w:rFonts w:hint="eastAsia" w:ascii="华文仿宋" w:hAnsi="华文仿宋" w:cs="华文仿宋"/>
          <w:color w:val="000000"/>
          <w:sz w:val="24"/>
          <w:szCs w:val="24"/>
        </w:rPr>
        <w:t>备注：</w:t>
      </w:r>
      <w:r>
        <w:rPr>
          <w:rFonts w:hint="eastAsia" w:ascii="华文仿宋" w:hAnsi="华文仿宋" w:cs="华文仿宋"/>
          <w:color w:val="000000"/>
          <w:sz w:val="24"/>
          <w:szCs w:val="24"/>
          <w:lang w:val="en-US" w:eastAsia="zh-CN"/>
        </w:rPr>
        <w:t>小微</w:t>
      </w:r>
      <w:r>
        <w:rPr>
          <w:rFonts w:hint="eastAsia" w:ascii="华文仿宋" w:hAnsi="华文仿宋" w:cs="华文仿宋"/>
          <w:color w:val="000000"/>
          <w:sz w:val="24"/>
          <w:szCs w:val="24"/>
        </w:rPr>
        <w:t>企业划分标准参照《中小企业划型标准规定》</w:t>
      </w:r>
      <w:r>
        <w:rPr>
          <w:rFonts w:hint="eastAsia" w:ascii="华文仿宋" w:hAnsi="华文仿宋" w:cs="华文仿宋"/>
          <w:color w:val="000000"/>
          <w:sz w:val="24"/>
          <w:szCs w:val="24"/>
          <w:lang w:eastAsia="zh-CN"/>
        </w:rPr>
        <w:t>（</w:t>
      </w:r>
      <w:r>
        <w:rPr>
          <w:rFonts w:hint="eastAsia" w:ascii="华文仿宋" w:hAnsi="华文仿宋" w:cs="华文仿宋"/>
          <w:color w:val="000000"/>
          <w:sz w:val="24"/>
          <w:szCs w:val="24"/>
        </w:rPr>
        <w:t>工信部联企业</w:t>
      </w:r>
      <w:r>
        <w:rPr>
          <w:rFonts w:hint="eastAsia" w:ascii="仿宋" w:hAnsi="仿宋" w:eastAsia="仿宋" w:cs="仿宋"/>
          <w:color w:val="000000"/>
          <w:sz w:val="24"/>
          <w:szCs w:val="24"/>
        </w:rPr>
        <w:t>〔2011〕300</w:t>
      </w:r>
      <w:r>
        <w:rPr>
          <w:rFonts w:hint="eastAsia" w:ascii="华文仿宋" w:hAnsi="华文仿宋" w:cs="华文仿宋"/>
          <w:color w:val="000000"/>
          <w:sz w:val="24"/>
          <w:szCs w:val="24"/>
        </w:rPr>
        <w:t>号）执行。</w:t>
      </w:r>
    </w:p>
    <w:p w14:paraId="0B49B8C2">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2"/>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7"/>
        <w:wordWrap w:val="0"/>
        <w:spacing w:line="500" w:lineRule="exact"/>
        <w:ind w:firstLine="566" w:firstLineChars="200"/>
        <w:rPr>
          <w:rFonts w:hint="eastAsia" w:ascii="华文仿宋" w:hAnsi="华文仿宋" w:cs="华文仿宋"/>
          <w:kern w:val="0"/>
        </w:rPr>
      </w:pPr>
      <w:r>
        <w:rPr>
          <w:rFonts w:hint="eastAsia" w:ascii="华文仿宋" w:hAnsi="华文仿宋" w:eastAsia="华文仿宋" w:cs="华文仿宋"/>
          <w:color w:val="000000"/>
          <w:kern w:val="0"/>
          <w:lang w:val="en-US" w:eastAsia="zh-CN"/>
        </w:rPr>
        <w:t>9</w:t>
      </w:r>
      <w:r>
        <w:rPr>
          <w:rFonts w:hint="eastAsia" w:ascii="华文仿宋" w:hAnsi="华文仿宋" w:eastAsia="华文仿宋" w:cs="华文仿宋"/>
          <w:color w:val="000000"/>
          <w:kern w:val="0"/>
          <w:lang w:eastAsia="zh-CN"/>
        </w:rPr>
        <w:t>.</w:t>
      </w:r>
      <w:r>
        <w:rPr>
          <w:rFonts w:hint="eastAsia" w:ascii="华文仿宋" w:hAnsi="华文仿宋" w:eastAsia="华文仿宋" w:cs="华文仿宋"/>
          <w:kern w:val="0"/>
        </w:rPr>
        <w:t>根据陕西省财政厅关于印发《陕西省中小企业政府采购信用融资办法》</w:t>
      </w:r>
      <w:r>
        <w:rPr>
          <w:rFonts w:hint="eastAsia" w:ascii="华文仿宋" w:hAnsi="华文仿宋" w:eastAsia="华文仿宋" w:cs="华文仿宋"/>
          <w:kern w:val="0"/>
          <w:lang w:eastAsia="zh-CN"/>
        </w:rPr>
        <w:t>（</w:t>
      </w:r>
      <w:r>
        <w:rPr>
          <w:rFonts w:hint="eastAsia" w:ascii="华文仿宋" w:hAnsi="华文仿宋" w:eastAsia="华文仿宋" w:cs="华文仿宋"/>
          <w:kern w:val="0"/>
        </w:rPr>
        <w:t>陕财办采〔2018〕23号）规定“</w:t>
      </w:r>
      <w:r>
        <w:rPr>
          <w:rFonts w:hint="eastAsia" w:ascii="华文仿宋" w:hAnsi="华文仿宋" w:eastAsia="华文仿宋" w:cs="华文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w:t>
      </w:r>
      <w:r>
        <w:rPr>
          <w:rFonts w:hint="eastAsia" w:ascii="华文仿宋" w:hAnsi="华文仿宋" w:eastAsia="华文仿宋" w:cs="华文仿宋"/>
          <w:sz w:val="28"/>
          <w:szCs w:val="28"/>
        </w:rPr>
        <w:t>申请。</w:t>
      </w:r>
      <w:r>
        <w:rPr>
          <w:rFonts w:hint="eastAsia" w:ascii="华文仿宋" w:hAnsi="华文仿宋" w:eastAsia="华文仿宋" w:cs="华文仿宋"/>
          <w:kern w:val="0"/>
          <w:sz w:val="28"/>
          <w:szCs w:val="28"/>
        </w:rPr>
        <w:t>”</w:t>
      </w:r>
      <w:r>
        <w:rPr>
          <w:rFonts w:hint="eastAsia" w:ascii="华文仿宋" w:hAnsi="华文仿宋" w:cs="华文仿宋"/>
          <w:kern w:val="0"/>
          <w:sz w:val="28"/>
          <w:szCs w:val="28"/>
          <w:lang w:eastAsia="zh-CN"/>
        </w:rPr>
        <w:t>（</w:t>
      </w:r>
      <w:r>
        <w:rPr>
          <w:sz w:val="28"/>
          <w:szCs w:val="28"/>
        </w:rPr>
        <w:fldChar w:fldCharType="begin"/>
      </w:r>
      <w:r>
        <w:rPr>
          <w:sz w:val="28"/>
          <w:szCs w:val="28"/>
        </w:rPr>
        <w:instrText xml:space="preserve"> HYPERLINK "http://www.ccgp-shaanxi.gov.cn/zcdservice/zcd/shanxi/" </w:instrText>
      </w:r>
      <w:r>
        <w:rPr>
          <w:sz w:val="28"/>
          <w:szCs w:val="28"/>
        </w:rPr>
        <w:fldChar w:fldCharType="separate"/>
      </w:r>
      <w:r>
        <w:rPr>
          <w:rFonts w:hint="eastAsia" w:ascii="华文仿宋" w:hAnsi="华文仿宋" w:cs="华文仿宋"/>
          <w:kern w:val="0"/>
          <w:sz w:val="28"/>
          <w:szCs w:val="28"/>
        </w:rPr>
        <w:t>陕西省政府采购信用融资平台</w:t>
      </w:r>
      <w:r>
        <w:rPr>
          <w:rFonts w:hint="eastAsia" w:ascii="华文仿宋" w:hAnsi="华文仿宋" w:cs="华文仿宋"/>
          <w:kern w:val="0"/>
          <w:sz w:val="28"/>
          <w:szCs w:val="28"/>
        </w:rPr>
        <w:fldChar w:fldCharType="end"/>
      </w:r>
      <w:r>
        <w:rPr>
          <w:rFonts w:hint="eastAsia" w:ascii="华文仿宋" w:hAnsi="华文仿宋" w:cs="华文仿宋"/>
          <w:kern w:val="0"/>
          <w:sz w:val="28"/>
          <w:szCs w:val="28"/>
        </w:rPr>
        <w:t>：</w:t>
      </w:r>
      <w:r>
        <w:rPr>
          <w:rFonts w:hint="eastAsia" w:ascii="华文仿宋" w:hAnsi="华文仿宋" w:cs="华文仿宋"/>
          <w:kern w:val="0"/>
          <w:sz w:val="28"/>
          <w:szCs w:val="28"/>
        </w:rPr>
        <w:fldChar w:fldCharType="begin"/>
      </w:r>
      <w:r>
        <w:rPr>
          <w:rFonts w:hint="eastAsia" w:ascii="华文仿宋" w:hAnsi="华文仿宋" w:cs="华文仿宋"/>
          <w:kern w:val="0"/>
          <w:sz w:val="28"/>
          <w:szCs w:val="28"/>
        </w:rPr>
        <w:instrText xml:space="preserve"> HYPERLINK "http://www.ccgp-shaanxi.gov.cn/zcdservice/zcd/shanxi/）" </w:instrText>
      </w:r>
      <w:r>
        <w:rPr>
          <w:rFonts w:hint="eastAsia" w:ascii="华文仿宋" w:hAnsi="华文仿宋" w:cs="华文仿宋"/>
          <w:kern w:val="0"/>
          <w:sz w:val="28"/>
          <w:szCs w:val="28"/>
        </w:rPr>
        <w:fldChar w:fldCharType="separate"/>
      </w:r>
      <w:r>
        <w:rPr>
          <w:rStyle w:val="25"/>
          <w:rFonts w:hint="eastAsia" w:ascii="华文仿宋" w:hAnsi="华文仿宋" w:cs="华文仿宋"/>
          <w:kern w:val="0"/>
          <w:sz w:val="28"/>
          <w:szCs w:val="28"/>
        </w:rPr>
        <w:t>http://www.ccgp-shaanxi.gov.cn/zcdservice/zcd/shanxi/）</w:t>
      </w:r>
      <w:r>
        <w:rPr>
          <w:rFonts w:hint="eastAsia" w:ascii="华文仿宋" w:hAnsi="华文仿宋" w:cs="华文仿宋"/>
          <w:kern w:val="0"/>
          <w:sz w:val="28"/>
          <w:szCs w:val="28"/>
        </w:rPr>
        <w:fldChar w:fldCharType="end"/>
      </w:r>
    </w:p>
    <w:p w14:paraId="788ECB8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10.根据财政部《关于推动解决政府采购异常低价问题的通知》（财库〔2026〕2号）有关要求，（一）政府采购评审中出现下列情形之一的，评审委员会应当启动异常低价投标（响应）审查程序：</w:t>
      </w:r>
    </w:p>
    <w:p w14:paraId="47A71E9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1.投标（响应）报价低于全部通过符合性审查供应商投标（响应）报价平均值50%的，即投标（响应）报价&lt;全部通过符合性审查供应商投标（响应）报价平均值×50%；</w:t>
      </w:r>
    </w:p>
    <w:p w14:paraId="28279CC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2.投标（响应）报价低于通过符合性审查的次低报价供应商投标（响应）报价50%的，即投标（响应）报价&lt;通过符合性审查的次低报价供应商投标（响应）报价×50%；</w:t>
      </w:r>
    </w:p>
    <w:p w14:paraId="16706AA2">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3.投标（响应）报价低于采购项目最高限价45%的，即投标（响应）报价&lt;采购项目最高限价×45%；</w:t>
      </w:r>
    </w:p>
    <w:p w14:paraId="6AC2F344">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4.评审委员会基于专业判断，认为供应商报价过低，有可能影响产品质量或者不能诚信履约的其他情形。</w:t>
      </w:r>
    </w:p>
    <w:p w14:paraId="60B1105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采购人可以结合具体项目实际情况，提高上述第1项至第3项中启动异常低价投标（响应）审查的数值标准，但是最高不得超过65%。</w:t>
      </w:r>
    </w:p>
    <w:p w14:paraId="6E67C5D7">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相关法律法规对供应商报价有规定的，从其规定。</w:t>
      </w:r>
    </w:p>
    <w:p w14:paraId="4B7DDAEF">
      <w:pPr>
        <w:pStyle w:val="15"/>
        <w:keepNext w:val="0"/>
        <w:keepLines w:val="0"/>
        <w:pageBreakBefore w:val="0"/>
        <w:widowControl/>
        <w:numPr>
          <w:ilvl w:val="0"/>
          <w:numId w:val="4"/>
        </w:numPr>
        <w:kinsoku/>
        <w:wordWrap/>
        <w:overflowPunct/>
        <w:topLinePunct w:val="0"/>
        <w:autoSpaceDE/>
        <w:autoSpaceDN/>
        <w:bidi w:val="0"/>
        <w:adjustRightInd/>
        <w:snapToGrid/>
        <w:spacing w:line="440" w:lineRule="exact"/>
        <w:ind w:left="0" w:leftChars="0" w:firstLine="849" w:firstLineChars="3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D4041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566" w:firstLineChars="20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CBAD4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D1EEE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02436D6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9F64350">
      <w:pPr>
        <w:pStyle w:val="9"/>
        <w:spacing w:line="500" w:lineRule="exact"/>
        <w:ind w:firstLine="566"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企业采购的采购项目，因此，不再执行价格评审优惠扶持政策。</w:t>
      </w:r>
    </w:p>
    <w:p w14:paraId="07821BCA">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6"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电子磋商文件作出</w:t>
      </w:r>
      <w:r>
        <w:rPr>
          <w:rFonts w:hint="eastAsia" w:ascii="华文仿宋" w:hAnsi="华文仿宋" w:cs="华文仿宋"/>
          <w:color w:val="000000"/>
        </w:rPr>
        <w:t>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6"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3"/>
        <w:ind w:firstLine="567"/>
        <w:rPr>
          <w:rFonts w:ascii="华文仿宋" w:hAnsi="华文仿宋" w:cs="华文仿宋"/>
          <w:color w:val="000000"/>
          <w:sz w:val="28"/>
          <w:szCs w:val="28"/>
        </w:rPr>
      </w:pPr>
      <w:bookmarkStart w:id="81" w:name="_Toc22637"/>
      <w:bookmarkStart w:id="82" w:name="_Toc16980_WPSOffice_Level2"/>
      <w:bookmarkStart w:id="83" w:name="_Toc13240"/>
      <w:bookmarkStart w:id="84" w:name="_Toc3222"/>
      <w:bookmarkStart w:id="85" w:name="_Toc21288_WPSOffice_Level2"/>
      <w:bookmarkStart w:id="86" w:name="_Toc17240_WPSOffice_Level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15996"/>
      <w:bookmarkStart w:id="88" w:name="_Toc30415"/>
      <w:bookmarkStart w:id="89" w:name="_Toc20873_WPSOffice_Level2"/>
      <w:bookmarkStart w:id="90" w:name="_Toc19768_WPSOffice_Level2"/>
      <w:bookmarkStart w:id="91" w:name="_Toc13064"/>
      <w:bookmarkStart w:id="92" w:name="_Toc22501_WPSOffice_Level2"/>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w:t>
      </w:r>
      <w:r>
        <w:rPr>
          <w:rFonts w:hint="eastAsia" w:ascii="华文仿宋" w:hAnsi="华文仿宋" w:cs="华文仿宋"/>
          <w:b/>
          <w:bCs/>
          <w:color w:val="auto"/>
          <w:lang w:eastAsia="zh-CN"/>
        </w:rPr>
        <w:t>（</w:t>
      </w:r>
      <w:r>
        <w:rPr>
          <w:rFonts w:hint="eastAsia" w:ascii="华文仿宋" w:hAnsi="华文仿宋" w:cs="华文仿宋"/>
          <w:b/>
          <w:bCs/>
          <w:color w:val="auto"/>
        </w:rPr>
        <w:t>CA锁）登录全国公共资源交易平台</w:t>
      </w:r>
      <w:r>
        <w:rPr>
          <w:rFonts w:hint="eastAsia" w:ascii="华文仿宋" w:hAnsi="华文仿宋" w:cs="华文仿宋"/>
          <w:b/>
          <w:bCs/>
          <w:color w:val="auto"/>
          <w:lang w:eastAsia="zh-CN"/>
        </w:rPr>
        <w:t>（</w:t>
      </w:r>
      <w:r>
        <w:rPr>
          <w:rFonts w:hint="eastAsia" w:ascii="华文仿宋" w:hAnsi="华文仿宋" w:cs="华文仿宋"/>
          <w:b/>
          <w:bCs/>
          <w:color w:val="auto"/>
        </w:rPr>
        <w:t>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5EFC8BD">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69936BC5">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3"/>
        <w:ind w:firstLine="567"/>
        <w:rPr>
          <w:rFonts w:ascii="华文仿宋" w:hAnsi="华文仿宋" w:cs="华文仿宋"/>
          <w:color w:val="000000"/>
          <w:sz w:val="28"/>
          <w:szCs w:val="28"/>
        </w:rPr>
      </w:pPr>
      <w:bookmarkStart w:id="93" w:name="_Toc23179"/>
      <w:bookmarkStart w:id="94" w:name="_Toc11009"/>
      <w:bookmarkStart w:id="95" w:name="_Toc29669_WPSOffice_Level2"/>
      <w:bookmarkStart w:id="96" w:name="_Toc20041_WPSOffice_Level2"/>
      <w:bookmarkStart w:id="97" w:name="_Toc14979"/>
      <w:bookmarkStart w:id="98" w:name="_Toc14959_WPSOffice_Level2"/>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6" w:firstLineChars="200"/>
        <w:rPr>
          <w:rFonts w:ascii="华文仿宋" w:hAnsi="华文仿宋" w:cs="华文仿宋"/>
          <w:b/>
          <w:bCs/>
          <w:color w:val="000000"/>
        </w:rPr>
      </w:pPr>
      <w:bookmarkStart w:id="99" w:name="_Toc7898_WPSOffice_Level2"/>
      <w:bookmarkStart w:id="100" w:name="_Toc18733_WPSOffice_Level2"/>
      <w:bookmarkStart w:id="101" w:name="_Toc30535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6" w:firstLineChars="200"/>
        <w:rPr>
          <w:rFonts w:hint="default" w:ascii="华文仿宋" w:hAnsi="华文仿宋" w:eastAsia="华文仿宋" w:cs="华文仿宋"/>
          <w:color w:val="000000"/>
          <w:lang w:val="en-US" w:eastAsia="zh-CN"/>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w:t>
      </w:r>
      <w:r>
        <w:rPr>
          <w:rFonts w:hint="eastAsia" w:ascii="华文仿宋" w:hAnsi="华文仿宋" w:cs="华文仿宋"/>
          <w:b/>
          <w:bCs/>
          <w:color w:val="000000"/>
          <w:lang w:val="en-US" w:eastAsia="zh-CN"/>
        </w:rPr>
        <w:t>0512-58188039</w:t>
      </w:r>
    </w:p>
    <w:p w14:paraId="1FFCBBC3">
      <w:pPr>
        <w:spacing w:line="500" w:lineRule="exact"/>
        <w:ind w:firstLine="566"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6"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6" w:firstLineChars="200"/>
        <w:rPr>
          <w:rFonts w:ascii="仿宋" w:hAnsi="仿宋" w:eastAsia="仿宋" w:cs="仿宋"/>
          <w:b/>
          <w:color w:val="000000"/>
        </w:rPr>
      </w:pPr>
      <w:bookmarkStart w:id="102" w:name="_Toc6095"/>
      <w:bookmarkStart w:id="103" w:name="_Toc24468"/>
      <w:bookmarkStart w:id="104" w:name="_Toc15608"/>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6"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3"/>
        <w:widowControl w:val="0"/>
        <w:ind w:firstLine="567"/>
        <w:rPr>
          <w:rFonts w:ascii="华文仿宋" w:hAnsi="华文仿宋" w:cs="华文仿宋"/>
          <w:color w:val="000000"/>
          <w:sz w:val="28"/>
          <w:szCs w:val="28"/>
        </w:rPr>
      </w:pPr>
      <w:bookmarkStart w:id="105" w:name="_Toc28054"/>
      <w:bookmarkStart w:id="106" w:name="_Toc595"/>
      <w:bookmarkStart w:id="107" w:name="_Toc6837"/>
      <w:bookmarkStart w:id="108" w:name="_Toc7022"/>
      <w:bookmarkStart w:id="109" w:name="_Toc10744"/>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6"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6"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华文仿宋" w:hAnsi="华文仿宋" w:cs="华文仿宋"/>
          <w:b/>
          <w:bCs/>
          <w:color w:val="auto"/>
          <w:highlight w:val="none"/>
          <w:lang w:val="en-US" w:eastAsia="zh-CN"/>
        </w:rPr>
        <w:t>0512-58188039</w:t>
      </w:r>
      <w:r>
        <w:rPr>
          <w:rFonts w:hint="eastAsia" w:ascii="华文仿宋" w:hAnsi="华文仿宋" w:cs="华文仿宋"/>
          <w:b/>
          <w:bCs/>
          <w:color w:val="auto"/>
          <w:highlight w:val="none"/>
        </w:rPr>
        <w:t>。</w:t>
      </w:r>
    </w:p>
    <w:p w14:paraId="5F805055">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6"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5"/>
        </w:numPr>
        <w:spacing w:line="500" w:lineRule="exact"/>
        <w:ind w:firstLine="566"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6"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6"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6"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6"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3"/>
        <w:ind w:firstLine="567"/>
        <w:rPr>
          <w:color w:val="000000"/>
          <w:sz w:val="28"/>
          <w:szCs w:val="28"/>
        </w:rPr>
      </w:pPr>
      <w:bookmarkStart w:id="111" w:name="_Toc8460"/>
      <w:bookmarkStart w:id="112" w:name="_Toc20183"/>
      <w:bookmarkStart w:id="113" w:name="_Toc3172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9"/>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9"/>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9"/>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w:t>
      </w:r>
      <w:r>
        <w:rPr>
          <w:rFonts w:hint="eastAsia" w:ascii="华文仿宋" w:hAnsi="华文仿宋" w:cs="华文仿宋"/>
          <w:color w:val="000000"/>
          <w:sz w:val="28"/>
          <w:shd w:val="clear" w:color="auto" w:fill="FFFFFF"/>
          <w:lang w:eastAsia="zh-CN"/>
        </w:rPr>
        <w:t>作出</w:t>
      </w:r>
      <w:r>
        <w:rPr>
          <w:rFonts w:hint="eastAsia" w:ascii="华文仿宋" w:hAnsi="华文仿宋" w:cs="华文仿宋"/>
          <w:color w:val="000000"/>
          <w:sz w:val="28"/>
          <w:shd w:val="clear" w:color="auto" w:fill="FFFFFF"/>
        </w:rPr>
        <w:t>澄清或者说明；</w:t>
      </w:r>
    </w:p>
    <w:p w14:paraId="76FE9C56">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9"/>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6"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6"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w:t>
      </w:r>
      <w:r>
        <w:rPr>
          <w:rFonts w:hint="eastAsia" w:ascii="华文仿宋" w:hAnsi="华文仿宋" w:cs="华文仿宋"/>
          <w:color w:val="000000"/>
          <w:lang w:eastAsia="zh-CN"/>
        </w:rPr>
        <w:t>作出</w:t>
      </w:r>
      <w:r>
        <w:rPr>
          <w:rFonts w:hint="eastAsia" w:ascii="华文仿宋" w:hAnsi="华文仿宋" w:cs="华文仿宋"/>
          <w:color w:val="000000"/>
        </w:rPr>
        <w:t>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w:t>
      </w:r>
      <w:r>
        <w:rPr>
          <w:rFonts w:hint="eastAsia" w:ascii="华文仿宋" w:hAnsi="华文仿宋" w:cs="华文仿宋"/>
          <w:color w:val="000000"/>
          <w:lang w:eastAsia="zh-CN"/>
        </w:rPr>
        <w:t>作出</w:t>
      </w:r>
      <w:r>
        <w:rPr>
          <w:rFonts w:hint="eastAsia" w:ascii="华文仿宋" w:hAnsi="华文仿宋" w:cs="华文仿宋"/>
          <w:color w:val="000000"/>
        </w:rPr>
        <w:t>的评审意见无效。</w:t>
      </w:r>
    </w:p>
    <w:p w14:paraId="65ECD7F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6"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6"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6"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left"/>
        <w:rPr>
          <w:rFonts w:hint="eastAsia" w:ascii="华文仿宋" w:hAnsi="华文仿宋" w:cs="华文仿宋"/>
          <w:b/>
          <w:bCs/>
          <w:color w:val="000000"/>
        </w:rPr>
      </w:pPr>
      <w:r>
        <w:rPr>
          <w:rFonts w:hint="eastAsia"/>
          <w:color w:val="000000"/>
          <w:lang w:val="en-US" w:eastAsia="zh-CN"/>
        </w:rPr>
        <w:t xml:space="preserve">   </w:t>
      </w:r>
      <w:r>
        <w:rPr>
          <w:rFonts w:hint="eastAsia" w:ascii="Calibri" w:hAnsi="Calibri"/>
          <w:color w:val="000000"/>
          <w:lang w:val="en-US" w:eastAsia="zh-CN"/>
        </w:rPr>
        <w:t xml:space="preserve"> </w:t>
      </w:r>
      <w:r>
        <w:rPr>
          <w:rFonts w:hint="eastAsia" w:ascii="Calibri" w:hAnsi="Calibri"/>
          <w:color w:val="000000"/>
        </w:rPr>
        <w:t>开标结束后，磋商小组依据法律法规和</w:t>
      </w:r>
      <w:r>
        <w:rPr>
          <w:rFonts w:hint="eastAsia" w:ascii="Calibri" w:hAnsi="Calibri"/>
          <w:color w:val="000000"/>
          <w:lang w:eastAsia="zh-CN"/>
        </w:rPr>
        <w:t>电子磋商文件</w:t>
      </w:r>
      <w:r>
        <w:rPr>
          <w:rFonts w:hint="eastAsia" w:ascii="Calibri" w:hAnsi="Calibri"/>
          <w:color w:val="000000"/>
        </w:rPr>
        <w:t>的规定，对</w:t>
      </w:r>
      <w:r>
        <w:rPr>
          <w:rFonts w:hint="eastAsia" w:ascii="Calibri" w:hAnsi="Calibri"/>
          <w:color w:val="000000"/>
          <w:lang w:val="en-US" w:eastAsia="zh-CN"/>
        </w:rPr>
        <w:t>电子</w:t>
      </w:r>
      <w:r>
        <w:rPr>
          <w:rFonts w:hint="eastAsia" w:ascii="Calibri" w:hAnsi="Calibri"/>
          <w:color w:val="000000"/>
        </w:rPr>
        <w:t>响应文件中的供应商资格证明文件进行审查，以确定供应商是否具备磋商资格。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2"/>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95B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7A3552D4">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0C92C7E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35961A3B">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52F174D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42885C5">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6B71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7A395E0C">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B6F612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4C9C244">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0ABC24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ED19ED9">
            <w:pPr>
              <w:spacing w:before="40" w:after="40" w:line="240" w:lineRule="auto"/>
              <w:rPr>
                <w:rFonts w:hint="eastAsia" w:ascii="华文仿宋" w:hAnsi="华文仿宋" w:eastAsia="华文仿宋" w:cs="华文仿宋"/>
                <w:b/>
                <w:color w:val="000000"/>
                <w:sz w:val="24"/>
                <w:szCs w:val="24"/>
              </w:rPr>
            </w:pPr>
          </w:p>
        </w:tc>
      </w:tr>
      <w:tr w14:paraId="3779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5BF61F3E">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4659FAA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3C18A3F">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03864C6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4D96E16">
            <w:pPr>
              <w:spacing w:before="40" w:after="40" w:line="240" w:lineRule="auto"/>
              <w:rPr>
                <w:rFonts w:hint="eastAsia" w:ascii="华文仿宋" w:hAnsi="华文仿宋" w:eastAsia="华文仿宋" w:cs="华文仿宋"/>
                <w:b/>
                <w:color w:val="000000"/>
                <w:sz w:val="24"/>
                <w:szCs w:val="24"/>
              </w:rPr>
            </w:pPr>
          </w:p>
        </w:tc>
      </w:tr>
      <w:tr w14:paraId="3528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152D6F">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3358539">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5B8B73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F14502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9360C67">
            <w:pPr>
              <w:spacing w:before="40" w:after="40" w:line="240" w:lineRule="auto"/>
              <w:rPr>
                <w:rFonts w:hint="eastAsia" w:ascii="华文仿宋" w:hAnsi="华文仿宋" w:eastAsia="华文仿宋" w:cs="华文仿宋"/>
                <w:b/>
                <w:color w:val="000000"/>
                <w:sz w:val="24"/>
                <w:szCs w:val="24"/>
              </w:rPr>
            </w:pPr>
          </w:p>
        </w:tc>
      </w:tr>
      <w:tr w14:paraId="3D6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287261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FD1BB7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0EE45C0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D854CA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5BDF96">
            <w:pPr>
              <w:spacing w:before="40" w:after="40" w:line="240" w:lineRule="auto"/>
              <w:rPr>
                <w:rFonts w:hint="eastAsia" w:ascii="华文仿宋" w:hAnsi="华文仿宋" w:eastAsia="华文仿宋" w:cs="华文仿宋"/>
                <w:b/>
                <w:color w:val="000000"/>
                <w:sz w:val="24"/>
                <w:szCs w:val="24"/>
              </w:rPr>
            </w:pPr>
          </w:p>
        </w:tc>
      </w:tr>
      <w:tr w14:paraId="5884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6A65E8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62741A5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1D660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447FBE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D08C5B8">
            <w:pPr>
              <w:spacing w:before="40" w:after="40" w:line="240" w:lineRule="auto"/>
              <w:rPr>
                <w:rFonts w:hint="eastAsia" w:ascii="华文仿宋" w:hAnsi="华文仿宋" w:eastAsia="华文仿宋" w:cs="华文仿宋"/>
                <w:b/>
                <w:color w:val="000000"/>
                <w:sz w:val="24"/>
                <w:szCs w:val="24"/>
              </w:rPr>
            </w:pPr>
          </w:p>
        </w:tc>
      </w:tr>
      <w:tr w14:paraId="1EC2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02C878B">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5191418A">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076DD4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w:t>
            </w:r>
            <w:r>
              <w:rPr>
                <w:rFonts w:hint="eastAsia" w:ascii="华文仿宋" w:hAnsi="华文仿宋" w:cs="华文仿宋"/>
                <w:color w:val="auto"/>
                <w:kern w:val="28"/>
                <w:sz w:val="24"/>
                <w:szCs w:val="24"/>
                <w:lang w:val="en-US" w:eastAsia="zh-CN"/>
              </w:rPr>
              <w:t>或</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07C81F62">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831D5E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DFD91BA">
            <w:pPr>
              <w:spacing w:before="40" w:after="40" w:line="240" w:lineRule="auto"/>
              <w:rPr>
                <w:rFonts w:hint="eastAsia" w:ascii="华文仿宋" w:hAnsi="华文仿宋" w:eastAsia="华文仿宋" w:cs="华文仿宋"/>
                <w:b/>
                <w:color w:val="000000"/>
                <w:sz w:val="24"/>
                <w:szCs w:val="24"/>
              </w:rPr>
            </w:pPr>
          </w:p>
        </w:tc>
      </w:tr>
      <w:tr w14:paraId="650C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5340D8A">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12894055">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7D133FA6">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557DFCB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1639D1E">
            <w:pPr>
              <w:spacing w:before="40" w:after="40" w:line="240" w:lineRule="auto"/>
              <w:rPr>
                <w:rFonts w:hint="eastAsia" w:ascii="华文仿宋" w:hAnsi="华文仿宋" w:eastAsia="华文仿宋" w:cs="华文仿宋"/>
                <w:b/>
                <w:color w:val="000000"/>
                <w:sz w:val="24"/>
                <w:szCs w:val="24"/>
              </w:rPr>
            </w:pPr>
          </w:p>
        </w:tc>
      </w:tr>
      <w:tr w14:paraId="0B17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721AC54D">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6"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w:t>
      </w:r>
      <w:r>
        <w:rPr>
          <w:rFonts w:hint="eastAsia" w:ascii="华文仿宋" w:hAnsi="华文仿宋" w:cs="华文仿宋"/>
          <w:color w:val="000000"/>
          <w:lang w:eastAsia="zh-CN"/>
        </w:rPr>
        <w:t>作出</w:t>
      </w:r>
      <w:r>
        <w:rPr>
          <w:rFonts w:hint="eastAsia" w:ascii="华文仿宋" w:hAnsi="华文仿宋" w:cs="华文仿宋"/>
          <w:color w:val="000000"/>
        </w:rPr>
        <w:t>响应。</w:t>
      </w:r>
    </w:p>
    <w:p w14:paraId="6A2CE8B7">
      <w:pPr>
        <w:tabs>
          <w:tab w:val="center" w:pos="4153"/>
          <w:tab w:val="right" w:pos="8306"/>
        </w:tabs>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2"/>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型企、微型业的，提供《中小企业声明函》，且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其他未列明行业</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w:t>
      </w:r>
      <w:r>
        <w:rPr>
          <w:rFonts w:hint="eastAsia" w:ascii="华文仿宋" w:hAnsi="华文仿宋" w:cs="华文仿宋"/>
          <w:color w:val="000000"/>
          <w:lang w:eastAsia="zh-CN"/>
        </w:rPr>
        <w:t>作出</w:t>
      </w:r>
      <w:r>
        <w:rPr>
          <w:rFonts w:hint="eastAsia" w:ascii="华文仿宋" w:hAnsi="华文仿宋" w:cs="华文仿宋"/>
          <w:color w:val="000000"/>
        </w:rPr>
        <w:t>必要的澄清、说明或者更正。</w:t>
      </w:r>
    </w:p>
    <w:p w14:paraId="6346879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w:t>
      </w:r>
      <w:r>
        <w:rPr>
          <w:rFonts w:hint="eastAsia" w:ascii="华文仿宋" w:hAnsi="华文仿宋" w:cs="华文仿宋"/>
          <w:color w:val="000000"/>
          <w:lang w:eastAsia="zh-CN"/>
        </w:rPr>
        <w:t>作出</w:t>
      </w:r>
      <w:r>
        <w:rPr>
          <w:rFonts w:hint="eastAsia" w:ascii="华文仿宋" w:hAnsi="华文仿宋" w:cs="华文仿宋"/>
          <w:color w:val="000000"/>
        </w:rPr>
        <w:t>评判。</w:t>
      </w:r>
    </w:p>
    <w:p w14:paraId="70279F47">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w:t>
      </w:r>
      <w:r>
        <w:rPr>
          <w:rFonts w:hint="eastAsia" w:ascii="华文仿宋" w:hAnsi="华文仿宋" w:cs="华文仿宋"/>
          <w:color w:val="000000"/>
          <w:lang w:eastAsia="zh-CN"/>
        </w:rPr>
        <w:t>作出</w:t>
      </w:r>
      <w:r>
        <w:rPr>
          <w:rFonts w:hint="eastAsia" w:ascii="华文仿宋" w:hAnsi="华文仿宋" w:cs="华文仿宋"/>
          <w:color w:val="000000"/>
        </w:rPr>
        <w:t>。供应商应当在规定的澄清时限内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6"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6"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20"/>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6"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50E517DF">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392"/>
      <w:bookmarkStart w:id="120" w:name="_Toc27187"/>
      <w:bookmarkStart w:id="121" w:name="_Toc9626"/>
      <w:bookmarkStart w:id="122" w:name="_Toc27797"/>
      <w:r>
        <w:rPr>
          <w:rFonts w:hint="eastAsia" w:ascii="华文仿宋" w:hAnsi="华文仿宋" w:cs="华文仿宋"/>
          <w:color w:val="000000"/>
        </w:rPr>
        <w:t>。</w:t>
      </w:r>
      <w:r>
        <w:rPr>
          <w:rFonts w:hint="eastAsia" w:ascii="华文仿宋" w:hAnsi="华文仿宋" w:eastAsia="华文仿宋" w:cs="华文仿宋"/>
          <w:color w:val="000000"/>
          <w:sz w:val="28"/>
          <w:szCs w:val="28"/>
          <w:lang w:val="en-US" w:eastAsia="zh-CN"/>
        </w:rPr>
        <w:t>评定内容及打分标准：总分100分，每个响应人每项评分因素得分汇</w:t>
      </w:r>
      <w:r>
        <w:rPr>
          <w:rFonts w:hint="eastAsia" w:ascii="华文仿宋" w:hAnsi="华文仿宋" w:cs="华文仿宋"/>
          <w:color w:val="000000"/>
          <w:lang w:val="en-US" w:eastAsia="zh-CN"/>
        </w:rPr>
        <w:t>总即为最后得分，各项评分因素具体内容及打分标准如下：</w:t>
      </w:r>
    </w:p>
    <w:bookmarkEnd w:id="119"/>
    <w:bookmarkEnd w:id="120"/>
    <w:bookmarkEnd w:id="121"/>
    <w:bookmarkEnd w:id="122"/>
    <w:tbl>
      <w:tblPr>
        <w:tblStyle w:val="22"/>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824"/>
        <w:gridCol w:w="714"/>
        <w:gridCol w:w="7528"/>
      </w:tblGrid>
      <w:tr w14:paraId="69CAA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600" w:type="dxa"/>
            <w:tcBorders>
              <w:top w:val="single" w:color="auto" w:sz="4" w:space="0"/>
              <w:left w:val="single" w:color="auto" w:sz="4" w:space="0"/>
              <w:bottom w:val="single" w:color="auto" w:sz="4" w:space="0"/>
              <w:right w:val="single" w:color="auto" w:sz="4" w:space="0"/>
            </w:tcBorders>
            <w:noWrap w:val="0"/>
            <w:vAlign w:val="center"/>
          </w:tcPr>
          <w:p w14:paraId="6B2392E1">
            <w:pPr>
              <w:spacing w:line="300" w:lineRule="exact"/>
              <w:jc w:val="center"/>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序号</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3ACDEE80">
            <w:pPr>
              <w:spacing w:line="300" w:lineRule="exact"/>
              <w:jc w:val="center"/>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评审项目</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617670FE">
            <w:pPr>
              <w:spacing w:line="300" w:lineRule="exact"/>
              <w:jc w:val="center"/>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标准分值</w:t>
            </w:r>
          </w:p>
        </w:tc>
        <w:tc>
          <w:tcPr>
            <w:tcW w:w="7528" w:type="dxa"/>
            <w:tcBorders>
              <w:top w:val="single" w:color="auto" w:sz="4" w:space="0"/>
              <w:left w:val="single" w:color="auto" w:sz="4" w:space="0"/>
              <w:bottom w:val="single" w:color="auto" w:sz="4" w:space="0"/>
              <w:right w:val="single" w:color="auto" w:sz="4" w:space="0"/>
            </w:tcBorders>
            <w:noWrap w:val="0"/>
            <w:vAlign w:val="center"/>
          </w:tcPr>
          <w:p w14:paraId="7A0F14AA">
            <w:pPr>
              <w:spacing w:line="320" w:lineRule="exact"/>
              <w:jc w:val="center"/>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评分标准</w:t>
            </w:r>
          </w:p>
        </w:tc>
      </w:tr>
      <w:tr w14:paraId="0C276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tcBorders>
              <w:top w:val="single" w:color="auto" w:sz="4" w:space="0"/>
              <w:left w:val="single" w:color="auto" w:sz="4" w:space="0"/>
              <w:bottom w:val="single" w:color="auto" w:sz="4" w:space="0"/>
              <w:right w:val="single" w:color="auto" w:sz="4" w:space="0"/>
            </w:tcBorders>
            <w:noWrap w:val="0"/>
            <w:vAlign w:val="center"/>
          </w:tcPr>
          <w:p w14:paraId="1589A72F">
            <w:pPr>
              <w:autoSpaceDE w:val="0"/>
              <w:autoSpaceDN w:val="0"/>
              <w:adjustRightInd w:val="0"/>
              <w:spacing w:line="300" w:lineRule="exact"/>
              <w:jc w:val="center"/>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1</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42FB2CA1">
            <w:pPr>
              <w:autoSpaceDE w:val="0"/>
              <w:autoSpaceDN w:val="0"/>
              <w:adjustRightInd w:val="0"/>
              <w:spacing w:line="300" w:lineRule="exact"/>
              <w:jc w:val="center"/>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投标报价</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65EC7E10">
            <w:pPr>
              <w:autoSpaceDE w:val="0"/>
              <w:autoSpaceDN w:val="0"/>
              <w:adjustRightInd w:val="0"/>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bCs/>
                <w:color w:val="000000"/>
                <w:sz w:val="24"/>
                <w:szCs w:val="24"/>
                <w:highlight w:val="none"/>
                <w:lang w:val="en-US" w:eastAsia="zh-CN"/>
              </w:rPr>
              <w:t>25</w:t>
            </w:r>
            <w:r>
              <w:rPr>
                <w:rFonts w:hint="eastAsia" w:ascii="华文仿宋" w:hAnsi="华文仿宋" w:eastAsia="华文仿宋" w:cs="华文仿宋"/>
                <w:bCs/>
                <w:color w:val="000000"/>
                <w:sz w:val="24"/>
                <w:szCs w:val="24"/>
                <w:highlight w:val="none"/>
              </w:rPr>
              <w:t>分</w:t>
            </w:r>
          </w:p>
        </w:tc>
        <w:tc>
          <w:tcPr>
            <w:tcW w:w="7528" w:type="dxa"/>
            <w:tcBorders>
              <w:top w:val="single" w:color="auto" w:sz="4" w:space="0"/>
              <w:left w:val="single" w:color="auto" w:sz="4" w:space="0"/>
              <w:bottom w:val="single" w:color="auto" w:sz="4" w:space="0"/>
              <w:right w:val="single" w:color="auto" w:sz="4" w:space="0"/>
            </w:tcBorders>
            <w:noWrap w:val="0"/>
            <w:vAlign w:val="center"/>
          </w:tcPr>
          <w:p w14:paraId="5D91A6C7">
            <w:pPr>
              <w:widowControl/>
              <w:jc w:val="left"/>
              <w:rPr>
                <w:rFonts w:hint="eastAsia" w:ascii="华文仿宋" w:hAnsi="华文仿宋" w:eastAsia="华文仿宋" w:cs="华文仿宋"/>
                <w:sz w:val="24"/>
                <w:szCs w:val="24"/>
              </w:rPr>
            </w:pPr>
            <w:r>
              <w:rPr>
                <w:rFonts w:hint="eastAsia" w:ascii="华文仿宋" w:hAnsi="华文仿宋" w:eastAsia="华文仿宋" w:cs="华文仿宋"/>
                <w:color w:val="000000"/>
                <w:kern w:val="0"/>
                <w:sz w:val="24"/>
                <w:szCs w:val="24"/>
                <w:highlight w:val="none"/>
                <w:lang w:bidi="ar"/>
              </w:rPr>
              <w:t>有效</w:t>
            </w:r>
            <w:r>
              <w:rPr>
                <w:rFonts w:hint="eastAsia" w:ascii="华文仿宋" w:hAnsi="华文仿宋" w:eastAsia="华文仿宋" w:cs="华文仿宋"/>
                <w:color w:val="000000"/>
                <w:kern w:val="0"/>
                <w:sz w:val="24"/>
                <w:szCs w:val="24"/>
                <w:highlight w:val="none"/>
                <w:lang w:val="en-US" w:eastAsia="zh-CN" w:bidi="ar"/>
              </w:rPr>
              <w:t>供应商</w:t>
            </w:r>
            <w:r>
              <w:rPr>
                <w:rFonts w:hint="eastAsia" w:ascii="华文仿宋" w:hAnsi="华文仿宋" w:eastAsia="华文仿宋" w:cs="华文仿宋"/>
                <w:color w:val="000000"/>
                <w:kern w:val="0"/>
                <w:sz w:val="24"/>
                <w:szCs w:val="24"/>
                <w:highlight w:val="none"/>
                <w:lang w:bidi="ar"/>
              </w:rPr>
              <w:t>的最低报价为基准价得</w:t>
            </w:r>
            <w:r>
              <w:rPr>
                <w:rFonts w:hint="eastAsia" w:ascii="华文仿宋" w:hAnsi="华文仿宋" w:eastAsia="华文仿宋" w:cs="华文仿宋"/>
                <w:color w:val="000000"/>
                <w:kern w:val="0"/>
                <w:sz w:val="24"/>
                <w:szCs w:val="24"/>
                <w:highlight w:val="none"/>
                <w:lang w:val="en-US" w:eastAsia="zh-CN" w:bidi="ar"/>
              </w:rPr>
              <w:t>25</w:t>
            </w:r>
            <w:r>
              <w:rPr>
                <w:rFonts w:hint="eastAsia" w:ascii="华文仿宋" w:hAnsi="华文仿宋" w:eastAsia="华文仿宋" w:cs="华文仿宋"/>
                <w:color w:val="000000"/>
                <w:kern w:val="0"/>
                <w:sz w:val="24"/>
                <w:szCs w:val="24"/>
                <w:highlight w:val="none"/>
                <w:lang w:bidi="ar"/>
              </w:rPr>
              <w:t>分，其他各</w:t>
            </w:r>
            <w:r>
              <w:rPr>
                <w:rFonts w:hint="eastAsia" w:ascii="华文仿宋" w:hAnsi="华文仿宋" w:eastAsia="华文仿宋" w:cs="华文仿宋"/>
                <w:color w:val="000000"/>
                <w:kern w:val="0"/>
                <w:sz w:val="24"/>
                <w:szCs w:val="24"/>
                <w:highlight w:val="none"/>
                <w:lang w:val="en-US" w:eastAsia="zh-CN" w:bidi="ar"/>
              </w:rPr>
              <w:t>供应商</w:t>
            </w:r>
            <w:r>
              <w:rPr>
                <w:rFonts w:hint="eastAsia" w:ascii="华文仿宋" w:hAnsi="华文仿宋" w:eastAsia="华文仿宋" w:cs="华文仿宋"/>
                <w:color w:val="000000"/>
                <w:kern w:val="0"/>
                <w:sz w:val="24"/>
                <w:szCs w:val="24"/>
                <w:highlight w:val="none"/>
                <w:lang w:bidi="ar"/>
              </w:rPr>
              <w:t>的报价得分按下列公式计算：（基准价/投标报价）×</w:t>
            </w:r>
            <w:r>
              <w:rPr>
                <w:rFonts w:hint="eastAsia" w:ascii="华文仿宋" w:hAnsi="华文仿宋" w:eastAsia="华文仿宋" w:cs="华文仿宋"/>
                <w:color w:val="000000"/>
                <w:spacing w:val="-6"/>
                <w:sz w:val="24"/>
                <w:szCs w:val="24"/>
                <w:highlight w:val="none"/>
              </w:rPr>
              <w:t>价格权值</w:t>
            </w:r>
            <w:r>
              <w:rPr>
                <w:rFonts w:hint="eastAsia" w:ascii="华文仿宋" w:hAnsi="华文仿宋" w:eastAsia="华文仿宋" w:cs="华文仿宋"/>
                <w:color w:val="000000"/>
                <w:kern w:val="0"/>
                <w:sz w:val="24"/>
                <w:szCs w:val="24"/>
                <w:highlight w:val="none"/>
                <w:lang w:bidi="ar"/>
              </w:rPr>
              <w:t>×100。</w:t>
            </w:r>
          </w:p>
        </w:tc>
      </w:tr>
      <w:tr w14:paraId="694F4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tcBorders>
              <w:top w:val="single" w:color="auto" w:sz="4" w:space="0"/>
              <w:left w:val="single" w:color="auto" w:sz="4" w:space="0"/>
              <w:bottom w:val="single" w:color="auto" w:sz="4" w:space="0"/>
              <w:right w:val="single" w:color="auto" w:sz="4" w:space="0"/>
            </w:tcBorders>
            <w:noWrap w:val="0"/>
            <w:vAlign w:val="center"/>
          </w:tcPr>
          <w:p w14:paraId="5240A6B3">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2</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412441DD">
            <w:pPr>
              <w:spacing w:line="300" w:lineRule="exact"/>
              <w:jc w:val="center"/>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业绩</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0EDB67F8">
            <w:pPr>
              <w:spacing w:line="300" w:lineRule="exact"/>
              <w:jc w:val="center"/>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8</w:t>
            </w:r>
            <w:r>
              <w:rPr>
                <w:rFonts w:hint="eastAsia" w:ascii="华文仿宋" w:hAnsi="华文仿宋" w:eastAsia="华文仿宋" w:cs="华文仿宋"/>
                <w:color w:val="auto"/>
                <w:sz w:val="24"/>
                <w:szCs w:val="24"/>
                <w:highlight w:val="none"/>
              </w:rPr>
              <w:t>分</w:t>
            </w:r>
          </w:p>
        </w:tc>
        <w:tc>
          <w:tcPr>
            <w:tcW w:w="7528" w:type="dxa"/>
            <w:tcBorders>
              <w:top w:val="single" w:color="auto" w:sz="4" w:space="0"/>
              <w:left w:val="single" w:color="auto" w:sz="4" w:space="0"/>
              <w:bottom w:val="single" w:color="auto" w:sz="4" w:space="0"/>
              <w:right w:val="single" w:color="auto" w:sz="4" w:space="0"/>
            </w:tcBorders>
            <w:noWrap w:val="0"/>
            <w:vAlign w:val="center"/>
          </w:tcPr>
          <w:p w14:paraId="617878F9">
            <w:pPr>
              <w:widowControl/>
              <w:adjustRightInd w:val="0"/>
              <w:spacing w:line="440" w:lineRule="exact"/>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提供2023年1月1日以来类似项目业绩(以合同签订日期为准)，每份合格业绩合同计</w:t>
            </w:r>
            <w:r>
              <w:rPr>
                <w:rFonts w:hint="eastAsia" w:ascii="华文仿宋" w:hAnsi="华文仿宋" w:eastAsia="华文仿宋" w:cs="华文仿宋"/>
                <w:color w:val="auto"/>
                <w:sz w:val="24"/>
                <w:szCs w:val="24"/>
                <w:highlight w:val="none"/>
                <w:lang w:val="en-US" w:eastAsia="zh-CN"/>
              </w:rPr>
              <w:t>2</w:t>
            </w:r>
            <w:r>
              <w:rPr>
                <w:rFonts w:hint="eastAsia" w:ascii="华文仿宋" w:hAnsi="华文仿宋" w:eastAsia="华文仿宋" w:cs="华文仿宋"/>
                <w:color w:val="auto"/>
                <w:sz w:val="24"/>
                <w:szCs w:val="24"/>
                <w:highlight w:val="none"/>
              </w:rPr>
              <w:t>分，满分</w:t>
            </w:r>
            <w:r>
              <w:rPr>
                <w:rFonts w:hint="eastAsia" w:ascii="华文仿宋" w:hAnsi="华文仿宋" w:eastAsia="华文仿宋" w:cs="华文仿宋"/>
                <w:color w:val="auto"/>
                <w:sz w:val="24"/>
                <w:szCs w:val="24"/>
                <w:highlight w:val="none"/>
                <w:lang w:val="en-US" w:eastAsia="zh-CN"/>
              </w:rPr>
              <w:t>8</w:t>
            </w:r>
            <w:r>
              <w:rPr>
                <w:rFonts w:hint="eastAsia" w:ascii="华文仿宋" w:hAnsi="华文仿宋" w:eastAsia="华文仿宋" w:cs="华文仿宋"/>
                <w:color w:val="auto"/>
                <w:sz w:val="24"/>
                <w:szCs w:val="24"/>
                <w:highlight w:val="none"/>
              </w:rPr>
              <w:t>分;备注:需提供完整合同业绩及对应发票复印件(发票可提供服务期内任意一张)，并加盖供应商公章，以上两种证明材料同时提供方可得分，否则不得分。</w:t>
            </w:r>
          </w:p>
        </w:tc>
      </w:tr>
      <w:tr w14:paraId="69960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tcBorders>
              <w:top w:val="single" w:color="auto" w:sz="4" w:space="0"/>
              <w:left w:val="single" w:color="auto" w:sz="4" w:space="0"/>
              <w:bottom w:val="single" w:color="auto" w:sz="4" w:space="0"/>
              <w:right w:val="single" w:color="auto" w:sz="4" w:space="0"/>
            </w:tcBorders>
            <w:noWrap w:val="0"/>
            <w:vAlign w:val="center"/>
          </w:tcPr>
          <w:p w14:paraId="4FFFFFCA">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3</w:t>
            </w:r>
          </w:p>
        </w:tc>
        <w:tc>
          <w:tcPr>
            <w:tcW w:w="824" w:type="dxa"/>
            <w:tcBorders>
              <w:top w:val="single" w:color="auto" w:sz="4" w:space="0"/>
              <w:left w:val="single" w:color="auto" w:sz="4" w:space="0"/>
              <w:bottom w:val="single" w:color="auto" w:sz="4" w:space="0"/>
              <w:right w:val="single" w:color="auto" w:sz="4" w:space="0"/>
            </w:tcBorders>
            <w:noWrap w:val="0"/>
            <w:vAlign w:val="center"/>
          </w:tcPr>
          <w:p w14:paraId="5AFFC3E9">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服务方案</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3F2EB23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10</w:t>
            </w:r>
            <w:r>
              <w:rPr>
                <w:rFonts w:hint="eastAsia" w:ascii="华文仿宋" w:hAnsi="华文仿宋" w:eastAsia="华文仿宋" w:cs="华文仿宋"/>
                <w:color w:val="000000"/>
                <w:sz w:val="24"/>
                <w:szCs w:val="24"/>
                <w:highlight w:val="none"/>
              </w:rPr>
              <w:t>分</w:t>
            </w:r>
          </w:p>
        </w:tc>
        <w:tc>
          <w:tcPr>
            <w:tcW w:w="7528" w:type="dxa"/>
            <w:tcBorders>
              <w:top w:val="single" w:color="auto" w:sz="4" w:space="0"/>
              <w:left w:val="single" w:color="auto" w:sz="4" w:space="0"/>
              <w:bottom w:val="single" w:color="auto" w:sz="4" w:space="0"/>
              <w:right w:val="single" w:color="auto" w:sz="4" w:space="0"/>
            </w:tcBorders>
            <w:noWrap w:val="0"/>
            <w:vAlign w:val="center"/>
          </w:tcPr>
          <w:p w14:paraId="6351BE4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color w:val="000000"/>
                <w:sz w:val="24"/>
                <w:szCs w:val="24"/>
                <w:highlight w:val="none"/>
                <w:lang w:val="en-US" w:eastAsia="zh-CN"/>
              </w:rPr>
            </w:pPr>
            <w:bookmarkStart w:id="123" w:name="OLE_LINK1"/>
            <w:r>
              <w:rPr>
                <w:rFonts w:hint="eastAsia" w:ascii="华文仿宋" w:hAnsi="华文仿宋" w:eastAsia="华文仿宋" w:cs="华文仿宋"/>
                <w:b/>
                <w:bCs/>
                <w:color w:val="000000"/>
                <w:sz w:val="24"/>
                <w:szCs w:val="24"/>
                <w:highlight w:val="none"/>
              </w:rPr>
              <w:t>一、评审内容</w:t>
            </w:r>
          </w:p>
          <w:p w14:paraId="69A5579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kern w:val="0"/>
                <w:sz w:val="24"/>
                <w:szCs w:val="24"/>
                <w:highlight w:val="none"/>
                <w:lang w:val="en-US" w:eastAsia="zh-CN" w:bidi="ar"/>
              </w:rPr>
              <w:t>供应商</w:t>
            </w:r>
            <w:r>
              <w:rPr>
                <w:rFonts w:hint="eastAsia" w:ascii="华文仿宋" w:hAnsi="华文仿宋" w:eastAsia="华文仿宋" w:cs="华文仿宋"/>
                <w:color w:val="000000"/>
                <w:sz w:val="24"/>
                <w:szCs w:val="24"/>
                <w:highlight w:val="none"/>
                <w:lang w:val="en-US" w:eastAsia="zh-CN"/>
              </w:rPr>
              <w:t>需充分了解延安市地质灾害群专结合监测预警信息核查处置项目，提供本项目服务方案，方案内容包括：①对项目的理解；②工作方案；③技术路线；④服务团队；⑤应急处理措施。</w:t>
            </w:r>
          </w:p>
          <w:bookmarkEnd w:id="123"/>
          <w:p w14:paraId="4A54001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二、评审标准</w:t>
            </w:r>
          </w:p>
          <w:p w14:paraId="1E73669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1.完整性</w:t>
            </w:r>
            <w:r>
              <w:rPr>
                <w:rFonts w:hint="eastAsia" w:ascii="华文仿宋" w:hAnsi="华文仿宋" w:eastAsia="华文仿宋" w:cs="华文仿宋"/>
                <w:color w:val="000000"/>
                <w:sz w:val="24"/>
                <w:szCs w:val="24"/>
                <w:highlight w:val="none"/>
                <w:lang w:val="en-US" w:eastAsia="zh-CN"/>
              </w:rPr>
              <w:t>与先进性</w:t>
            </w:r>
            <w:r>
              <w:rPr>
                <w:rFonts w:hint="eastAsia" w:ascii="华文仿宋" w:hAnsi="华文仿宋" w:eastAsia="华文仿宋" w:cs="华文仿宋"/>
                <w:color w:val="000000"/>
                <w:sz w:val="24"/>
                <w:szCs w:val="24"/>
                <w:highlight w:val="none"/>
              </w:rPr>
              <w:t>：方案必须全面，</w:t>
            </w:r>
            <w:r>
              <w:rPr>
                <w:rFonts w:hint="eastAsia" w:ascii="华文仿宋" w:hAnsi="华文仿宋" w:eastAsia="华文仿宋" w:cs="华文仿宋"/>
                <w:color w:val="000000"/>
                <w:sz w:val="24"/>
                <w:szCs w:val="24"/>
                <w:highlight w:val="none"/>
                <w:lang w:val="en-US" w:eastAsia="zh-CN"/>
              </w:rPr>
              <w:t>技术方法先进，</w:t>
            </w:r>
            <w:r>
              <w:rPr>
                <w:rFonts w:hint="eastAsia" w:ascii="华文仿宋" w:hAnsi="华文仿宋" w:eastAsia="华文仿宋" w:cs="华文仿宋"/>
                <w:color w:val="000000"/>
                <w:sz w:val="24"/>
                <w:szCs w:val="24"/>
                <w:highlight w:val="none"/>
              </w:rPr>
              <w:t>对评审内容中的各项要求有详细描述；</w:t>
            </w:r>
          </w:p>
          <w:p w14:paraId="659750F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2.科学性</w:t>
            </w:r>
            <w:r>
              <w:rPr>
                <w:rFonts w:hint="eastAsia" w:ascii="华文仿宋" w:hAnsi="华文仿宋" w:eastAsia="华文仿宋" w:cs="华文仿宋"/>
                <w:color w:val="000000"/>
                <w:sz w:val="24"/>
                <w:szCs w:val="24"/>
                <w:highlight w:val="none"/>
                <w:lang w:val="en-US" w:eastAsia="zh-CN"/>
              </w:rPr>
              <w:t>与</w:t>
            </w:r>
            <w:r>
              <w:rPr>
                <w:rFonts w:hint="eastAsia" w:ascii="华文仿宋" w:hAnsi="华文仿宋" w:eastAsia="华文仿宋" w:cs="华文仿宋"/>
                <w:color w:val="000000"/>
                <w:sz w:val="24"/>
                <w:szCs w:val="24"/>
                <w:highlight w:val="none"/>
              </w:rPr>
              <w:t>合理性：切合项目实际情况，提出步骤清晰、科学完善的服务方案</w:t>
            </w:r>
            <w:r>
              <w:rPr>
                <w:rFonts w:hint="eastAsia" w:ascii="华文仿宋" w:hAnsi="华文仿宋" w:eastAsia="华文仿宋" w:cs="华文仿宋"/>
                <w:color w:val="000000"/>
                <w:sz w:val="24"/>
                <w:szCs w:val="24"/>
                <w:highlight w:val="none"/>
                <w:lang w:eastAsia="zh-CN"/>
              </w:rPr>
              <w:t>，</w:t>
            </w:r>
            <w:r>
              <w:rPr>
                <w:rFonts w:hint="eastAsia" w:ascii="华文仿宋" w:hAnsi="华文仿宋" w:eastAsia="华文仿宋" w:cs="华文仿宋"/>
                <w:color w:val="000000"/>
                <w:sz w:val="24"/>
                <w:szCs w:val="24"/>
                <w:highlight w:val="none"/>
              </w:rPr>
              <w:t>方案能够紧扣项目实际情况，内容合理可行；</w:t>
            </w:r>
          </w:p>
          <w:p w14:paraId="3403ADC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三、赋分标准（满分</w:t>
            </w:r>
            <w:r>
              <w:rPr>
                <w:rFonts w:hint="eastAsia" w:ascii="华文仿宋" w:hAnsi="华文仿宋" w:eastAsia="华文仿宋" w:cs="华文仿宋"/>
                <w:b/>
                <w:bCs/>
                <w:color w:val="000000"/>
                <w:sz w:val="24"/>
                <w:szCs w:val="24"/>
                <w:highlight w:val="none"/>
                <w:lang w:val="en-US" w:eastAsia="zh-CN"/>
              </w:rPr>
              <w:t>10</w:t>
            </w:r>
            <w:r>
              <w:rPr>
                <w:rFonts w:hint="eastAsia" w:ascii="华文仿宋" w:hAnsi="华文仿宋" w:eastAsia="华文仿宋" w:cs="华文仿宋"/>
                <w:b/>
                <w:bCs/>
                <w:color w:val="000000"/>
                <w:sz w:val="24"/>
                <w:szCs w:val="24"/>
                <w:highlight w:val="none"/>
              </w:rPr>
              <w:t>分）</w:t>
            </w:r>
          </w:p>
          <w:p w14:paraId="6C128BB5">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color w:val="000000"/>
                <w:sz w:val="24"/>
                <w:szCs w:val="24"/>
                <w:highlight w:val="none"/>
                <w:lang w:val="en-US"/>
              </w:rPr>
            </w:pPr>
            <w:r>
              <w:rPr>
                <w:rFonts w:hint="eastAsia" w:ascii="华文仿宋" w:hAnsi="华文仿宋" w:eastAsia="华文仿宋" w:cs="华文仿宋"/>
                <w:color w:val="000000"/>
                <w:sz w:val="24"/>
                <w:szCs w:val="24"/>
                <w:highlight w:val="none"/>
              </w:rPr>
              <w:t>1.对项目的理解：</w:t>
            </w:r>
            <w:r>
              <w:rPr>
                <w:rFonts w:hint="eastAsia" w:ascii="华文仿宋" w:hAnsi="华文仿宋" w:eastAsia="华文仿宋" w:cs="华文仿宋"/>
                <w:color w:val="000000"/>
                <w:sz w:val="24"/>
                <w:szCs w:val="24"/>
                <w:highlight w:val="none"/>
                <w:lang w:val="en-US" w:eastAsia="zh-CN"/>
              </w:rPr>
              <w:t>每完全满足一个评审标准得1分，满分2分；</w:t>
            </w:r>
          </w:p>
          <w:p w14:paraId="5B2E218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color w:val="000000"/>
                <w:sz w:val="24"/>
                <w:szCs w:val="24"/>
                <w:highlight w:val="none"/>
                <w:lang w:val="en-US"/>
              </w:rPr>
            </w:pPr>
            <w:r>
              <w:rPr>
                <w:rFonts w:hint="eastAsia" w:ascii="华文仿宋" w:hAnsi="华文仿宋" w:eastAsia="华文仿宋" w:cs="华文仿宋"/>
                <w:color w:val="000000"/>
                <w:sz w:val="24"/>
                <w:szCs w:val="24"/>
                <w:highlight w:val="none"/>
              </w:rPr>
              <w:t>2.</w:t>
            </w:r>
            <w:r>
              <w:rPr>
                <w:rFonts w:hint="eastAsia" w:ascii="华文仿宋" w:hAnsi="华文仿宋" w:eastAsia="华文仿宋" w:cs="华文仿宋"/>
                <w:color w:val="000000"/>
                <w:sz w:val="24"/>
                <w:szCs w:val="24"/>
                <w:highlight w:val="none"/>
                <w:lang w:val="en-US" w:eastAsia="zh-CN"/>
              </w:rPr>
              <w:t>工作方案</w:t>
            </w:r>
            <w:r>
              <w:rPr>
                <w:rFonts w:hint="eastAsia" w:ascii="华文仿宋" w:hAnsi="华文仿宋" w:eastAsia="华文仿宋" w:cs="华文仿宋"/>
                <w:color w:val="000000"/>
                <w:sz w:val="24"/>
                <w:szCs w:val="24"/>
                <w:highlight w:val="none"/>
              </w:rPr>
              <w:t>：</w:t>
            </w:r>
            <w:r>
              <w:rPr>
                <w:rFonts w:hint="eastAsia" w:ascii="华文仿宋" w:hAnsi="华文仿宋" w:eastAsia="华文仿宋" w:cs="华文仿宋"/>
                <w:color w:val="000000"/>
                <w:sz w:val="24"/>
                <w:szCs w:val="24"/>
                <w:highlight w:val="none"/>
                <w:lang w:val="en-US" w:eastAsia="zh-CN"/>
              </w:rPr>
              <w:t>每完全满足一个评审标准得1分，满分2分；</w:t>
            </w:r>
          </w:p>
          <w:p w14:paraId="4AD12A4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color w:val="000000"/>
                <w:sz w:val="24"/>
                <w:szCs w:val="24"/>
                <w:highlight w:val="none"/>
                <w:lang w:val="en-US"/>
              </w:rPr>
            </w:pPr>
            <w:r>
              <w:rPr>
                <w:rFonts w:hint="eastAsia" w:ascii="华文仿宋" w:hAnsi="华文仿宋" w:eastAsia="华文仿宋" w:cs="华文仿宋"/>
                <w:color w:val="000000"/>
                <w:sz w:val="24"/>
                <w:szCs w:val="24"/>
                <w:highlight w:val="none"/>
              </w:rPr>
              <w:t>3.</w:t>
            </w:r>
            <w:r>
              <w:rPr>
                <w:rFonts w:hint="eastAsia" w:ascii="华文仿宋" w:hAnsi="华文仿宋" w:eastAsia="华文仿宋" w:cs="华文仿宋"/>
                <w:color w:val="000000"/>
                <w:sz w:val="24"/>
                <w:szCs w:val="24"/>
                <w:highlight w:val="none"/>
                <w:lang w:val="en-US" w:eastAsia="zh-CN"/>
              </w:rPr>
              <w:t>技术路线</w:t>
            </w:r>
            <w:r>
              <w:rPr>
                <w:rFonts w:hint="eastAsia" w:ascii="华文仿宋" w:hAnsi="华文仿宋" w:eastAsia="华文仿宋" w:cs="华文仿宋"/>
                <w:color w:val="000000"/>
                <w:sz w:val="24"/>
                <w:szCs w:val="24"/>
                <w:highlight w:val="none"/>
              </w:rPr>
              <w:t>：</w:t>
            </w:r>
            <w:r>
              <w:rPr>
                <w:rFonts w:hint="eastAsia" w:ascii="华文仿宋" w:hAnsi="华文仿宋" w:eastAsia="华文仿宋" w:cs="华文仿宋"/>
                <w:color w:val="000000"/>
                <w:sz w:val="24"/>
                <w:szCs w:val="24"/>
                <w:highlight w:val="none"/>
                <w:lang w:val="en-US" w:eastAsia="zh-CN"/>
              </w:rPr>
              <w:t>每完全满足一个评审标准得1分，满分2分；</w:t>
            </w:r>
          </w:p>
          <w:p w14:paraId="5A3378B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4.服务团队：每完全满足一个评审标准得1分，满分</w:t>
            </w:r>
            <w:r>
              <w:rPr>
                <w:rFonts w:hint="eastAsia" w:ascii="华文仿宋" w:hAnsi="华文仿宋" w:eastAsia="华文仿宋" w:cs="华文仿宋"/>
                <w:color w:val="000000"/>
                <w:sz w:val="24"/>
                <w:szCs w:val="24"/>
                <w:highlight w:val="none"/>
                <w:lang w:val="en-US" w:eastAsia="zh-CN"/>
              </w:rPr>
              <w:t>2</w:t>
            </w:r>
            <w:r>
              <w:rPr>
                <w:rFonts w:hint="eastAsia" w:ascii="华文仿宋" w:hAnsi="华文仿宋" w:eastAsia="华文仿宋" w:cs="华文仿宋"/>
                <w:color w:val="000000"/>
                <w:sz w:val="24"/>
                <w:szCs w:val="24"/>
                <w:highlight w:val="none"/>
              </w:rPr>
              <w:t>分；</w:t>
            </w:r>
          </w:p>
          <w:p w14:paraId="1DF798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color w:val="000000"/>
                <w:sz w:val="24"/>
                <w:szCs w:val="24"/>
                <w:highlight w:val="none"/>
                <w:lang w:val="en-US"/>
              </w:rPr>
            </w:pPr>
            <w:r>
              <w:rPr>
                <w:rFonts w:hint="eastAsia" w:ascii="华文仿宋" w:hAnsi="华文仿宋" w:eastAsia="华文仿宋" w:cs="华文仿宋"/>
                <w:color w:val="000000"/>
                <w:sz w:val="24"/>
                <w:szCs w:val="24"/>
                <w:highlight w:val="none"/>
                <w:lang w:val="en-US" w:eastAsia="zh-CN"/>
              </w:rPr>
              <w:t>5.应急处置措施：每完全满足一个评审标准得1分，满分2分；</w:t>
            </w:r>
          </w:p>
          <w:p w14:paraId="2B2FAE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华文仿宋" w:hAnsi="华文仿宋" w:eastAsia="华文仿宋" w:cs="华文仿宋"/>
                <w:sz w:val="24"/>
                <w:szCs w:val="24"/>
              </w:rPr>
            </w:pPr>
            <w:r>
              <w:rPr>
                <w:rFonts w:hint="eastAsia" w:ascii="华文仿宋" w:hAnsi="华文仿宋" w:eastAsia="华文仿宋" w:cs="华文仿宋"/>
                <w:color w:val="000000"/>
                <w:sz w:val="24"/>
                <w:szCs w:val="24"/>
                <w:highlight w:val="none"/>
              </w:rPr>
              <w:t>根据每个评审标准的详实、完整程度， 自主赋分，满分</w:t>
            </w:r>
            <w:r>
              <w:rPr>
                <w:rFonts w:hint="eastAsia" w:ascii="华文仿宋" w:hAnsi="华文仿宋" w:eastAsia="华文仿宋" w:cs="华文仿宋"/>
                <w:color w:val="000000"/>
                <w:sz w:val="24"/>
                <w:szCs w:val="24"/>
                <w:highlight w:val="none"/>
                <w:lang w:val="en-US" w:eastAsia="zh-CN"/>
              </w:rPr>
              <w:t>10</w:t>
            </w:r>
            <w:r>
              <w:rPr>
                <w:rFonts w:hint="eastAsia" w:ascii="华文仿宋" w:hAnsi="华文仿宋" w:eastAsia="华文仿宋" w:cs="华文仿宋"/>
                <w:color w:val="000000"/>
                <w:sz w:val="24"/>
                <w:szCs w:val="24"/>
                <w:highlight w:val="none"/>
              </w:rPr>
              <w:t>分。</w:t>
            </w:r>
          </w:p>
        </w:tc>
      </w:tr>
      <w:tr w14:paraId="31E35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858AFC">
            <w:pPr>
              <w:pStyle w:val="9"/>
              <w:jc w:val="both"/>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rPr>
              <w:t>4</w:t>
            </w:r>
          </w:p>
        </w:tc>
        <w:tc>
          <w:tcPr>
            <w:tcW w:w="8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18E00A">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rPr>
              <w:t>进度保障方案</w:t>
            </w:r>
          </w:p>
        </w:tc>
        <w:tc>
          <w:tcPr>
            <w:tcW w:w="7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7CCC54F">
            <w:pPr>
              <w:pStyle w:val="9"/>
              <w:jc w:val="both"/>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6</w:t>
            </w:r>
            <w:r>
              <w:rPr>
                <w:rFonts w:hint="eastAsia" w:ascii="华文仿宋" w:hAnsi="华文仿宋" w:eastAsia="华文仿宋" w:cs="华文仿宋"/>
                <w:color w:val="000000"/>
                <w:sz w:val="24"/>
                <w:szCs w:val="24"/>
                <w:highlight w:val="none"/>
              </w:rPr>
              <w:t>分</w:t>
            </w:r>
          </w:p>
        </w:tc>
        <w:tc>
          <w:tcPr>
            <w:tcW w:w="75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945DA3">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jc w:val="both"/>
              <w:textAlignment w:val="auto"/>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一、评审内容</w:t>
            </w:r>
          </w:p>
          <w:p w14:paraId="5543C54C">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jc w:val="both"/>
              <w:textAlignment w:val="auto"/>
              <w:rPr>
                <w:rFonts w:hint="eastAsia" w:ascii="华文仿宋" w:hAnsi="华文仿宋" w:eastAsia="华文仿宋" w:cs="华文仿宋"/>
                <w:bCs/>
                <w:color w:val="000000"/>
                <w:sz w:val="24"/>
                <w:szCs w:val="24"/>
                <w:highlight w:val="none"/>
                <w:lang w:val="en-US" w:eastAsia="zh-CN"/>
              </w:rPr>
            </w:pPr>
            <w:r>
              <w:rPr>
                <w:rFonts w:hint="eastAsia" w:ascii="华文仿宋" w:hAnsi="华文仿宋" w:eastAsia="华文仿宋" w:cs="华文仿宋"/>
                <w:bCs/>
                <w:color w:val="000000"/>
                <w:sz w:val="24"/>
                <w:szCs w:val="24"/>
                <w:highlight w:val="none"/>
              </w:rPr>
              <w:t>针对本项目提出适用于本项目的进度保障方案，方案包括：①项目实施进度计划</w:t>
            </w:r>
            <w:r>
              <w:rPr>
                <w:rFonts w:hint="eastAsia" w:ascii="华文仿宋" w:hAnsi="华文仿宋" w:eastAsia="华文仿宋" w:cs="华文仿宋"/>
                <w:bCs/>
                <w:color w:val="000000"/>
                <w:sz w:val="24"/>
                <w:szCs w:val="24"/>
                <w:highlight w:val="none"/>
                <w:lang w:eastAsia="zh-CN"/>
              </w:rPr>
              <w:t>；</w:t>
            </w:r>
            <w:r>
              <w:rPr>
                <w:rFonts w:hint="eastAsia" w:ascii="华文仿宋" w:hAnsi="华文仿宋" w:eastAsia="华文仿宋" w:cs="华文仿宋"/>
                <w:bCs/>
                <w:color w:val="000000"/>
                <w:sz w:val="24"/>
                <w:szCs w:val="24"/>
                <w:highlight w:val="none"/>
              </w:rPr>
              <w:t>②项目进度保障措施</w:t>
            </w:r>
            <w:r>
              <w:rPr>
                <w:rFonts w:hint="eastAsia" w:ascii="华文仿宋" w:hAnsi="华文仿宋" w:eastAsia="华文仿宋" w:cs="华文仿宋"/>
                <w:bCs/>
                <w:color w:val="000000"/>
                <w:sz w:val="24"/>
                <w:szCs w:val="24"/>
                <w:highlight w:val="none"/>
                <w:lang w:eastAsia="zh-CN"/>
              </w:rPr>
              <w:t>；</w:t>
            </w:r>
            <w:r>
              <w:rPr>
                <w:rFonts w:hint="eastAsia" w:ascii="华文仿宋" w:hAnsi="华文仿宋" w:eastAsia="华文仿宋" w:cs="华文仿宋"/>
                <w:bCs/>
                <w:color w:val="000000"/>
                <w:sz w:val="24"/>
                <w:szCs w:val="24"/>
                <w:highlight w:val="none"/>
              </w:rPr>
              <w:t>③</w:t>
            </w:r>
            <w:r>
              <w:rPr>
                <w:rFonts w:hint="eastAsia" w:ascii="华文仿宋" w:hAnsi="华文仿宋" w:eastAsia="华文仿宋" w:cs="华文仿宋"/>
                <w:bCs/>
                <w:color w:val="000000"/>
                <w:sz w:val="24"/>
                <w:szCs w:val="24"/>
                <w:highlight w:val="none"/>
                <w:lang w:val="en-US" w:eastAsia="zh-CN"/>
              </w:rPr>
              <w:t>项目进度监控调整.</w:t>
            </w:r>
          </w:p>
          <w:p w14:paraId="0A898205">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jc w:val="both"/>
              <w:textAlignment w:val="auto"/>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二、评审标准</w:t>
            </w:r>
          </w:p>
          <w:p w14:paraId="1C03FABD">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jc w:val="both"/>
              <w:textAlignment w:val="auto"/>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1.完整</w:t>
            </w:r>
            <w:r>
              <w:rPr>
                <w:rFonts w:hint="eastAsia" w:ascii="华文仿宋" w:hAnsi="华文仿宋" w:eastAsia="华文仿宋" w:cs="华文仿宋"/>
                <w:bCs/>
                <w:color w:val="000000"/>
                <w:sz w:val="24"/>
                <w:szCs w:val="24"/>
                <w:highlight w:val="none"/>
                <w:lang w:val="en-US" w:eastAsia="zh-CN"/>
              </w:rPr>
              <w:t>与</w:t>
            </w:r>
            <w:r>
              <w:rPr>
                <w:rFonts w:hint="eastAsia" w:ascii="华文仿宋" w:hAnsi="华文仿宋" w:eastAsia="华文仿宋" w:cs="华文仿宋"/>
                <w:bCs/>
                <w:color w:val="000000"/>
                <w:sz w:val="24"/>
                <w:szCs w:val="24"/>
                <w:highlight w:val="none"/>
              </w:rPr>
              <w:t>合理性：方案必须全面，对评审内容中的各项要求有详细描述</w:t>
            </w:r>
            <w:r>
              <w:rPr>
                <w:rFonts w:hint="eastAsia" w:ascii="华文仿宋" w:hAnsi="华文仿宋" w:eastAsia="华文仿宋" w:cs="华文仿宋"/>
                <w:bCs/>
                <w:color w:val="000000"/>
                <w:sz w:val="24"/>
                <w:szCs w:val="24"/>
                <w:highlight w:val="none"/>
                <w:lang w:eastAsia="zh-CN"/>
              </w:rPr>
              <w:t>，</w:t>
            </w:r>
            <w:r>
              <w:rPr>
                <w:rFonts w:hint="eastAsia" w:ascii="华文仿宋" w:hAnsi="华文仿宋" w:eastAsia="华文仿宋" w:cs="华文仿宋"/>
                <w:bCs/>
                <w:color w:val="000000"/>
                <w:sz w:val="24"/>
                <w:szCs w:val="24"/>
                <w:highlight w:val="none"/>
              </w:rPr>
              <w:t>方案的制定基于合理的任务分解，各任务的时间估算准确，考虑了资源的可用性和任务之间的逻辑关系。</w:t>
            </w:r>
          </w:p>
          <w:p w14:paraId="7BB452DD">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jc w:val="both"/>
              <w:textAlignment w:val="auto"/>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lang w:val="en-US" w:eastAsia="zh-CN"/>
              </w:rPr>
              <w:t>2</w:t>
            </w:r>
            <w:r>
              <w:rPr>
                <w:rFonts w:hint="eastAsia" w:ascii="华文仿宋" w:hAnsi="华文仿宋" w:eastAsia="华文仿宋" w:cs="华文仿宋"/>
                <w:bCs/>
                <w:color w:val="000000"/>
                <w:sz w:val="24"/>
                <w:szCs w:val="24"/>
                <w:highlight w:val="none"/>
              </w:rPr>
              <w:t>.针对性：方案结合项目实际，根据本项目服务事项量身定制，能精准满足委托人需求。</w:t>
            </w:r>
          </w:p>
          <w:p w14:paraId="2D73BE22">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jc w:val="both"/>
              <w:textAlignment w:val="auto"/>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三、赋分标准（满分</w:t>
            </w:r>
            <w:r>
              <w:rPr>
                <w:rFonts w:hint="eastAsia" w:ascii="华文仿宋" w:hAnsi="华文仿宋" w:eastAsia="华文仿宋" w:cs="华文仿宋"/>
                <w:b/>
                <w:color w:val="000000"/>
                <w:sz w:val="24"/>
                <w:szCs w:val="24"/>
                <w:highlight w:val="none"/>
                <w:lang w:val="en-US" w:eastAsia="zh-CN"/>
              </w:rPr>
              <w:t>6</w:t>
            </w:r>
            <w:r>
              <w:rPr>
                <w:rFonts w:hint="eastAsia" w:ascii="华文仿宋" w:hAnsi="华文仿宋" w:eastAsia="华文仿宋" w:cs="华文仿宋"/>
                <w:b/>
                <w:color w:val="000000"/>
                <w:sz w:val="24"/>
                <w:szCs w:val="24"/>
                <w:highlight w:val="none"/>
              </w:rPr>
              <w:t>分）</w:t>
            </w:r>
          </w:p>
          <w:p w14:paraId="59D0D6E9">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jc w:val="both"/>
              <w:textAlignment w:val="auto"/>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1.项目实施进度计划：每满足一项得</w:t>
            </w:r>
            <w:r>
              <w:rPr>
                <w:rFonts w:hint="eastAsia" w:ascii="华文仿宋" w:hAnsi="华文仿宋" w:eastAsia="华文仿宋" w:cs="华文仿宋"/>
                <w:bCs/>
                <w:color w:val="000000"/>
                <w:sz w:val="24"/>
                <w:szCs w:val="24"/>
                <w:highlight w:val="none"/>
                <w:lang w:val="en-US" w:eastAsia="zh-CN"/>
              </w:rPr>
              <w:t>1</w:t>
            </w:r>
            <w:r>
              <w:rPr>
                <w:rFonts w:hint="eastAsia" w:ascii="华文仿宋" w:hAnsi="华文仿宋" w:eastAsia="华文仿宋" w:cs="华文仿宋"/>
                <w:bCs/>
                <w:color w:val="000000"/>
                <w:sz w:val="24"/>
                <w:szCs w:val="24"/>
                <w:highlight w:val="none"/>
              </w:rPr>
              <w:t>分，满分</w:t>
            </w:r>
            <w:r>
              <w:rPr>
                <w:rFonts w:hint="eastAsia" w:ascii="华文仿宋" w:hAnsi="华文仿宋" w:eastAsia="华文仿宋" w:cs="华文仿宋"/>
                <w:bCs/>
                <w:color w:val="000000"/>
                <w:sz w:val="24"/>
                <w:szCs w:val="24"/>
                <w:highlight w:val="none"/>
                <w:lang w:val="en-US" w:eastAsia="zh-CN"/>
              </w:rPr>
              <w:t>2</w:t>
            </w:r>
            <w:r>
              <w:rPr>
                <w:rFonts w:hint="eastAsia" w:ascii="华文仿宋" w:hAnsi="华文仿宋" w:eastAsia="华文仿宋" w:cs="华文仿宋"/>
                <w:bCs/>
                <w:color w:val="000000"/>
                <w:sz w:val="24"/>
                <w:szCs w:val="24"/>
                <w:highlight w:val="none"/>
              </w:rPr>
              <w:t>分；</w:t>
            </w:r>
          </w:p>
          <w:p w14:paraId="60B486A3">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jc w:val="both"/>
              <w:textAlignment w:val="auto"/>
              <w:rPr>
                <w:rFonts w:hint="eastAsia" w:ascii="华文仿宋" w:hAnsi="华文仿宋" w:eastAsia="华文仿宋" w:cs="华文仿宋"/>
                <w:bCs/>
                <w:color w:val="000000"/>
                <w:sz w:val="24"/>
                <w:szCs w:val="24"/>
                <w:highlight w:val="none"/>
                <w:lang w:eastAsia="zh-CN"/>
              </w:rPr>
            </w:pPr>
            <w:r>
              <w:rPr>
                <w:rFonts w:hint="eastAsia" w:ascii="华文仿宋" w:hAnsi="华文仿宋" w:eastAsia="华文仿宋" w:cs="华文仿宋"/>
                <w:bCs/>
                <w:color w:val="000000"/>
                <w:sz w:val="24"/>
                <w:szCs w:val="24"/>
                <w:highlight w:val="none"/>
              </w:rPr>
              <w:t>2.项目进度保障措施：每满足一项得</w:t>
            </w:r>
            <w:r>
              <w:rPr>
                <w:rFonts w:hint="eastAsia" w:ascii="华文仿宋" w:hAnsi="华文仿宋" w:eastAsia="华文仿宋" w:cs="华文仿宋"/>
                <w:bCs/>
                <w:color w:val="000000"/>
                <w:sz w:val="24"/>
                <w:szCs w:val="24"/>
                <w:highlight w:val="none"/>
                <w:lang w:val="en-US" w:eastAsia="zh-CN"/>
              </w:rPr>
              <w:t>1</w:t>
            </w:r>
            <w:r>
              <w:rPr>
                <w:rFonts w:hint="eastAsia" w:ascii="华文仿宋" w:hAnsi="华文仿宋" w:eastAsia="华文仿宋" w:cs="华文仿宋"/>
                <w:bCs/>
                <w:color w:val="000000"/>
                <w:sz w:val="24"/>
                <w:szCs w:val="24"/>
                <w:highlight w:val="none"/>
              </w:rPr>
              <w:t>分，满分</w:t>
            </w:r>
            <w:r>
              <w:rPr>
                <w:rFonts w:hint="eastAsia" w:ascii="华文仿宋" w:hAnsi="华文仿宋" w:eastAsia="华文仿宋" w:cs="华文仿宋"/>
                <w:bCs/>
                <w:color w:val="000000"/>
                <w:sz w:val="24"/>
                <w:szCs w:val="24"/>
                <w:highlight w:val="none"/>
                <w:lang w:val="en-US" w:eastAsia="zh-CN"/>
              </w:rPr>
              <w:t>2</w:t>
            </w:r>
            <w:r>
              <w:rPr>
                <w:rFonts w:hint="eastAsia" w:ascii="华文仿宋" w:hAnsi="华文仿宋" w:eastAsia="华文仿宋" w:cs="华文仿宋"/>
                <w:bCs/>
                <w:color w:val="000000"/>
                <w:sz w:val="24"/>
                <w:szCs w:val="24"/>
                <w:highlight w:val="none"/>
              </w:rPr>
              <w:t>分</w:t>
            </w:r>
            <w:r>
              <w:rPr>
                <w:rFonts w:hint="eastAsia" w:ascii="华文仿宋" w:hAnsi="华文仿宋" w:eastAsia="华文仿宋" w:cs="华文仿宋"/>
                <w:bCs/>
                <w:color w:val="000000"/>
                <w:sz w:val="24"/>
                <w:szCs w:val="24"/>
                <w:highlight w:val="none"/>
                <w:lang w:eastAsia="zh-CN"/>
              </w:rPr>
              <w:t>；</w:t>
            </w:r>
          </w:p>
          <w:p w14:paraId="1D4838E1">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jc w:val="both"/>
              <w:textAlignment w:val="auto"/>
              <w:rPr>
                <w:rFonts w:hint="eastAsia" w:ascii="华文仿宋" w:hAnsi="华文仿宋" w:eastAsia="华文仿宋" w:cs="华文仿宋"/>
                <w:kern w:val="2"/>
                <w:sz w:val="24"/>
                <w:szCs w:val="24"/>
                <w:lang w:val="en-US" w:eastAsia="zh-CN" w:bidi="ar-SA"/>
              </w:rPr>
            </w:pPr>
            <w:r>
              <w:rPr>
                <w:rFonts w:hint="eastAsia" w:ascii="华文仿宋" w:hAnsi="华文仿宋" w:eastAsia="华文仿宋" w:cs="华文仿宋"/>
                <w:bCs/>
                <w:color w:val="000000"/>
                <w:sz w:val="24"/>
                <w:szCs w:val="24"/>
                <w:highlight w:val="none"/>
                <w:lang w:val="en-US" w:eastAsia="zh-CN"/>
              </w:rPr>
              <w:t>3.项目进度监控调整：每满足一项得1分，满分2分。</w:t>
            </w:r>
          </w:p>
        </w:tc>
      </w:tr>
      <w:tr w14:paraId="76E68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810439">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5</w:t>
            </w:r>
          </w:p>
        </w:tc>
        <w:tc>
          <w:tcPr>
            <w:tcW w:w="8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DA630E9">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管理制度体系</w:t>
            </w:r>
          </w:p>
        </w:tc>
        <w:tc>
          <w:tcPr>
            <w:tcW w:w="7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33B463">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6分</w:t>
            </w:r>
          </w:p>
        </w:tc>
        <w:tc>
          <w:tcPr>
            <w:tcW w:w="75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26B4917">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
                <w:color w:val="000000"/>
                <w:sz w:val="24"/>
                <w:szCs w:val="24"/>
                <w:highlight w:val="none"/>
                <w:lang w:val="en-US"/>
              </w:rPr>
            </w:pPr>
            <w:r>
              <w:rPr>
                <w:rFonts w:hint="eastAsia" w:ascii="华文仿宋" w:hAnsi="华文仿宋" w:eastAsia="华文仿宋" w:cs="华文仿宋"/>
                <w:b/>
                <w:color w:val="000000"/>
                <w:sz w:val="24"/>
                <w:szCs w:val="24"/>
                <w:highlight w:val="none"/>
                <w:lang w:val="en-US" w:eastAsia="zh-CN"/>
              </w:rPr>
              <w:t>一、评审内容</w:t>
            </w:r>
          </w:p>
          <w:p w14:paraId="038B20B1">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color w:val="000000"/>
                <w:kern w:val="0"/>
                <w:sz w:val="24"/>
                <w:szCs w:val="24"/>
                <w:highlight w:val="none"/>
                <w:lang w:val="en-US" w:eastAsia="zh-CN" w:bidi="ar"/>
              </w:rPr>
              <w:t>供应商</w:t>
            </w:r>
            <w:r>
              <w:rPr>
                <w:rFonts w:hint="eastAsia" w:ascii="华文仿宋" w:hAnsi="华文仿宋" w:eastAsia="华文仿宋" w:cs="华文仿宋"/>
                <w:bCs/>
                <w:color w:val="000000"/>
                <w:sz w:val="24"/>
                <w:szCs w:val="24"/>
                <w:highlight w:val="none"/>
                <w:lang w:val="en-US" w:eastAsia="zh-CN"/>
              </w:rPr>
              <w:t>针对本项目具有良好的管理制度体系，公司各项管理制度健全完善，合理规范，包括：</w:t>
            </w:r>
            <w:r>
              <w:rPr>
                <w:rFonts w:hint="eastAsia" w:ascii="华文仿宋" w:hAnsi="华文仿宋" w:eastAsia="华文仿宋" w:cs="华文仿宋"/>
                <w:bCs/>
                <w:color w:val="000000"/>
                <w:sz w:val="24"/>
                <w:szCs w:val="24"/>
                <w:highlight w:val="none"/>
              </w:rPr>
              <w:t>①</w:t>
            </w:r>
            <w:r>
              <w:rPr>
                <w:rFonts w:hint="eastAsia" w:ascii="华文仿宋" w:hAnsi="华文仿宋" w:eastAsia="华文仿宋" w:cs="华文仿宋"/>
                <w:bCs/>
                <w:color w:val="000000"/>
                <w:sz w:val="24"/>
                <w:szCs w:val="24"/>
                <w:highlight w:val="none"/>
                <w:lang w:val="en-US" w:eastAsia="zh-CN"/>
              </w:rPr>
              <w:t>人事及财务制度；</w:t>
            </w:r>
            <w:r>
              <w:rPr>
                <w:rFonts w:hint="eastAsia" w:ascii="华文仿宋" w:hAnsi="华文仿宋" w:eastAsia="华文仿宋" w:cs="华文仿宋"/>
                <w:bCs/>
                <w:color w:val="000000"/>
                <w:sz w:val="24"/>
                <w:szCs w:val="24"/>
                <w:highlight w:val="none"/>
              </w:rPr>
              <w:t>②</w:t>
            </w:r>
            <w:r>
              <w:rPr>
                <w:rFonts w:hint="eastAsia" w:ascii="华文仿宋" w:hAnsi="华文仿宋" w:eastAsia="华文仿宋" w:cs="华文仿宋"/>
                <w:bCs/>
                <w:color w:val="000000"/>
                <w:sz w:val="24"/>
                <w:szCs w:val="24"/>
                <w:highlight w:val="none"/>
                <w:lang w:val="en-US" w:eastAsia="zh-CN"/>
              </w:rPr>
              <w:t>保密制度；</w:t>
            </w:r>
            <w:r>
              <w:rPr>
                <w:rFonts w:hint="eastAsia" w:ascii="华文仿宋" w:hAnsi="华文仿宋" w:eastAsia="华文仿宋" w:cs="华文仿宋"/>
                <w:bCs/>
                <w:color w:val="000000"/>
                <w:sz w:val="24"/>
                <w:szCs w:val="24"/>
                <w:highlight w:val="none"/>
              </w:rPr>
              <w:t>③</w:t>
            </w:r>
            <w:r>
              <w:rPr>
                <w:rFonts w:hint="eastAsia" w:ascii="华文仿宋" w:hAnsi="华文仿宋" w:eastAsia="华文仿宋" w:cs="华文仿宋"/>
                <w:bCs/>
                <w:color w:val="000000"/>
                <w:sz w:val="24"/>
                <w:szCs w:val="24"/>
                <w:highlight w:val="none"/>
                <w:lang w:val="en-US" w:eastAsia="zh-CN"/>
              </w:rPr>
              <w:t>岗位责任制度。</w:t>
            </w:r>
          </w:p>
          <w:p w14:paraId="6BA7E35D">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
                <w:color w:val="000000"/>
                <w:sz w:val="24"/>
                <w:szCs w:val="24"/>
                <w:highlight w:val="none"/>
                <w:lang w:val="en-US" w:eastAsia="zh-CN"/>
              </w:rPr>
            </w:pPr>
            <w:r>
              <w:rPr>
                <w:rFonts w:hint="eastAsia" w:ascii="华文仿宋" w:hAnsi="华文仿宋" w:eastAsia="华文仿宋" w:cs="华文仿宋"/>
                <w:b/>
                <w:color w:val="000000"/>
                <w:sz w:val="24"/>
                <w:szCs w:val="24"/>
                <w:highlight w:val="none"/>
                <w:lang w:val="en-US" w:eastAsia="zh-CN"/>
              </w:rPr>
              <w:t>二、评审标准</w:t>
            </w:r>
          </w:p>
          <w:p w14:paraId="77494AB1">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1.完备性：公司管理制度全面、完整，公司制度健全、责任明确、要求具体；</w:t>
            </w:r>
          </w:p>
          <w:p w14:paraId="5D338B0E">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2.合理性：能够紧扣实际情况，内容科学合理。</w:t>
            </w:r>
          </w:p>
          <w:p w14:paraId="2805D880">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
                <w:color w:val="000000"/>
                <w:sz w:val="24"/>
                <w:szCs w:val="24"/>
                <w:highlight w:val="none"/>
                <w:lang w:val="en-US" w:eastAsia="zh-CN"/>
              </w:rPr>
            </w:pPr>
            <w:r>
              <w:rPr>
                <w:rFonts w:hint="eastAsia" w:ascii="华文仿宋" w:hAnsi="华文仿宋" w:eastAsia="华文仿宋" w:cs="华文仿宋"/>
                <w:b/>
                <w:color w:val="000000"/>
                <w:sz w:val="24"/>
                <w:szCs w:val="24"/>
                <w:highlight w:val="none"/>
                <w:lang w:val="en-US" w:eastAsia="zh-CN"/>
              </w:rPr>
              <w:t>三、赋分标准（满分6分）</w:t>
            </w:r>
          </w:p>
          <w:p w14:paraId="362D9BAE">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1.人事及财务制度：每完全满足一个评审标准得1分，满分2分；</w:t>
            </w:r>
          </w:p>
          <w:p w14:paraId="4FC5616B">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rPr>
            </w:pPr>
            <w:r>
              <w:rPr>
                <w:rFonts w:hint="eastAsia" w:ascii="华文仿宋" w:hAnsi="华文仿宋" w:eastAsia="华文仿宋" w:cs="华文仿宋"/>
                <w:bCs/>
                <w:color w:val="000000"/>
                <w:sz w:val="24"/>
                <w:szCs w:val="24"/>
                <w:highlight w:val="none"/>
                <w:lang w:val="en-US" w:eastAsia="zh-CN"/>
              </w:rPr>
              <w:t>2.保密制度：每完全满足一个评审标准得1分，满分2分；</w:t>
            </w:r>
          </w:p>
          <w:p w14:paraId="48A33265">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
                <w:bCs/>
                <w:color w:val="000000"/>
                <w:kern w:val="2"/>
                <w:sz w:val="24"/>
                <w:szCs w:val="24"/>
                <w:highlight w:val="none"/>
                <w:lang w:val="en-US" w:eastAsia="zh-CN" w:bidi="ar-SA"/>
              </w:rPr>
            </w:pPr>
            <w:r>
              <w:rPr>
                <w:rFonts w:hint="eastAsia" w:ascii="华文仿宋" w:hAnsi="华文仿宋" w:eastAsia="华文仿宋" w:cs="华文仿宋"/>
                <w:bCs/>
                <w:color w:val="000000"/>
                <w:sz w:val="24"/>
                <w:szCs w:val="24"/>
                <w:highlight w:val="none"/>
                <w:lang w:val="en-US" w:eastAsia="zh-CN"/>
              </w:rPr>
              <w:t>3.岗位责任制度：每完全满足一个评审标准得1分，满分2分。</w:t>
            </w:r>
          </w:p>
        </w:tc>
      </w:tr>
      <w:tr w14:paraId="15040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8050A78">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6</w:t>
            </w:r>
          </w:p>
        </w:tc>
        <w:tc>
          <w:tcPr>
            <w:tcW w:w="8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C85403">
            <w:pPr>
              <w:spacing w:line="300" w:lineRule="exact"/>
              <w:jc w:val="center"/>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sz w:val="24"/>
                <w:szCs w:val="24"/>
                <w:highlight w:val="none"/>
              </w:rPr>
              <w:t>项目人员配备</w:t>
            </w:r>
          </w:p>
        </w:tc>
        <w:tc>
          <w:tcPr>
            <w:tcW w:w="7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1A3654">
            <w:pPr>
              <w:spacing w:line="300" w:lineRule="exact"/>
              <w:jc w:val="center"/>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color w:val="auto"/>
                <w:sz w:val="24"/>
                <w:szCs w:val="24"/>
                <w:highlight w:val="none"/>
                <w:lang w:val="en-US" w:eastAsia="zh-CN"/>
              </w:rPr>
              <w:t>15</w:t>
            </w:r>
            <w:r>
              <w:rPr>
                <w:rFonts w:hint="eastAsia" w:ascii="华文仿宋" w:hAnsi="华文仿宋" w:eastAsia="华文仿宋" w:cs="华文仿宋"/>
                <w:color w:val="auto"/>
                <w:sz w:val="24"/>
                <w:szCs w:val="24"/>
                <w:highlight w:val="none"/>
              </w:rPr>
              <w:t>分</w:t>
            </w:r>
          </w:p>
        </w:tc>
        <w:tc>
          <w:tcPr>
            <w:tcW w:w="75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88B1A3">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拟投入本项目的专业人员须具备水工环专业背景，并提供相应职称证书。①项目负责人：具备水工环专业高级工程师及以上职称，得3分；不满足条件的，本项不得分。②其他专业技术人员：除项目负责人外，水工环专业工程师及以上职称人员，每提供1人得2分，本项最高得12分。本评分项合计满分15分。</w:t>
            </w:r>
          </w:p>
          <w:p w14:paraId="5A50B28E">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color w:val="auto"/>
                <w:kern w:val="2"/>
                <w:sz w:val="24"/>
                <w:szCs w:val="24"/>
                <w:highlight w:val="none"/>
                <w:lang w:val="en-US" w:eastAsia="zh-CN" w:bidi="ar-SA"/>
              </w:rPr>
            </w:pPr>
            <w:r>
              <w:rPr>
                <w:rFonts w:hint="eastAsia" w:ascii="华文仿宋" w:hAnsi="华文仿宋" w:eastAsia="华文仿宋" w:cs="华文仿宋"/>
                <w:b/>
                <w:bCs/>
                <w:color w:val="auto"/>
                <w:sz w:val="24"/>
                <w:szCs w:val="24"/>
                <w:highlight w:val="none"/>
              </w:rPr>
              <w:t>备注：</w:t>
            </w:r>
            <w:r>
              <w:rPr>
                <w:rFonts w:hint="eastAsia" w:ascii="华文仿宋" w:hAnsi="华文仿宋" w:eastAsia="华文仿宋" w:cs="华文仿宋"/>
                <w:bCs/>
                <w:color w:val="auto"/>
                <w:sz w:val="24"/>
                <w:szCs w:val="24"/>
                <w:highlight w:val="none"/>
                <w:lang w:val="en-US" w:eastAsia="zh-CN"/>
              </w:rPr>
              <w:t>①所有人员须提供有效职称证书，证书专业不符不予计分；②同一人员不得在多个岗位重复计分。</w:t>
            </w:r>
          </w:p>
        </w:tc>
      </w:tr>
      <w:tr w14:paraId="28D52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DA812FE">
            <w:pPr>
              <w:spacing w:line="300" w:lineRule="exact"/>
              <w:jc w:val="center"/>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7</w:t>
            </w:r>
          </w:p>
        </w:tc>
        <w:tc>
          <w:tcPr>
            <w:tcW w:w="8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819020">
            <w:pPr>
              <w:spacing w:line="300" w:lineRule="exact"/>
              <w:jc w:val="center"/>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设备保障与协调能力</w:t>
            </w:r>
          </w:p>
        </w:tc>
        <w:tc>
          <w:tcPr>
            <w:tcW w:w="7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DF68C0A">
            <w:pPr>
              <w:spacing w:line="300" w:lineRule="exact"/>
              <w:jc w:val="center"/>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6分</w:t>
            </w:r>
          </w:p>
        </w:tc>
        <w:tc>
          <w:tcPr>
            <w:tcW w:w="75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60EB26">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eastAsia="zh-CN"/>
              </w:rPr>
            </w:pPr>
            <w:r>
              <w:rPr>
                <w:rFonts w:hint="eastAsia" w:ascii="华文仿宋" w:hAnsi="华文仿宋" w:eastAsia="华文仿宋" w:cs="华文仿宋"/>
                <w:bCs/>
                <w:color w:val="000000"/>
                <w:sz w:val="24"/>
                <w:szCs w:val="24"/>
                <w:highlight w:val="none"/>
                <w:lang w:val="en-US" w:eastAsia="zh-CN"/>
              </w:rPr>
              <w:t>一、设备保障（本项满分4分）</w:t>
            </w:r>
          </w:p>
          <w:p w14:paraId="5DC420E3">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auto"/>
                <w:sz w:val="24"/>
                <w:szCs w:val="24"/>
                <w:highlight w:val="none"/>
                <w:lang w:val="en-US" w:eastAsia="zh-CN"/>
              </w:rPr>
            </w:pPr>
            <w:r>
              <w:rPr>
                <w:rFonts w:hint="eastAsia" w:ascii="华文仿宋" w:hAnsi="华文仿宋" w:eastAsia="华文仿宋" w:cs="华文仿宋"/>
                <w:bCs/>
                <w:color w:val="auto"/>
                <w:sz w:val="24"/>
                <w:szCs w:val="24"/>
                <w:highlight w:val="none"/>
                <w:lang w:val="en-US" w:eastAsia="zh-CN"/>
              </w:rPr>
              <w:t>供应商为本项目配备专用设备，须提供购置发票、租赁合同（合同有效期应满足本项目的服务期要求）、固定资产证明材料其中一项即可，按以下标准计分：</w:t>
            </w:r>
          </w:p>
          <w:p w14:paraId="0954BE21">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eastAsia="zh-CN"/>
              </w:rPr>
            </w:pPr>
            <w:r>
              <w:rPr>
                <w:rFonts w:hint="eastAsia" w:ascii="华文仿宋" w:hAnsi="华文仿宋" w:eastAsia="华文仿宋" w:cs="华文仿宋"/>
                <w:bCs/>
                <w:color w:val="000000"/>
                <w:sz w:val="24"/>
                <w:szCs w:val="24"/>
                <w:highlight w:val="none"/>
                <w:lang w:val="en-US" w:eastAsia="zh-CN"/>
              </w:rPr>
              <w:t>1.野外调查车辆不少于2辆，得1分；</w:t>
            </w:r>
          </w:p>
          <w:p w14:paraId="4E13A137">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eastAsia="zh-CN"/>
              </w:rPr>
            </w:pPr>
            <w:r>
              <w:rPr>
                <w:rFonts w:hint="eastAsia" w:ascii="华文仿宋" w:hAnsi="华文仿宋" w:eastAsia="华文仿宋" w:cs="华文仿宋"/>
                <w:bCs/>
                <w:color w:val="000000"/>
                <w:sz w:val="24"/>
                <w:szCs w:val="24"/>
                <w:highlight w:val="none"/>
                <w:lang w:val="en-US" w:eastAsia="zh-CN"/>
              </w:rPr>
              <w:t>2.野外调查装备（地质罗盘、测量仪、测距仪等）：配备不少于3套得3分；配备 2套得1.5分；配备少于2套不得分。</w:t>
            </w:r>
          </w:p>
          <w:p w14:paraId="1A2613E0">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eastAsia="zh-CN"/>
              </w:rPr>
            </w:pPr>
            <w:r>
              <w:rPr>
                <w:rFonts w:hint="eastAsia" w:ascii="华文仿宋" w:hAnsi="华文仿宋" w:eastAsia="华文仿宋" w:cs="华文仿宋"/>
                <w:bCs/>
                <w:color w:val="000000"/>
                <w:sz w:val="24"/>
                <w:szCs w:val="24"/>
                <w:highlight w:val="none"/>
                <w:lang w:val="en-US" w:eastAsia="zh-CN"/>
              </w:rPr>
              <w:t>注：同一设备不重复计分，未提供对应证明材料的设备不予计分。</w:t>
            </w:r>
          </w:p>
          <w:p w14:paraId="276B0F83">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eastAsia="zh-CN"/>
              </w:rPr>
            </w:pPr>
            <w:r>
              <w:rPr>
                <w:rFonts w:hint="eastAsia" w:ascii="华文仿宋" w:hAnsi="华文仿宋" w:eastAsia="华文仿宋" w:cs="华文仿宋"/>
                <w:bCs/>
                <w:color w:val="000000"/>
                <w:sz w:val="24"/>
                <w:szCs w:val="24"/>
                <w:highlight w:val="none"/>
                <w:lang w:val="en-US" w:eastAsia="zh-CN"/>
              </w:rPr>
              <w:t>二、地方协调保障（本项满分2分）</w:t>
            </w:r>
          </w:p>
          <w:p w14:paraId="5287E4BD">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bCs/>
                <w:color w:val="000000"/>
                <w:sz w:val="24"/>
                <w:szCs w:val="24"/>
                <w:highlight w:val="none"/>
                <w:lang w:val="en-US" w:eastAsia="zh-CN"/>
              </w:rPr>
              <w:t>供应商承诺可与当地自然资源主管部门、乡镇及村组开展高效现场沟通，配备至少2名项目对接人员，提供人员简历及承诺书的，得2分；不满足不得分。</w:t>
            </w:r>
          </w:p>
        </w:tc>
      </w:tr>
      <w:tr w14:paraId="3965D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240DAF">
            <w:pPr>
              <w:spacing w:line="300" w:lineRule="exact"/>
              <w:jc w:val="center"/>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8</w:t>
            </w:r>
          </w:p>
        </w:tc>
        <w:tc>
          <w:tcPr>
            <w:tcW w:w="8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7D8C444">
            <w:pPr>
              <w:spacing w:line="300" w:lineRule="exact"/>
              <w:jc w:val="center"/>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企业创新能力</w:t>
            </w:r>
          </w:p>
        </w:tc>
        <w:tc>
          <w:tcPr>
            <w:tcW w:w="7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F2F446F">
            <w:pPr>
              <w:spacing w:line="300" w:lineRule="exact"/>
              <w:jc w:val="center"/>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6分</w:t>
            </w:r>
          </w:p>
        </w:tc>
        <w:tc>
          <w:tcPr>
            <w:tcW w:w="75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B2CF81">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eastAsia="zh-CN"/>
              </w:rPr>
            </w:pPr>
            <w:r>
              <w:rPr>
                <w:rFonts w:hint="eastAsia" w:ascii="华文仿宋" w:hAnsi="华文仿宋" w:eastAsia="华文仿宋" w:cs="华文仿宋"/>
                <w:bCs/>
                <w:color w:val="000000"/>
                <w:sz w:val="24"/>
                <w:szCs w:val="24"/>
                <w:highlight w:val="none"/>
                <w:lang w:val="en-US" w:eastAsia="zh-CN"/>
              </w:rPr>
              <w:t>1.拥有项目相关有效发明专利，每项得2分，最高得4分；</w:t>
            </w:r>
          </w:p>
          <w:p w14:paraId="7DAD8646">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bCs/>
                <w:color w:val="000000"/>
                <w:sz w:val="24"/>
                <w:szCs w:val="24"/>
                <w:highlight w:val="none"/>
                <w:lang w:val="en-US" w:eastAsia="zh-CN"/>
              </w:rPr>
            </w:pPr>
            <w:r>
              <w:rPr>
                <w:rFonts w:hint="eastAsia" w:ascii="华文仿宋" w:hAnsi="华文仿宋" w:eastAsia="华文仿宋" w:cs="华文仿宋"/>
                <w:bCs/>
                <w:color w:val="000000"/>
                <w:sz w:val="24"/>
                <w:szCs w:val="24"/>
                <w:highlight w:val="none"/>
                <w:lang w:val="en-US" w:eastAsia="zh-CN"/>
              </w:rPr>
              <w:t>2.拥有项目相关实用新型专利或软件著作权，每项得1分，最高得2分；</w:t>
            </w:r>
          </w:p>
          <w:p w14:paraId="728D3A84">
            <w:pPr>
              <w:keepNext w:val="0"/>
              <w:keepLines w:val="0"/>
              <w:pageBreakBefore w:val="0"/>
              <w:widowControl/>
              <w:tabs>
                <w:tab w:val="left" w:pos="547"/>
              </w:tabs>
              <w:kinsoku/>
              <w:wordWrap/>
              <w:overflowPunct/>
              <w:topLinePunct w:val="0"/>
              <w:autoSpaceDE w:val="0"/>
              <w:autoSpaceDN w:val="0"/>
              <w:bidi w:val="0"/>
              <w:adjustRightInd w:val="0"/>
              <w:snapToGrid/>
              <w:spacing w:line="400" w:lineRule="exact"/>
              <w:textAlignment w:val="auto"/>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bCs/>
                <w:color w:val="auto"/>
                <w:sz w:val="24"/>
                <w:szCs w:val="24"/>
                <w:highlight w:val="none"/>
                <w:lang w:val="en-US" w:eastAsia="zh-CN"/>
              </w:rPr>
              <w:t>备注：①所有计分佐证材料须清晰完整，证书信息、官网核验信息需与供应商名称、项目服务领域匹配，存在涂改、伪造、信息不符、超有效期等情况一律不予计分；②受让、授权使用、关联企业共享的知识产权及资质证书，均不纳入计分范围；</w:t>
            </w:r>
            <w:r>
              <w:rPr>
                <w:rFonts w:hint="eastAsia" w:ascii="华文仿宋" w:hAnsi="华文仿宋" w:eastAsia="华文仿宋" w:cs="华文仿宋"/>
                <w:bCs/>
                <w:color w:val="000000"/>
                <w:sz w:val="24"/>
                <w:szCs w:val="24"/>
                <w:highlight w:val="none"/>
              </w:rPr>
              <w:t>③</w:t>
            </w:r>
            <w:r>
              <w:rPr>
                <w:rFonts w:hint="eastAsia" w:ascii="华文仿宋" w:hAnsi="华文仿宋" w:eastAsia="华文仿宋" w:cs="华文仿宋"/>
                <w:bCs/>
                <w:color w:val="auto"/>
                <w:sz w:val="24"/>
                <w:szCs w:val="24"/>
                <w:highlight w:val="none"/>
                <w:lang w:val="en-US" w:eastAsia="zh-CN"/>
              </w:rPr>
              <w:t>同一专利、软著、体系证书仅可单次计分，不重复累计得分。</w:t>
            </w:r>
          </w:p>
        </w:tc>
      </w:tr>
      <w:tr w14:paraId="0FD41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EB2DFC">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9</w:t>
            </w:r>
          </w:p>
        </w:tc>
        <w:tc>
          <w:tcPr>
            <w:tcW w:w="8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4D6032">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rPr>
              <w:t>质量保障方案</w:t>
            </w:r>
          </w:p>
        </w:tc>
        <w:tc>
          <w:tcPr>
            <w:tcW w:w="7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16CADF">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6</w:t>
            </w:r>
            <w:r>
              <w:rPr>
                <w:rFonts w:hint="eastAsia" w:ascii="华文仿宋" w:hAnsi="华文仿宋" w:eastAsia="华文仿宋" w:cs="华文仿宋"/>
                <w:color w:val="000000"/>
                <w:sz w:val="24"/>
                <w:szCs w:val="24"/>
                <w:highlight w:val="none"/>
              </w:rPr>
              <w:t>分</w:t>
            </w:r>
          </w:p>
        </w:tc>
        <w:tc>
          <w:tcPr>
            <w:tcW w:w="75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9A32BF0">
            <w:pPr>
              <w:widowControl/>
              <w:spacing w:line="400" w:lineRule="exact"/>
              <w:jc w:val="left"/>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一、评审内容</w:t>
            </w:r>
          </w:p>
          <w:p w14:paraId="6A0F78F6">
            <w:pPr>
              <w:widowControl/>
              <w:spacing w:line="400" w:lineRule="exact"/>
              <w:jc w:val="left"/>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针对本项目提出适用于本项目的质量保障方案，方案内容包括①质量保障措施②质量控制流程。</w:t>
            </w:r>
          </w:p>
          <w:p w14:paraId="4E837A5C">
            <w:pPr>
              <w:widowControl/>
              <w:spacing w:line="400" w:lineRule="exact"/>
              <w:jc w:val="left"/>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二、评审标准</w:t>
            </w:r>
          </w:p>
          <w:p w14:paraId="405A9E02">
            <w:pPr>
              <w:widowControl/>
              <w:spacing w:line="400" w:lineRule="exact"/>
              <w:jc w:val="left"/>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1.完整性：方案必须全面，对评审内容中的各项要求有详细描述；</w:t>
            </w:r>
          </w:p>
          <w:p w14:paraId="5B9BFE6C">
            <w:pPr>
              <w:widowControl/>
              <w:spacing w:line="400" w:lineRule="exact"/>
              <w:jc w:val="left"/>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2.可行性：切合本项目实际情况，提出合理可行的保障措施；</w:t>
            </w:r>
          </w:p>
          <w:p w14:paraId="1653EEA9">
            <w:pPr>
              <w:widowControl/>
              <w:spacing w:line="400" w:lineRule="exact"/>
              <w:jc w:val="left"/>
              <w:rPr>
                <w:rFonts w:hint="eastAsia" w:ascii="华文仿宋" w:hAnsi="华文仿宋" w:eastAsia="华文仿宋" w:cs="华文仿宋"/>
                <w:bCs/>
                <w:color w:val="000000"/>
                <w:sz w:val="24"/>
                <w:szCs w:val="24"/>
                <w:highlight w:val="none"/>
              </w:rPr>
            </w:pPr>
            <w:r>
              <w:rPr>
                <w:rFonts w:hint="eastAsia" w:ascii="华文仿宋" w:hAnsi="华文仿宋" w:eastAsia="华文仿宋" w:cs="华文仿宋"/>
                <w:bCs/>
                <w:color w:val="000000"/>
                <w:sz w:val="24"/>
                <w:szCs w:val="24"/>
                <w:highlight w:val="none"/>
              </w:rPr>
              <w:t>3.科学性：保障措施运用科学的方法</w:t>
            </w:r>
            <w:r>
              <w:rPr>
                <w:rFonts w:hint="eastAsia" w:ascii="华文仿宋" w:hAnsi="华文仿宋" w:eastAsia="华文仿宋" w:cs="华文仿宋"/>
                <w:bCs/>
                <w:color w:val="000000"/>
                <w:sz w:val="24"/>
                <w:szCs w:val="24"/>
                <w:highlight w:val="none"/>
                <w:lang w:val="en-US" w:eastAsia="zh-CN"/>
              </w:rPr>
              <w:t>和设备</w:t>
            </w:r>
            <w:r>
              <w:rPr>
                <w:rFonts w:hint="eastAsia" w:ascii="华文仿宋" w:hAnsi="华文仿宋" w:eastAsia="华文仿宋" w:cs="华文仿宋"/>
                <w:bCs/>
                <w:color w:val="000000"/>
                <w:sz w:val="24"/>
                <w:szCs w:val="24"/>
                <w:highlight w:val="none"/>
              </w:rPr>
              <w:t>。</w:t>
            </w:r>
          </w:p>
          <w:p w14:paraId="7DEE9607">
            <w:pPr>
              <w:widowControl/>
              <w:spacing w:line="400" w:lineRule="exact"/>
              <w:jc w:val="left"/>
              <w:rPr>
                <w:rFonts w:hint="eastAsia" w:ascii="华文仿宋" w:hAnsi="华文仿宋" w:eastAsia="华文仿宋" w:cs="华文仿宋"/>
                <w:b/>
                <w:color w:val="000000"/>
                <w:sz w:val="24"/>
                <w:szCs w:val="24"/>
                <w:highlight w:val="none"/>
              </w:rPr>
            </w:pPr>
            <w:r>
              <w:rPr>
                <w:rFonts w:hint="eastAsia" w:ascii="华文仿宋" w:hAnsi="华文仿宋" w:eastAsia="华文仿宋" w:cs="华文仿宋"/>
                <w:b/>
                <w:color w:val="000000"/>
                <w:sz w:val="24"/>
                <w:szCs w:val="24"/>
                <w:highlight w:val="none"/>
              </w:rPr>
              <w:t>三、赋分标准（满分</w:t>
            </w:r>
            <w:r>
              <w:rPr>
                <w:rFonts w:hint="eastAsia" w:ascii="华文仿宋" w:hAnsi="华文仿宋" w:eastAsia="华文仿宋" w:cs="华文仿宋"/>
                <w:b/>
                <w:color w:val="000000"/>
                <w:sz w:val="24"/>
                <w:szCs w:val="24"/>
                <w:highlight w:val="none"/>
                <w:lang w:val="en-US" w:eastAsia="zh-CN"/>
              </w:rPr>
              <w:t>6</w:t>
            </w:r>
            <w:r>
              <w:rPr>
                <w:rFonts w:hint="eastAsia" w:ascii="华文仿宋" w:hAnsi="华文仿宋" w:eastAsia="华文仿宋" w:cs="华文仿宋"/>
                <w:b/>
                <w:color w:val="000000"/>
                <w:sz w:val="24"/>
                <w:szCs w:val="24"/>
                <w:highlight w:val="none"/>
              </w:rPr>
              <w:t>分）</w:t>
            </w:r>
          </w:p>
          <w:p w14:paraId="34E40A31">
            <w:pPr>
              <w:widowControl/>
              <w:spacing w:line="400" w:lineRule="exact"/>
              <w:jc w:val="left"/>
              <w:rPr>
                <w:rFonts w:hint="eastAsia" w:ascii="华文仿宋" w:hAnsi="华文仿宋" w:eastAsia="华文仿宋" w:cs="华文仿宋"/>
                <w:bCs/>
                <w:color w:val="000000"/>
                <w:sz w:val="24"/>
                <w:szCs w:val="24"/>
                <w:highlight w:val="none"/>
                <w:lang w:val="en-US" w:eastAsia="zh-CN"/>
              </w:rPr>
            </w:pPr>
            <w:r>
              <w:rPr>
                <w:rFonts w:hint="eastAsia" w:ascii="华文仿宋" w:hAnsi="华文仿宋" w:eastAsia="华文仿宋" w:cs="华文仿宋"/>
                <w:bCs/>
                <w:color w:val="000000"/>
                <w:sz w:val="24"/>
                <w:szCs w:val="24"/>
                <w:highlight w:val="none"/>
                <w:lang w:val="en-US" w:eastAsia="zh-CN"/>
              </w:rPr>
              <w:t>1.质量保障措施：每完全满足一项评审标准得1分，满分3分；</w:t>
            </w:r>
          </w:p>
          <w:p w14:paraId="0E227CBD">
            <w:pPr>
              <w:widowControl/>
              <w:spacing w:line="400" w:lineRule="exact"/>
              <w:jc w:val="left"/>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bCs/>
                <w:color w:val="000000"/>
                <w:sz w:val="24"/>
                <w:szCs w:val="24"/>
                <w:highlight w:val="none"/>
                <w:lang w:val="en-US" w:eastAsia="zh-CN"/>
              </w:rPr>
              <w:t>2.质量控制流程：每完全满足一项评审标准得1分，满分3分。</w:t>
            </w:r>
          </w:p>
        </w:tc>
      </w:tr>
      <w:tr w14:paraId="67962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AF28CD">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10</w:t>
            </w:r>
          </w:p>
        </w:tc>
        <w:tc>
          <w:tcPr>
            <w:tcW w:w="8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31172DB">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rPr>
              <w:t>服务承诺</w:t>
            </w:r>
          </w:p>
        </w:tc>
        <w:tc>
          <w:tcPr>
            <w:tcW w:w="7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BAF1FB">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9</w:t>
            </w:r>
            <w:r>
              <w:rPr>
                <w:rFonts w:hint="eastAsia" w:ascii="华文仿宋" w:hAnsi="华文仿宋" w:eastAsia="华文仿宋" w:cs="华文仿宋"/>
                <w:color w:val="000000"/>
                <w:sz w:val="24"/>
                <w:szCs w:val="24"/>
                <w:highlight w:val="none"/>
              </w:rPr>
              <w:t>分</w:t>
            </w:r>
          </w:p>
        </w:tc>
        <w:tc>
          <w:tcPr>
            <w:tcW w:w="75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09438C5">
            <w:pPr>
              <w:widowControl/>
              <w:spacing w:line="400" w:lineRule="exact"/>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一、评审内容</w:t>
            </w:r>
          </w:p>
          <w:p w14:paraId="5FD609F2">
            <w:pPr>
              <w:widowControl/>
              <w:spacing w:line="360" w:lineRule="exac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根据本项目特点制定服务承诺，承诺内容包括：①服务承诺②具有本地化服务能力③质量目标无法实现时的认罚承诺。</w:t>
            </w:r>
          </w:p>
          <w:p w14:paraId="35482D72">
            <w:pPr>
              <w:widowControl/>
              <w:spacing w:line="400" w:lineRule="exact"/>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二、评审标准</w:t>
            </w:r>
          </w:p>
          <w:p w14:paraId="39A055CD">
            <w:pPr>
              <w:snapToGrid w:val="0"/>
              <w:spacing w:line="400" w:lineRule="exac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1.完整性：承诺必须全面，对评审内容中的各项要求有详细描述及说明；</w:t>
            </w:r>
          </w:p>
          <w:p w14:paraId="6C7051E8">
            <w:pPr>
              <w:widowControl/>
              <w:spacing w:line="400" w:lineRule="exac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2.可实现性</w:t>
            </w:r>
            <w:r>
              <w:rPr>
                <w:rFonts w:hint="eastAsia" w:ascii="华文仿宋" w:hAnsi="华文仿宋" w:eastAsia="华文仿宋" w:cs="华文仿宋"/>
                <w:color w:val="000000"/>
                <w:sz w:val="24"/>
                <w:szCs w:val="24"/>
                <w:highlight w:val="none"/>
                <w:lang w:val="en-US" w:eastAsia="zh-CN"/>
              </w:rPr>
              <w:t>及合理性</w:t>
            </w:r>
            <w:r>
              <w:rPr>
                <w:rFonts w:hint="eastAsia" w:ascii="华文仿宋" w:hAnsi="华文仿宋" w:eastAsia="华文仿宋" w:cs="华文仿宋"/>
                <w:color w:val="000000"/>
                <w:sz w:val="24"/>
                <w:szCs w:val="24"/>
                <w:highlight w:val="none"/>
              </w:rPr>
              <w:t>：基于项目团队现有的技术水平、人员配备、资源状况等实际条件来制定的，确保有足够的能力和资源来兑现承诺</w:t>
            </w:r>
            <w:r>
              <w:rPr>
                <w:rFonts w:hint="eastAsia" w:ascii="华文仿宋" w:hAnsi="华文仿宋" w:eastAsia="华文仿宋" w:cs="华文仿宋"/>
                <w:color w:val="000000"/>
                <w:sz w:val="24"/>
                <w:szCs w:val="24"/>
                <w:highlight w:val="none"/>
                <w:lang w:eastAsia="zh-CN"/>
              </w:rPr>
              <w:t>，</w:t>
            </w:r>
            <w:r>
              <w:rPr>
                <w:rFonts w:hint="eastAsia" w:ascii="华文仿宋" w:hAnsi="华文仿宋" w:eastAsia="华文仿宋" w:cs="华文仿宋"/>
                <w:color w:val="000000"/>
                <w:sz w:val="24"/>
                <w:szCs w:val="24"/>
                <w:highlight w:val="none"/>
              </w:rPr>
              <w:t>承诺能够紧扣项目具体情况，承诺内容需合理，具有实操性；</w:t>
            </w:r>
          </w:p>
          <w:p w14:paraId="2899524C">
            <w:pPr>
              <w:widowControl/>
              <w:spacing w:line="400" w:lineRule="exact"/>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t>3</w:t>
            </w:r>
            <w:r>
              <w:rPr>
                <w:rFonts w:hint="eastAsia" w:ascii="华文仿宋" w:hAnsi="华文仿宋" w:eastAsia="华文仿宋" w:cs="华文仿宋"/>
                <w:color w:val="000000"/>
                <w:sz w:val="24"/>
                <w:szCs w:val="24"/>
                <w:highlight w:val="none"/>
              </w:rPr>
              <w:t>.及时性：明确规定在委托人提出服务需求后，项目团队将在最短的时间内做出响应，并给予反馈。</w:t>
            </w:r>
          </w:p>
          <w:p w14:paraId="0D7266F3">
            <w:pPr>
              <w:widowControl/>
              <w:spacing w:line="400" w:lineRule="exact"/>
              <w:rPr>
                <w:rFonts w:hint="eastAsia" w:ascii="华文仿宋" w:hAnsi="华文仿宋" w:eastAsia="华文仿宋" w:cs="华文仿宋"/>
                <w:b/>
                <w:bCs/>
                <w:color w:val="000000"/>
                <w:sz w:val="24"/>
                <w:szCs w:val="24"/>
                <w:highlight w:val="none"/>
              </w:rPr>
            </w:pPr>
            <w:r>
              <w:rPr>
                <w:rFonts w:hint="eastAsia" w:ascii="华文仿宋" w:hAnsi="华文仿宋" w:eastAsia="华文仿宋" w:cs="华文仿宋"/>
                <w:b/>
                <w:bCs/>
                <w:color w:val="000000"/>
                <w:sz w:val="24"/>
                <w:szCs w:val="24"/>
                <w:highlight w:val="none"/>
              </w:rPr>
              <w:t>三、赋分标准(满分</w:t>
            </w:r>
            <w:r>
              <w:rPr>
                <w:rFonts w:hint="eastAsia" w:ascii="华文仿宋" w:hAnsi="华文仿宋" w:eastAsia="华文仿宋" w:cs="华文仿宋"/>
                <w:b/>
                <w:bCs/>
                <w:color w:val="000000"/>
                <w:sz w:val="24"/>
                <w:szCs w:val="24"/>
                <w:highlight w:val="none"/>
                <w:lang w:val="en-US" w:eastAsia="zh-CN"/>
              </w:rPr>
              <w:t>9</w:t>
            </w:r>
            <w:r>
              <w:rPr>
                <w:rFonts w:hint="eastAsia" w:ascii="华文仿宋" w:hAnsi="华文仿宋" w:eastAsia="华文仿宋" w:cs="华文仿宋"/>
                <w:b/>
                <w:bCs/>
                <w:color w:val="000000"/>
                <w:sz w:val="24"/>
                <w:szCs w:val="24"/>
                <w:highlight w:val="none"/>
              </w:rPr>
              <w:t>分)</w:t>
            </w:r>
          </w:p>
          <w:p w14:paraId="2074C4FE">
            <w:pPr>
              <w:widowControl/>
              <w:spacing w:line="400" w:lineRule="exact"/>
              <w:rPr>
                <w:rFonts w:hint="eastAsia" w:ascii="华文仿宋" w:hAnsi="华文仿宋" w:eastAsia="华文仿宋" w:cs="华文仿宋"/>
                <w:color w:val="000000"/>
                <w:sz w:val="24"/>
                <w:szCs w:val="24"/>
                <w:highlight w:val="none"/>
                <w:lang w:val="en-US"/>
              </w:rPr>
            </w:pPr>
            <w:r>
              <w:rPr>
                <w:rFonts w:hint="eastAsia" w:ascii="华文仿宋" w:hAnsi="华文仿宋" w:eastAsia="华文仿宋" w:cs="华文仿宋"/>
                <w:color w:val="000000"/>
                <w:sz w:val="24"/>
                <w:szCs w:val="24"/>
                <w:highlight w:val="none"/>
                <w:lang w:val="en-US" w:eastAsia="zh-CN"/>
              </w:rPr>
              <w:t>1.服务承诺：每完全满足一个评审标准得1分，满分3分；</w:t>
            </w:r>
          </w:p>
          <w:p w14:paraId="0D640873">
            <w:pPr>
              <w:widowControl/>
              <w:spacing w:line="400" w:lineRule="exact"/>
              <w:rPr>
                <w:rFonts w:hint="eastAsia" w:ascii="华文仿宋" w:hAnsi="华文仿宋" w:eastAsia="华文仿宋" w:cs="华文仿宋"/>
                <w:color w:val="000000"/>
                <w:sz w:val="24"/>
                <w:szCs w:val="24"/>
                <w:highlight w:val="none"/>
                <w:lang w:val="en-US"/>
              </w:rPr>
            </w:pPr>
            <w:r>
              <w:rPr>
                <w:rFonts w:hint="eastAsia" w:ascii="华文仿宋" w:hAnsi="华文仿宋" w:eastAsia="华文仿宋" w:cs="华文仿宋"/>
                <w:color w:val="000000"/>
                <w:sz w:val="24"/>
                <w:szCs w:val="24"/>
                <w:highlight w:val="none"/>
                <w:lang w:val="en-US" w:eastAsia="zh-CN"/>
              </w:rPr>
              <w:t>2. 供应商应具备本地化服务能力，可根据项目需要在项目所在地配置专业人员，并在服务期限内能提供现场服务与技术保障，保障服务响应时效,每完全满足一个评审标准得1分，满分3分；</w:t>
            </w:r>
          </w:p>
          <w:p w14:paraId="0EB4AAB8">
            <w:pPr>
              <w:widowControl/>
              <w:spacing w:line="400" w:lineRule="exact"/>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3.质量目标无法实现时的认罚承诺：每完全满足一个评审标准得1 分，满分3分。</w:t>
            </w:r>
          </w:p>
        </w:tc>
      </w:tr>
      <w:tr w14:paraId="04B44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27F4EA">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11</w:t>
            </w:r>
          </w:p>
        </w:tc>
        <w:tc>
          <w:tcPr>
            <w:tcW w:w="82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F2C388">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合理化建议</w:t>
            </w:r>
          </w:p>
        </w:tc>
        <w:tc>
          <w:tcPr>
            <w:tcW w:w="714"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1A50E5">
            <w:pPr>
              <w:spacing w:line="300" w:lineRule="exact"/>
              <w:jc w:val="center"/>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3</w:t>
            </w:r>
            <w:r>
              <w:rPr>
                <w:rFonts w:hint="eastAsia" w:ascii="华文仿宋" w:hAnsi="华文仿宋" w:eastAsia="华文仿宋" w:cs="华文仿宋"/>
                <w:color w:val="000000"/>
                <w:sz w:val="24"/>
                <w:szCs w:val="24"/>
                <w:highlight w:val="none"/>
              </w:rPr>
              <w:t>分</w:t>
            </w:r>
          </w:p>
        </w:tc>
        <w:tc>
          <w:tcPr>
            <w:tcW w:w="75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573429">
            <w:pPr>
              <w:widowControl/>
              <w:spacing w:line="400" w:lineRule="exact"/>
              <w:rPr>
                <w:rFonts w:hint="eastAsia" w:ascii="华文仿宋" w:hAnsi="华文仿宋" w:eastAsia="华文仿宋" w:cs="华文仿宋"/>
                <w:b/>
                <w:bCs/>
                <w:color w:val="000000"/>
                <w:sz w:val="24"/>
                <w:szCs w:val="24"/>
                <w:highlight w:val="none"/>
                <w:lang w:val="en-US" w:eastAsia="zh-CN"/>
              </w:rPr>
            </w:pPr>
            <w:r>
              <w:rPr>
                <w:rFonts w:hint="eastAsia" w:ascii="华文仿宋" w:hAnsi="华文仿宋" w:eastAsia="华文仿宋" w:cs="华文仿宋"/>
                <w:b/>
                <w:bCs/>
                <w:color w:val="000000"/>
                <w:sz w:val="24"/>
                <w:szCs w:val="24"/>
                <w:highlight w:val="none"/>
                <w:lang w:val="en-US" w:eastAsia="zh-CN"/>
              </w:rPr>
              <w:t>一、评审内容</w:t>
            </w:r>
          </w:p>
          <w:p w14:paraId="12AF18CA">
            <w:pPr>
              <w:widowControl/>
              <w:spacing w:line="400" w:lineRule="exact"/>
              <w:rPr>
                <w:rFonts w:hint="eastAsia" w:ascii="华文仿宋" w:hAnsi="华文仿宋" w:eastAsia="华文仿宋" w:cs="华文仿宋"/>
                <w:color w:val="000000"/>
                <w:sz w:val="24"/>
                <w:szCs w:val="24"/>
                <w:highlight w:val="none"/>
                <w:lang w:val="en-US" w:eastAsia="zh-CN"/>
              </w:rPr>
            </w:pPr>
            <w:r>
              <w:rPr>
                <w:rFonts w:hint="eastAsia" w:ascii="华文仿宋" w:hAnsi="华文仿宋" w:eastAsia="华文仿宋" w:cs="华文仿宋"/>
                <w:color w:val="000000"/>
                <w:sz w:val="24"/>
                <w:szCs w:val="24"/>
                <w:highlight w:val="none"/>
                <w:lang w:val="en-US" w:eastAsia="zh-CN"/>
              </w:rPr>
              <w:t>针对本项目提出适用于本项目的合理化建议。</w:t>
            </w:r>
          </w:p>
          <w:p w14:paraId="721F5CE4">
            <w:pPr>
              <w:widowControl/>
              <w:spacing w:line="400" w:lineRule="exact"/>
              <w:rPr>
                <w:rFonts w:hint="eastAsia" w:ascii="华文仿宋" w:hAnsi="华文仿宋" w:eastAsia="华文仿宋" w:cs="华文仿宋"/>
                <w:b/>
                <w:bCs/>
                <w:color w:val="000000"/>
                <w:sz w:val="24"/>
                <w:szCs w:val="24"/>
                <w:highlight w:val="none"/>
                <w:lang w:val="en-US" w:eastAsia="zh-CN"/>
              </w:rPr>
            </w:pPr>
            <w:r>
              <w:rPr>
                <w:rFonts w:hint="eastAsia" w:ascii="华文仿宋" w:hAnsi="华文仿宋" w:eastAsia="华文仿宋" w:cs="华文仿宋"/>
                <w:b/>
                <w:bCs/>
                <w:color w:val="000000"/>
                <w:sz w:val="24"/>
                <w:szCs w:val="24"/>
                <w:highlight w:val="none"/>
                <w:lang w:val="en-US" w:eastAsia="zh-CN"/>
              </w:rPr>
              <w:t>二、赋分标准（满分3分）</w:t>
            </w:r>
          </w:p>
          <w:p w14:paraId="13C7D07B">
            <w:pPr>
              <w:widowControl/>
              <w:spacing w:line="400" w:lineRule="exact"/>
              <w:rPr>
                <w:rFonts w:hint="eastAsia" w:ascii="华文仿宋" w:hAnsi="华文仿宋" w:eastAsia="华文仿宋" w:cs="华文仿宋"/>
                <w:color w:val="000000"/>
                <w:kern w:val="2"/>
                <w:sz w:val="24"/>
                <w:szCs w:val="24"/>
                <w:highlight w:val="none"/>
                <w:lang w:val="en-US" w:eastAsia="zh-CN" w:bidi="ar-SA"/>
              </w:rPr>
            </w:pPr>
            <w:r>
              <w:rPr>
                <w:rFonts w:hint="eastAsia" w:ascii="华文仿宋" w:hAnsi="华文仿宋" w:eastAsia="华文仿宋" w:cs="华文仿宋"/>
                <w:color w:val="000000"/>
                <w:sz w:val="24"/>
                <w:szCs w:val="24"/>
                <w:highlight w:val="none"/>
                <w:lang w:val="en-US" w:eastAsia="zh-CN"/>
              </w:rPr>
              <w:t>合理化建议：每提出一项得1分，满分3分。</w:t>
            </w:r>
          </w:p>
        </w:tc>
      </w:tr>
    </w:tbl>
    <w:p w14:paraId="230218C9">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3"/>
        <w:ind w:firstLine="567"/>
        <w:rPr>
          <w:rFonts w:ascii="华文仿宋" w:hAnsi="华文仿宋" w:cs="华文仿宋"/>
          <w:color w:val="000000"/>
          <w:sz w:val="28"/>
          <w:szCs w:val="28"/>
        </w:rPr>
      </w:pPr>
      <w:bookmarkStart w:id="124" w:name="_Toc25855"/>
      <w:bookmarkStart w:id="125" w:name="_Toc4670"/>
      <w:bookmarkStart w:id="126" w:name="_Toc30924"/>
      <w:bookmarkStart w:id="127" w:name="_Toc17612"/>
      <w:bookmarkStart w:id="128" w:name="_Toc28384"/>
      <w:bookmarkStart w:id="129" w:name="_Toc22712"/>
      <w:r>
        <w:rPr>
          <w:rFonts w:hint="eastAsia" w:ascii="华文仿宋" w:hAnsi="华文仿宋" w:cs="华文仿宋"/>
          <w:color w:val="000000"/>
          <w:sz w:val="28"/>
          <w:szCs w:val="28"/>
        </w:rPr>
        <w:t>八、成交</w:t>
      </w:r>
      <w:bookmarkEnd w:id="124"/>
      <w:bookmarkEnd w:id="125"/>
      <w:bookmarkEnd w:id="126"/>
      <w:bookmarkEnd w:id="127"/>
      <w:bookmarkEnd w:id="128"/>
      <w:bookmarkEnd w:id="129"/>
    </w:p>
    <w:p w14:paraId="15503DDA">
      <w:pPr>
        <w:spacing w:line="500" w:lineRule="exact"/>
        <w:ind w:firstLine="566" w:firstLineChars="200"/>
        <w:rPr>
          <w:rFonts w:ascii="华文仿宋" w:hAnsi="华文仿宋" w:cs="华文仿宋"/>
          <w:color w:val="000000"/>
          <w:highlight w:val="none"/>
        </w:rPr>
      </w:pP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一）本项目采用第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 xml:space="preserve">1 </w:t>
      </w:r>
      <w:r>
        <w:rPr>
          <w:rFonts w:hint="eastAsia" w:ascii="华文仿宋" w:hAnsi="华文仿宋" w:cs="华文仿宋"/>
          <w:color w:val="000000"/>
          <w:highlight w:val="none"/>
        </w:rPr>
        <w:t>种方式确定成交供应商：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4"/>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4"/>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3"/>
        <w:ind w:firstLine="567"/>
        <w:rPr>
          <w:rFonts w:ascii="华文仿宋" w:hAnsi="华文仿宋" w:cs="华文仿宋"/>
          <w:color w:val="000000"/>
          <w:sz w:val="28"/>
          <w:szCs w:val="28"/>
        </w:rPr>
      </w:pPr>
      <w:bookmarkStart w:id="130" w:name="_Toc10386"/>
      <w:bookmarkStart w:id="131" w:name="_Toc28870"/>
      <w:bookmarkStart w:id="132" w:name="_Toc31537"/>
      <w:bookmarkStart w:id="133" w:name="_Toc20049"/>
      <w:bookmarkStart w:id="134" w:name="_Toc3100"/>
      <w:bookmarkStart w:id="135" w:name="_Toc14009"/>
      <w:r>
        <w:rPr>
          <w:rFonts w:hint="eastAsia" w:ascii="华文仿宋" w:hAnsi="华文仿宋" w:cs="华文仿宋"/>
          <w:color w:val="000000"/>
          <w:sz w:val="28"/>
          <w:szCs w:val="28"/>
        </w:rPr>
        <w:t>九、签订政府采购合同</w:t>
      </w:r>
      <w:bookmarkEnd w:id="130"/>
      <w:bookmarkEnd w:id="131"/>
      <w:bookmarkEnd w:id="132"/>
      <w:bookmarkEnd w:id="133"/>
      <w:bookmarkEnd w:id="134"/>
      <w:bookmarkEnd w:id="135"/>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3"/>
        <w:ind w:firstLine="567"/>
        <w:rPr>
          <w:rFonts w:ascii="华文仿宋" w:hAnsi="华文仿宋" w:cs="华文仿宋"/>
          <w:color w:val="000000"/>
          <w:sz w:val="28"/>
          <w:szCs w:val="28"/>
        </w:rPr>
      </w:pPr>
      <w:bookmarkStart w:id="136" w:name="_Toc864"/>
      <w:bookmarkStart w:id="137" w:name="_Toc3153"/>
      <w:bookmarkStart w:id="138" w:name="_Toc21906"/>
      <w:bookmarkStart w:id="139" w:name="_Toc16965"/>
      <w:bookmarkStart w:id="140" w:name="_Toc1272"/>
      <w:bookmarkStart w:id="141" w:name="_Toc23346"/>
      <w:r>
        <w:rPr>
          <w:rFonts w:hint="eastAsia" w:ascii="华文仿宋" w:hAnsi="华文仿宋" w:cs="华文仿宋"/>
          <w:color w:val="000000"/>
          <w:sz w:val="28"/>
          <w:szCs w:val="28"/>
        </w:rPr>
        <w:t>十、其他</w:t>
      </w:r>
      <w:bookmarkEnd w:id="136"/>
      <w:bookmarkEnd w:id="137"/>
      <w:bookmarkEnd w:id="138"/>
      <w:bookmarkEnd w:id="139"/>
      <w:bookmarkEnd w:id="140"/>
      <w:bookmarkEnd w:id="141"/>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7FA4C120">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5B9DC863">
      <w:pPr>
        <w:pStyle w:val="2"/>
        <w:keepNext w:val="0"/>
        <w:keepLines/>
        <w:pageBreakBefore/>
        <w:widowControl/>
        <w:kinsoku/>
        <w:wordWrap/>
        <w:overflowPunct/>
        <w:topLinePunct w:val="0"/>
        <w:autoSpaceDE/>
        <w:autoSpaceDN/>
        <w:bidi w:val="0"/>
        <w:adjustRightInd/>
        <w:snapToGrid/>
        <w:spacing w:afterLines="50" w:line="500" w:lineRule="exact"/>
        <w:textAlignment w:val="auto"/>
        <w:rPr>
          <w:rFonts w:ascii="黑体" w:hAnsi="黑体"/>
          <w:b w:val="0"/>
          <w:color w:val="000000"/>
          <w:szCs w:val="32"/>
        </w:rPr>
      </w:pPr>
      <w:bookmarkStart w:id="142" w:name="_Toc10476_WPSOffice_Level1"/>
      <w:bookmarkStart w:id="143" w:name="_Toc24433"/>
      <w:bookmarkStart w:id="144" w:name="_Toc10627"/>
      <w:r>
        <w:rPr>
          <w:rFonts w:hint="eastAsia" w:ascii="黑体" w:hAnsi="黑体"/>
          <w:b w:val="0"/>
          <w:color w:val="000000"/>
          <w:szCs w:val="32"/>
        </w:rPr>
        <w:t>第三章  磋商内容及采</w:t>
      </w:r>
      <w:bookmarkEnd w:id="142"/>
      <w:r>
        <w:rPr>
          <w:rFonts w:hint="eastAsia" w:ascii="黑体" w:hAnsi="黑体"/>
          <w:b w:val="0"/>
          <w:color w:val="000000"/>
          <w:szCs w:val="32"/>
        </w:rPr>
        <w:t>购要求</w:t>
      </w:r>
      <w:bookmarkEnd w:id="143"/>
      <w:bookmarkEnd w:id="144"/>
    </w:p>
    <w:p w14:paraId="4510BC57">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p>
    <w:p w14:paraId="1EB625B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一</w:t>
      </w:r>
      <w:r>
        <w:rPr>
          <w:rFonts w:hint="eastAsia" w:ascii="华文仿宋" w:hAnsi="华文仿宋" w:cs="华文仿宋"/>
          <w:color w:val="000000"/>
          <w:lang w:eastAsia="zh-CN"/>
        </w:rPr>
        <w:t>、</w:t>
      </w:r>
      <w:r>
        <w:rPr>
          <w:rFonts w:hint="eastAsia" w:ascii="华文仿宋" w:hAnsi="华文仿宋" w:cs="华文仿宋"/>
          <w:color w:val="000000"/>
        </w:rPr>
        <w:t>采购项目清单</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
        <w:gridCol w:w="4315"/>
        <w:gridCol w:w="2081"/>
        <w:gridCol w:w="1155"/>
      </w:tblGrid>
      <w:tr w14:paraId="33FA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66" w:type="dxa"/>
            <w:noWrap w:val="0"/>
            <w:vAlign w:val="center"/>
          </w:tcPr>
          <w:p w14:paraId="20CC726A">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华文仿宋" w:hAnsi="华文仿宋" w:eastAsia="华文仿宋" w:cs="华文仿宋"/>
                <w:b w:val="0"/>
                <w:bCs w:val="0"/>
                <w:color w:val="000000"/>
                <w:sz w:val="24"/>
                <w:szCs w:val="24"/>
              </w:rPr>
            </w:pPr>
            <w:r>
              <w:rPr>
                <w:rFonts w:hint="eastAsia" w:ascii="华文仿宋" w:hAnsi="华文仿宋" w:eastAsia="华文仿宋" w:cs="华文仿宋"/>
                <w:b w:val="0"/>
                <w:bCs w:val="0"/>
                <w:color w:val="000000"/>
                <w:sz w:val="24"/>
                <w:szCs w:val="24"/>
              </w:rPr>
              <w:t>序号</w:t>
            </w:r>
          </w:p>
        </w:tc>
        <w:tc>
          <w:tcPr>
            <w:tcW w:w="4315" w:type="dxa"/>
            <w:noWrap w:val="0"/>
            <w:vAlign w:val="center"/>
          </w:tcPr>
          <w:p w14:paraId="26C6B106">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华文仿宋" w:hAnsi="华文仿宋" w:eastAsia="华文仿宋" w:cs="华文仿宋"/>
                <w:b w:val="0"/>
                <w:bCs w:val="0"/>
                <w:color w:val="000000"/>
                <w:sz w:val="24"/>
                <w:szCs w:val="24"/>
              </w:rPr>
            </w:pPr>
            <w:r>
              <w:rPr>
                <w:rFonts w:hint="eastAsia" w:ascii="华文仿宋" w:hAnsi="华文仿宋" w:eastAsia="华文仿宋" w:cs="华文仿宋"/>
                <w:b w:val="0"/>
                <w:bCs w:val="0"/>
                <w:color w:val="000000"/>
                <w:sz w:val="24"/>
                <w:szCs w:val="24"/>
              </w:rPr>
              <w:t>品名</w:t>
            </w:r>
          </w:p>
        </w:tc>
        <w:tc>
          <w:tcPr>
            <w:tcW w:w="2081" w:type="dxa"/>
            <w:noWrap w:val="0"/>
            <w:vAlign w:val="center"/>
          </w:tcPr>
          <w:p w14:paraId="0AF06079">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华文仿宋" w:hAnsi="华文仿宋" w:eastAsia="华文仿宋" w:cs="华文仿宋"/>
                <w:b w:val="0"/>
                <w:bCs w:val="0"/>
                <w:color w:val="000000"/>
                <w:sz w:val="24"/>
                <w:szCs w:val="24"/>
              </w:rPr>
            </w:pPr>
            <w:r>
              <w:rPr>
                <w:rFonts w:hint="eastAsia" w:ascii="华文仿宋" w:hAnsi="华文仿宋" w:eastAsia="华文仿宋" w:cs="华文仿宋"/>
                <w:b w:val="0"/>
                <w:bCs w:val="0"/>
                <w:color w:val="000000"/>
                <w:sz w:val="24"/>
                <w:szCs w:val="24"/>
              </w:rPr>
              <w:t>数量(单位)</w:t>
            </w:r>
          </w:p>
        </w:tc>
        <w:tc>
          <w:tcPr>
            <w:tcW w:w="1155" w:type="dxa"/>
            <w:noWrap w:val="0"/>
            <w:vAlign w:val="center"/>
          </w:tcPr>
          <w:p w14:paraId="27ADB4FF">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华文仿宋" w:hAnsi="华文仿宋" w:eastAsia="华文仿宋" w:cs="华文仿宋"/>
                <w:b w:val="0"/>
                <w:bCs w:val="0"/>
                <w:color w:val="000000"/>
                <w:sz w:val="24"/>
                <w:szCs w:val="24"/>
              </w:rPr>
            </w:pPr>
            <w:r>
              <w:rPr>
                <w:rFonts w:hint="eastAsia" w:ascii="华文仿宋" w:hAnsi="华文仿宋" w:eastAsia="华文仿宋" w:cs="华文仿宋"/>
                <w:b w:val="0"/>
                <w:bCs w:val="0"/>
                <w:color w:val="000000"/>
                <w:sz w:val="24"/>
                <w:szCs w:val="24"/>
              </w:rPr>
              <w:t>备注</w:t>
            </w:r>
          </w:p>
        </w:tc>
      </w:tr>
      <w:tr w14:paraId="455F6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966" w:type="dxa"/>
            <w:noWrap w:val="0"/>
            <w:vAlign w:val="center"/>
          </w:tcPr>
          <w:p w14:paraId="79C17FCD">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华文仿宋" w:hAnsi="华文仿宋" w:eastAsia="华文仿宋" w:cs="华文仿宋"/>
                <w:b w:val="0"/>
                <w:bCs w:val="0"/>
                <w:color w:val="000000"/>
                <w:sz w:val="24"/>
                <w:szCs w:val="24"/>
              </w:rPr>
            </w:pPr>
            <w:r>
              <w:rPr>
                <w:rFonts w:hint="eastAsia" w:ascii="华文仿宋" w:hAnsi="华文仿宋" w:eastAsia="华文仿宋" w:cs="华文仿宋"/>
                <w:b w:val="0"/>
                <w:bCs w:val="0"/>
                <w:color w:val="000000"/>
                <w:sz w:val="24"/>
                <w:szCs w:val="24"/>
              </w:rPr>
              <w:t>1</w:t>
            </w:r>
          </w:p>
        </w:tc>
        <w:tc>
          <w:tcPr>
            <w:tcW w:w="4315" w:type="dxa"/>
            <w:noWrap w:val="0"/>
            <w:vAlign w:val="center"/>
          </w:tcPr>
          <w:p w14:paraId="5D156C72">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华文仿宋" w:hAnsi="华文仿宋" w:eastAsia="华文仿宋" w:cs="华文仿宋"/>
                <w:b w:val="0"/>
                <w:bCs w:val="0"/>
                <w:color w:val="000000"/>
                <w:sz w:val="24"/>
                <w:szCs w:val="24"/>
              </w:rPr>
            </w:pPr>
            <w:r>
              <w:rPr>
                <w:rFonts w:hint="eastAsia" w:ascii="华文仿宋" w:hAnsi="华文仿宋" w:eastAsia="华文仿宋" w:cs="华文仿宋"/>
                <w:b w:val="0"/>
                <w:bCs w:val="0"/>
                <w:color w:val="000000"/>
                <w:sz w:val="24"/>
                <w:szCs w:val="24"/>
                <w:lang w:val="en-US" w:eastAsia="zh-CN"/>
              </w:rPr>
              <w:t>延地质灾害群专结合监测预警信息核查处置</w:t>
            </w:r>
            <w:r>
              <w:rPr>
                <w:rFonts w:hint="eastAsia" w:ascii="华文仿宋" w:hAnsi="华文仿宋" w:eastAsia="华文仿宋" w:cs="华文仿宋"/>
                <w:b w:val="0"/>
                <w:bCs w:val="0"/>
                <w:color w:val="000000"/>
                <w:sz w:val="24"/>
                <w:szCs w:val="24"/>
              </w:rPr>
              <w:t>项目</w:t>
            </w:r>
          </w:p>
        </w:tc>
        <w:tc>
          <w:tcPr>
            <w:tcW w:w="2081" w:type="dxa"/>
            <w:noWrap w:val="0"/>
            <w:vAlign w:val="center"/>
          </w:tcPr>
          <w:p w14:paraId="1D2A5D77">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华文仿宋" w:hAnsi="华文仿宋" w:eastAsia="华文仿宋" w:cs="华文仿宋"/>
                <w:b w:val="0"/>
                <w:bCs w:val="0"/>
                <w:color w:val="000000"/>
                <w:sz w:val="24"/>
                <w:szCs w:val="24"/>
              </w:rPr>
            </w:pPr>
            <w:r>
              <w:rPr>
                <w:rFonts w:hint="eastAsia" w:ascii="华文仿宋" w:hAnsi="华文仿宋" w:eastAsia="华文仿宋" w:cs="华文仿宋"/>
                <w:b w:val="0"/>
                <w:bCs w:val="0"/>
                <w:color w:val="000000"/>
                <w:sz w:val="24"/>
                <w:szCs w:val="24"/>
              </w:rPr>
              <w:t>1项</w:t>
            </w:r>
          </w:p>
        </w:tc>
        <w:tc>
          <w:tcPr>
            <w:tcW w:w="1155" w:type="dxa"/>
            <w:noWrap w:val="0"/>
            <w:vAlign w:val="center"/>
          </w:tcPr>
          <w:p w14:paraId="15CDFDB8">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华文仿宋" w:hAnsi="华文仿宋" w:eastAsia="华文仿宋" w:cs="华文仿宋"/>
                <w:b w:val="0"/>
                <w:bCs w:val="0"/>
                <w:color w:val="000000"/>
                <w:sz w:val="24"/>
                <w:szCs w:val="24"/>
              </w:rPr>
            </w:pPr>
            <w:r>
              <w:rPr>
                <w:rFonts w:hint="eastAsia" w:ascii="华文仿宋" w:hAnsi="华文仿宋" w:eastAsia="华文仿宋" w:cs="华文仿宋"/>
                <w:b w:val="0"/>
                <w:bCs w:val="0"/>
                <w:color w:val="000000"/>
                <w:sz w:val="24"/>
                <w:szCs w:val="24"/>
              </w:rPr>
              <w:t>/</w:t>
            </w:r>
          </w:p>
        </w:tc>
      </w:tr>
    </w:tbl>
    <w:p w14:paraId="5A767A27">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二</w:t>
      </w:r>
      <w:r>
        <w:rPr>
          <w:rFonts w:hint="eastAsia" w:ascii="华文仿宋" w:hAnsi="华文仿宋" w:cs="华文仿宋"/>
          <w:color w:val="000000"/>
          <w:lang w:eastAsia="zh-CN"/>
        </w:rPr>
        <w:t>、</w:t>
      </w:r>
      <w:r>
        <w:rPr>
          <w:rFonts w:hint="eastAsia" w:ascii="华文仿宋" w:hAnsi="华文仿宋" w:cs="华文仿宋"/>
          <w:color w:val="000000"/>
        </w:rPr>
        <w:t>采购项目详细的技术参数及要求</w:t>
      </w:r>
    </w:p>
    <w:p w14:paraId="3E49120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1.项目背景</w:t>
      </w:r>
    </w:p>
    <w:p w14:paraId="4C1852C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延安市位于黄土高原，地质环境脆弱，滑坡、崩塌等地质灾害多发。全市现有地质灾害隐患点89</w:t>
      </w:r>
      <w:r>
        <w:rPr>
          <w:rFonts w:hint="eastAsia" w:ascii="华文仿宋" w:hAnsi="华文仿宋" w:cs="华文仿宋"/>
          <w:color w:val="000000"/>
          <w:lang w:val="en-US" w:eastAsia="zh-CN"/>
        </w:rPr>
        <w:t>3</w:t>
      </w:r>
      <w:r>
        <w:rPr>
          <w:rFonts w:hint="eastAsia" w:ascii="华文仿宋" w:hAnsi="华文仿宋" w:cs="华文仿宋"/>
          <w:color w:val="000000"/>
        </w:rPr>
        <w:t>处，已建成运行地质灾害群专结合监测预警站点301处，含群专结合点位271处、专业监测点位20处、风险区试验点位10处，2025年需核查处置点位 221处。</w:t>
      </w:r>
    </w:p>
    <w:p w14:paraId="152A0BB7">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监测平台会实时推送预警、离线、异常告警信息，但仅靠基层自然资源人员开展现场核查，存在技术力量不足、应急响应不快、专业研判薄弱等短板。为补齐监测预警闭环管理弱项，打通 “预警推送</w:t>
      </w:r>
      <w:r>
        <w:rPr>
          <w:rFonts w:hint="eastAsia" w:ascii="华文仿宋" w:hAnsi="华文仿宋" w:cs="华文仿宋"/>
          <w:color w:val="000000"/>
          <w:lang w:val="en-US" w:eastAsia="zh-CN"/>
        </w:rPr>
        <w:t>-</w:t>
      </w:r>
      <w:r>
        <w:rPr>
          <w:rFonts w:hint="eastAsia" w:ascii="华文仿宋" w:hAnsi="华文仿宋" w:cs="华文仿宋"/>
          <w:color w:val="000000"/>
        </w:rPr>
        <w:t>现场核查</w:t>
      </w:r>
      <w:r>
        <w:rPr>
          <w:rFonts w:hint="eastAsia" w:ascii="华文仿宋" w:hAnsi="华文仿宋" w:cs="华文仿宋"/>
          <w:color w:val="000000"/>
          <w:lang w:val="en-US" w:eastAsia="zh-CN"/>
        </w:rPr>
        <w:t>-</w:t>
      </w:r>
      <w:r>
        <w:rPr>
          <w:rFonts w:hint="eastAsia" w:ascii="华文仿宋" w:hAnsi="华文仿宋" w:cs="华文仿宋"/>
          <w:color w:val="000000"/>
        </w:rPr>
        <w:t>研判处置</w:t>
      </w:r>
      <w:r>
        <w:rPr>
          <w:rFonts w:hint="eastAsia" w:ascii="华文仿宋" w:hAnsi="华文仿宋" w:cs="华文仿宋"/>
          <w:color w:val="000000"/>
          <w:lang w:val="en-US" w:eastAsia="zh-CN"/>
        </w:rPr>
        <w:t>-</w:t>
      </w:r>
      <w:r>
        <w:rPr>
          <w:rFonts w:hint="eastAsia" w:ascii="华文仿宋" w:hAnsi="华文仿宋" w:cs="华文仿宋"/>
          <w:color w:val="000000"/>
        </w:rPr>
        <w:t>信息反馈”全链条，充分发挥群专结合监测预警工程防灾作用，拟通过政府购买服务引入专业技术队伍，常态化做好预警信息现场核查、数据分析、隐患动态研判，建立完善工作模式，开展全市地质灾害群专结合监测预警信息核查处置专业技术服务采购工作。</w:t>
      </w:r>
    </w:p>
    <w:p w14:paraId="34121A34">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2.工作目的</w:t>
      </w:r>
    </w:p>
    <w:p w14:paraId="32BAAF2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建立常态化预警信息快速核查机制，汛期做到预警信息及时响应、现场核实、限时反馈，甄别真实险情与设备误报、离线故障；摸清监测设备运行情况，梳理站点故障及数据异常问题并形成整改清单，提升设备在线率和预警精准度；结合现场核查、降雨及变形监测数据开展隐患动态研判，为分级预警、避险转移、隐患管控提供专业技术支撑；健全群专结合联动机制，指导群测群防人员规范巡查监测，实现专业监测与基层群防有效衔接，夯实地质灾害早期防范基础。</w:t>
      </w:r>
    </w:p>
    <w:p w14:paraId="7C6C4C43">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3.主要工作内容</w:t>
      </w:r>
    </w:p>
    <w:p w14:paraId="7001CDDF">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1）预警信息即时核查处置。接收市级地质灾害监测预警平台推送的各类预警、设备离线、数据异常信息，按照时限要求赴隐患点现场开展核查，拍摄现场影像，记录变形迹象、设备工况，形成核查记录并及时反馈平台。极端降雨时段加密应急核查。</w:t>
      </w:r>
    </w:p>
    <w:p w14:paraId="1941BEC6">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（2）监测站点常态化巡检。对全市群专结合监测预警站点开展定期野外巡检，检查传感器、供电、传输终端运行状态，梳理设备损毁、移位、信号中断等问题，形成站点运行台账。</w:t>
      </w:r>
    </w:p>
    <w:p w14:paraId="12FFA332">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（3）监测数据综合分析研判。汇总野外核查与平台监测数据，开展隐患点变形趋势分析；配合开展汛期地质灾害会商，提供现场核查技术支撑，出具初步处置建议。</w:t>
      </w:r>
    </w:p>
    <w:p w14:paraId="3180612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（4）技术指导与资料汇总。指导乡镇防灾责任人、群测群防员识别监测异常信息、开展简易巡查；按期整理全部核查台账、野外照片、汇总报表，建立项目数据库。</w:t>
      </w:r>
    </w:p>
    <w:p w14:paraId="411DF789">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（5）完成主管部门交办的其他地质灾害监测预警相关应急核查任务。</w:t>
      </w:r>
    </w:p>
    <w:p w14:paraId="60918A62">
      <w:pPr>
        <w:widowControl/>
        <w:spacing w:line="560" w:lineRule="exact"/>
        <w:ind w:firstLine="566" w:firstLineChars="200"/>
        <w:rPr>
          <w:rFonts w:hint="eastAsia" w:ascii="华文仿宋" w:hAnsi="华文仿宋" w:eastAsia="华文仿宋" w:cs="华文仿宋"/>
          <w:sz w:val="28"/>
          <w:szCs w:val="28"/>
        </w:rPr>
      </w:pPr>
    </w:p>
    <w:p w14:paraId="6213D27D">
      <w:pPr>
        <w:spacing w:line="240" w:lineRule="auto"/>
        <w:ind w:firstLine="566" w:firstLineChars="200"/>
        <w:jc w:val="both"/>
        <w:outlineLvl w:val="9"/>
        <w:rPr>
          <w:rFonts w:hint="eastAsia" w:ascii="华文仿宋" w:hAnsi="华文仿宋" w:eastAsia="华文仿宋" w:cs="华文仿宋"/>
          <w:b/>
          <w:bCs/>
          <w:color w:val="auto"/>
          <w:kern w:val="2"/>
          <w:sz w:val="28"/>
          <w:szCs w:val="28"/>
          <w:highlight w:val="none"/>
          <w:lang w:val="en-US" w:eastAsia="zh-CN" w:bidi="ar-SA"/>
        </w:rPr>
      </w:pPr>
    </w:p>
    <w:p w14:paraId="175212DF">
      <w:pPr>
        <w:spacing w:line="240" w:lineRule="auto"/>
        <w:ind w:firstLine="566" w:firstLineChars="200"/>
        <w:jc w:val="both"/>
        <w:outlineLvl w:val="9"/>
        <w:rPr>
          <w:rFonts w:hint="eastAsia" w:ascii="华文仿宋" w:hAnsi="华文仿宋" w:eastAsia="华文仿宋" w:cs="华文仿宋"/>
          <w:b/>
          <w:bCs/>
          <w:color w:val="auto"/>
          <w:kern w:val="2"/>
          <w:sz w:val="28"/>
          <w:szCs w:val="28"/>
          <w:highlight w:val="none"/>
          <w:lang w:val="en-US" w:eastAsia="zh-CN" w:bidi="ar-SA"/>
        </w:rPr>
      </w:pPr>
      <w:r>
        <w:rPr>
          <w:rFonts w:hint="eastAsia" w:ascii="华文仿宋" w:hAnsi="华文仿宋" w:eastAsia="华文仿宋" w:cs="华文仿宋"/>
          <w:b/>
          <w:bCs/>
          <w:color w:val="auto"/>
          <w:kern w:val="2"/>
          <w:sz w:val="28"/>
          <w:szCs w:val="28"/>
          <w:highlight w:val="none"/>
          <w:lang w:val="en-US" w:eastAsia="zh-CN" w:bidi="ar-SA"/>
        </w:rPr>
        <w:t>注：该项目技术参数由采购人提供。</w:t>
      </w:r>
    </w:p>
    <w:p w14:paraId="32C4B642">
      <w:pPr>
        <w:pStyle w:val="11"/>
        <w:rPr>
          <w:rFonts w:hint="eastAsia" w:ascii="华文仿宋" w:hAnsi="华文仿宋" w:eastAsia="华文仿宋" w:cs="华文仿宋"/>
          <w:b/>
          <w:bCs/>
          <w:color w:val="auto"/>
          <w:kern w:val="2"/>
          <w:sz w:val="28"/>
          <w:szCs w:val="28"/>
          <w:highlight w:val="none"/>
          <w:lang w:val="en-US" w:eastAsia="zh-CN" w:bidi="ar-SA"/>
        </w:rPr>
      </w:pPr>
    </w:p>
    <w:p w14:paraId="70956F55">
      <w:pPr>
        <w:pStyle w:val="11"/>
        <w:rPr>
          <w:rFonts w:hint="eastAsia" w:ascii="仿宋" w:hAnsi="仿宋" w:eastAsia="仿宋" w:cs="仿宋"/>
          <w:b/>
          <w:bCs/>
          <w:color w:val="auto"/>
          <w:kern w:val="2"/>
          <w:sz w:val="28"/>
          <w:szCs w:val="28"/>
          <w:highlight w:val="none"/>
          <w:lang w:val="en-US" w:eastAsia="zh-CN" w:bidi="ar-SA"/>
        </w:rPr>
      </w:pP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33"/>
          <w:rFonts w:ascii="黑体" w:hAnsi="黑体" w:eastAsia="黑体" w:cs="黑体"/>
          <w:b w:val="0"/>
          <w:bCs/>
          <w:color w:val="000000"/>
          <w:sz w:val="32"/>
          <w:szCs w:val="32"/>
        </w:rPr>
      </w:pPr>
      <w:r>
        <w:rPr>
          <w:rStyle w:val="33"/>
          <w:rFonts w:hint="eastAsia" w:ascii="黑体" w:hAnsi="黑体" w:eastAsia="黑体" w:cs="黑体"/>
          <w:b w:val="0"/>
          <w:bCs/>
          <w:color w:val="000000"/>
          <w:sz w:val="32"/>
          <w:szCs w:val="32"/>
        </w:rPr>
        <w:t>第四章  合同草案条款</w:t>
      </w:r>
    </w:p>
    <w:p w14:paraId="27F7D69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一、知识产权</w:t>
      </w:r>
    </w:p>
    <w:p w14:paraId="41C67BE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项目成果归延安市自然资源局所有，成交人应保证采购人在使用管理过程中，不承担任何涉及知识产权法律诉讼的责任。</w:t>
      </w:r>
    </w:p>
    <w:p w14:paraId="6B8726B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二、服务期</w:t>
      </w:r>
    </w:p>
    <w:p w14:paraId="1928653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自合同签订之日起至2026年12月31日，完成全部调查工作并按相关规范提交合格成果，通过采购人组织的审查验收后并提交最终成果。</w:t>
      </w:r>
    </w:p>
    <w:p w14:paraId="516C8FA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三、服务地点</w:t>
      </w:r>
    </w:p>
    <w:p w14:paraId="1E834FE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采购人指定地点。</w:t>
      </w:r>
    </w:p>
    <w:p w14:paraId="1CE1D95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四、质量保证</w:t>
      </w:r>
    </w:p>
    <w:p w14:paraId="1644FFB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成交人应当保证所提供的成果完全符合省、市相关技术标准规定的质量、内容等要求。</w:t>
      </w:r>
    </w:p>
    <w:p w14:paraId="03A13E9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五、双方的权利和义务</w:t>
      </w:r>
      <w:r>
        <w:rPr>
          <w:rFonts w:hint="eastAsia" w:ascii="华文仿宋" w:hAnsi="华文仿宋" w:cs="华文仿宋"/>
          <w:b w:val="0"/>
          <w:bCs w:val="0"/>
          <w:kern w:val="0"/>
          <w:sz w:val="28"/>
          <w:szCs w:val="28"/>
          <w:lang w:val="en-US" w:eastAsia="zh-CN"/>
        </w:rPr>
        <w:t xml:space="preserve"> </w:t>
      </w:r>
    </w:p>
    <w:p w14:paraId="2C146B7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 xml:space="preserve">1.遵守相关法律、法规，提供专业意见，是成交人的责任；提供必要的资料并保证所提供资料的真实性、合法性、完整性，恰当使用成果是采购人的责任。成交人对采购人和其他成果使用者不当使用成果所造成的后果不承担责任。 </w:t>
      </w:r>
    </w:p>
    <w:p w14:paraId="67EEE92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 xml:space="preserve">2.采购人的权利和义务 </w:t>
      </w:r>
    </w:p>
    <w:p w14:paraId="531F62F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 xml:space="preserve">（1）采购人应按合同约定付款； </w:t>
      </w:r>
    </w:p>
    <w:p w14:paraId="573CA77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 xml:space="preserve">（2）采购人将向成交人提供为完成服务工作所需要的信息、资料和其他相关协助，并对提供的文件、资料的真实性、准确性和合法性负责； </w:t>
      </w:r>
    </w:p>
    <w:p w14:paraId="4248DE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 xml:space="preserve">（3）采购人有权随时了解成交人的工作进展情况，并对工作进展情况进行监督检查； </w:t>
      </w:r>
    </w:p>
    <w:p w14:paraId="2A96CE9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（4）未按合同要求提供服务或质量不能满足技术要求，采购人有权终止合同，并对成交人违约行为进行追究，同时按照《中华人民共和国政府采购法》的有关规定进行处罚。</w:t>
      </w:r>
    </w:p>
    <w:p w14:paraId="7B9B416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 xml:space="preserve">3.成交人的权利和义务 </w:t>
      </w:r>
    </w:p>
    <w:p w14:paraId="5319422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 xml:space="preserve">（1）成交人应根据本合同的约定，遵守职业道德规范，严格执行采购人委托的业务，并服从采购人的工作安排； </w:t>
      </w:r>
    </w:p>
    <w:p w14:paraId="57AC1D9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 xml:space="preserve">（2）成交人应根据本合同的约定，坚持独立、客观、公正的原则进行工作，应按照国家有关法律法规的要求，对其所出具成果的真实性、准确性、合法合规性承担责任； </w:t>
      </w:r>
    </w:p>
    <w:p w14:paraId="363F256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（3）成交人提供服务不符合合同规定，也未得到采购人认可时，应负责更换或重新组织，并承担由此而引起的延误责任；</w:t>
      </w:r>
    </w:p>
    <w:p w14:paraId="68A77CB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（4）成交人对于采购人的涉密级业务需求、技术资料、数据、保密信息等严格保密，并承担泄密造成的后果。</w:t>
      </w:r>
    </w:p>
    <w:p w14:paraId="6668534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六、售后服务</w:t>
      </w:r>
    </w:p>
    <w:p w14:paraId="3E0B7F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成交人在服务期内、外均应提供可靠的售后服务。</w:t>
      </w:r>
    </w:p>
    <w:p w14:paraId="7FB6A86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七、验收依据</w:t>
      </w:r>
    </w:p>
    <w:p w14:paraId="532B49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1.磋商文件及成交人的响应文件；</w:t>
      </w:r>
    </w:p>
    <w:p w14:paraId="33AC2E6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2.国家相应的标准、规范。</w:t>
      </w:r>
    </w:p>
    <w:p w14:paraId="0AA745B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八、合同价款</w:t>
      </w:r>
    </w:p>
    <w:p w14:paraId="72821E9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合同总价即成交金额，合同总价一次性包死，在合同执行过程中不受市场价格变化和其他任何因素的影响。</w:t>
      </w:r>
    </w:p>
    <w:p w14:paraId="63B3258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九、付款方式</w:t>
      </w:r>
    </w:p>
    <w:p w14:paraId="516D31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由采购人直接支付，付款方式为自合同签订之日起10日内预付合同总价款的60%，剩余款项在提交成果，采购人验收合格并收到发票后15日内一次性付清。</w:t>
      </w:r>
    </w:p>
    <w:p w14:paraId="3D4BEAA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十、违约责任</w:t>
      </w:r>
    </w:p>
    <w:p w14:paraId="6872F2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1.本合同双方当事人应严格履行本合同约定的全部义务，任何一方未按合同约定履行义务的，均构成违约，应承担相应违约责任，赔偿对方因此遭受的全部经济损失，并承担相应法律责任。</w:t>
      </w:r>
    </w:p>
    <w:p w14:paraId="6AC8E7F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2.采购人无正当理由拖欠成交人项目款，应向成交人支付相当于拖欠项目款2%的违约金，由此给成交人造成的经济损失，由采购人承担赔偿责任，因国家和省财政没有及时拨款而造成拖欠除外。</w:t>
      </w:r>
    </w:p>
    <w:p w14:paraId="41C5054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3.成交人必须保证向采购人提交的所有资料成果真实可靠，一经发现存在弄虚作假、侵占第三方知识产权,致采购人遭受损失或追诉的行为，采购人有权追索项目款，终止执行合同，追究成交人赔偿责任。</w:t>
      </w:r>
    </w:p>
    <w:p w14:paraId="3D2CE2E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十一、合同争议的解决</w:t>
      </w:r>
    </w:p>
    <w:p w14:paraId="37D0E9B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合同执行中发生争议的，当事人双方应协商解决，协商达不成一致时，可向采购人所在地的人民法院提请诉讼。</w:t>
      </w:r>
    </w:p>
    <w:p w14:paraId="759726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十二、</w:t>
      </w:r>
      <w:r>
        <w:rPr>
          <w:rFonts w:hint="eastAsia" w:ascii="华文仿宋" w:hAnsi="华文仿宋" w:eastAsia="华文仿宋" w:cs="华文仿宋"/>
          <w:b/>
          <w:bCs/>
          <w:sz w:val="28"/>
          <w:szCs w:val="28"/>
          <w:lang w:val="zh-CN" w:eastAsia="zh-CN"/>
        </w:rPr>
        <w:t>合同一经签订，不得擅自变更、中止或者终止合同。对确需变更、调整或者中止、终止合同的，应按规定履行相应的手续。</w:t>
      </w:r>
    </w:p>
    <w:p w14:paraId="429D8AE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十三、本合同从签订之日起生效，合同规定的全部事宜和程序结束后终止。合同份数不低于四份，具体份数由采购人和成交人依需商定。 </w:t>
      </w:r>
    </w:p>
    <w:p w14:paraId="18A96960">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十四、未尽事宜由双方在签订合同时具体明确，但不得超出磋商文件合同草案规定。 </w:t>
      </w:r>
    </w:p>
    <w:p w14:paraId="74EC9E4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本合同须经延安市公共资源交易中心（延安市市直单位政府采购中心 ）确认，否则无效。</w:t>
      </w:r>
    </w:p>
    <w:p w14:paraId="5902917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(合同的服务承诺则长期有效)。</w:t>
      </w:r>
    </w:p>
    <w:p w14:paraId="1744FA21">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eastAsia="华文仿宋" w:cs="华文仿宋"/>
          <w:b w:val="0"/>
          <w:bCs w:val="0"/>
          <w:kern w:val="0"/>
          <w:sz w:val="28"/>
          <w:szCs w:val="28"/>
          <w:lang w:val="en-US" w:eastAsia="zh-CN"/>
        </w:rPr>
      </w:pPr>
    </w:p>
    <w:p w14:paraId="6255AB3A">
      <w:pPr>
        <w:rPr>
          <w:rFonts w:hint="eastAsia" w:ascii="华文仿宋" w:hAnsi="华文仿宋" w:cs="华文仿宋"/>
          <w:b w:val="0"/>
          <w:bCs w:val="0"/>
          <w:color w:val="000000"/>
          <w:sz w:val="28"/>
          <w:szCs w:val="28"/>
        </w:rPr>
      </w:pPr>
    </w:p>
    <w:p w14:paraId="231EB13A">
      <w:pPr>
        <w:rPr>
          <w:rFonts w:hint="eastAsia" w:ascii="华文仿宋" w:hAnsi="华文仿宋" w:cs="华文仿宋"/>
          <w:b w:val="0"/>
          <w:bCs w:val="0"/>
          <w:color w:val="000000"/>
          <w:sz w:val="28"/>
          <w:szCs w:val="28"/>
        </w:rPr>
      </w:pPr>
      <w:bookmarkStart w:id="308" w:name="_GoBack"/>
      <w:bookmarkEnd w:id="308"/>
    </w:p>
    <w:p w14:paraId="3CA76111">
      <w:pPr>
        <w:pStyle w:val="4"/>
        <w:rPr>
          <w:rFonts w:hint="eastAsia" w:ascii="华文仿宋" w:hAnsi="华文仿宋" w:cs="华文仿宋"/>
          <w:b w:val="0"/>
          <w:bCs w:val="0"/>
          <w:color w:val="000000"/>
          <w:sz w:val="28"/>
          <w:szCs w:val="28"/>
        </w:rPr>
      </w:pPr>
    </w:p>
    <w:p w14:paraId="4B84D7B8">
      <w:pPr>
        <w:rPr>
          <w:rFonts w:hint="eastAsia" w:ascii="华文仿宋" w:hAnsi="华文仿宋" w:cs="华文仿宋"/>
          <w:b w:val="0"/>
          <w:bCs w:val="0"/>
          <w:color w:val="000000"/>
          <w:sz w:val="28"/>
          <w:szCs w:val="28"/>
        </w:rPr>
      </w:pPr>
    </w:p>
    <w:p w14:paraId="23A5B3B8">
      <w:pPr>
        <w:rPr>
          <w:rFonts w:hint="eastAsia" w:ascii="华文仿宋" w:hAnsi="华文仿宋" w:cs="华文仿宋"/>
          <w:b w:val="0"/>
          <w:bCs w:val="0"/>
          <w:color w:val="000000"/>
          <w:sz w:val="28"/>
          <w:szCs w:val="28"/>
        </w:rPr>
      </w:pPr>
    </w:p>
    <w:p w14:paraId="7073C69C">
      <w:pPr>
        <w:keepNext w:val="0"/>
        <w:keepLines w:val="0"/>
        <w:pageBreakBefore/>
        <w:widowControl/>
        <w:kinsoku/>
        <w:wordWrap/>
        <w:overflowPunct/>
        <w:topLinePunct w:val="0"/>
        <w:autoSpaceDE/>
        <w:autoSpaceDN/>
        <w:bidi w:val="0"/>
        <w:adjustRightInd/>
        <w:snapToGrid/>
        <w:textAlignment w:val="auto"/>
        <w:rPr>
          <w:rFonts w:hint="eastAsia" w:ascii="华文仿宋" w:hAnsi="华文仿宋" w:cs="华文仿宋"/>
          <w:b w:val="0"/>
          <w:bCs w:val="0"/>
          <w:color w:val="000000"/>
          <w:sz w:val="28"/>
          <w:szCs w:val="28"/>
        </w:rPr>
      </w:pPr>
    </w:p>
    <w:p w14:paraId="081C4675">
      <w:pPr>
        <w:pStyle w:val="2"/>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4"/>
        <w:rPr>
          <w:color w:val="000000"/>
        </w:rPr>
      </w:pPr>
    </w:p>
    <w:p w14:paraId="00B4211B">
      <w:pPr>
        <w:pStyle w:val="34"/>
        <w:rPr>
          <w:color w:val="000000"/>
        </w:rPr>
      </w:pPr>
    </w:p>
    <w:p w14:paraId="406E5026">
      <w:pPr>
        <w:pStyle w:val="34"/>
        <w:rPr>
          <w:color w:val="000000"/>
        </w:rPr>
      </w:pPr>
    </w:p>
    <w:tbl>
      <w:tblPr>
        <w:tblStyle w:val="22"/>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4"/>
        <w:rPr>
          <w:color w:val="000000"/>
          <w:sz w:val="20"/>
        </w:rPr>
      </w:pPr>
    </w:p>
    <w:p w14:paraId="44F47F5A">
      <w:pPr>
        <w:pStyle w:val="31"/>
        <w:spacing w:line="240" w:lineRule="auto"/>
        <w:ind w:firstLine="253" w:firstLineChars="70"/>
        <w:jc w:val="center"/>
        <w:rPr>
          <w:rFonts w:ascii="宋体" w:hAnsi="宋体" w:eastAsia="宋体"/>
          <w:color w:val="000000"/>
          <w:sz w:val="36"/>
          <w:szCs w:val="36"/>
        </w:rPr>
      </w:pPr>
    </w:p>
    <w:p w14:paraId="37259556">
      <w:pPr>
        <w:pStyle w:val="31"/>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31"/>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45" w:name="_Toc20830"/>
      <w:bookmarkStart w:id="146" w:name="_Toc26349"/>
      <w:bookmarkStart w:id="147" w:name="_Toc257"/>
      <w:bookmarkStart w:id="148" w:name="_Toc10248"/>
      <w:bookmarkStart w:id="149" w:name="_Toc26293"/>
      <w:bookmarkStart w:id="150" w:name="_Toc6132"/>
      <w:bookmarkStart w:id="151" w:name="_Toc24786"/>
      <w:bookmarkStart w:id="152" w:name="_Toc23235"/>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5"/>
      <w:bookmarkEnd w:id="146"/>
      <w:bookmarkEnd w:id="147"/>
      <w:bookmarkEnd w:id="148"/>
      <w:bookmarkEnd w:id="149"/>
      <w:bookmarkEnd w:id="150"/>
      <w:bookmarkEnd w:id="151"/>
      <w:bookmarkEnd w:id="152"/>
    </w:p>
    <w:p w14:paraId="7D703E59">
      <w:pPr>
        <w:pStyle w:val="31"/>
        <w:spacing w:line="240" w:lineRule="auto"/>
        <w:ind w:firstLine="310" w:firstLineChars="70"/>
        <w:jc w:val="center"/>
        <w:rPr>
          <w:rFonts w:ascii="华文仿宋" w:hAnsi="华文仿宋" w:cs="华文仿宋"/>
          <w:color w:val="000000"/>
          <w:sz w:val="44"/>
          <w:szCs w:val="44"/>
        </w:rPr>
      </w:pPr>
    </w:p>
    <w:p w14:paraId="33B01BD2">
      <w:pPr>
        <w:pStyle w:val="31"/>
        <w:spacing w:line="240" w:lineRule="auto"/>
        <w:ind w:firstLine="253" w:firstLineChars="70"/>
        <w:jc w:val="center"/>
        <w:rPr>
          <w:rFonts w:ascii="华文仿宋" w:hAnsi="华文仿宋" w:cs="华文仿宋"/>
          <w:color w:val="000000"/>
          <w:sz w:val="36"/>
          <w:szCs w:val="36"/>
        </w:rPr>
      </w:pPr>
    </w:p>
    <w:p w14:paraId="698198C2">
      <w:pPr>
        <w:pStyle w:val="31"/>
        <w:spacing w:line="240" w:lineRule="auto"/>
        <w:ind w:firstLine="0" w:firstLineChars="0"/>
        <w:jc w:val="center"/>
        <w:rPr>
          <w:rFonts w:ascii="华文仿宋" w:hAnsi="华文仿宋" w:cs="华文仿宋"/>
          <w:color w:val="000000"/>
          <w:kern w:val="0"/>
          <w:sz w:val="96"/>
          <w:szCs w:val="96"/>
        </w:rPr>
      </w:pPr>
      <w:bookmarkStart w:id="153" w:name="_Toc17700"/>
      <w:bookmarkStart w:id="154" w:name="_Toc8257"/>
      <w:bookmarkStart w:id="155" w:name="_Toc13950"/>
      <w:bookmarkStart w:id="156" w:name="_Toc26378"/>
      <w:bookmarkStart w:id="157" w:name="_Toc16362"/>
      <w:bookmarkStart w:id="158" w:name="_Toc76"/>
      <w:bookmarkStart w:id="159" w:name="_Toc20481"/>
      <w:bookmarkStart w:id="160" w:name="_Toc19569"/>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3"/>
      <w:bookmarkEnd w:id="154"/>
      <w:bookmarkEnd w:id="155"/>
      <w:bookmarkEnd w:id="156"/>
      <w:bookmarkEnd w:id="157"/>
      <w:bookmarkEnd w:id="158"/>
      <w:bookmarkEnd w:id="159"/>
      <w:bookmarkEnd w:id="160"/>
    </w:p>
    <w:p w14:paraId="2ADCB4B5">
      <w:pPr>
        <w:pStyle w:val="31"/>
        <w:spacing w:line="240" w:lineRule="auto"/>
        <w:ind w:firstLine="0" w:firstLineChars="0"/>
        <w:jc w:val="center"/>
        <w:rPr>
          <w:rFonts w:ascii="华文仿宋" w:hAnsi="华文仿宋" w:cs="华文仿宋"/>
          <w:color w:val="000000"/>
          <w:sz w:val="36"/>
          <w:szCs w:val="36"/>
        </w:rPr>
      </w:pPr>
    </w:p>
    <w:p w14:paraId="26A6CD33">
      <w:pPr>
        <w:pStyle w:val="31"/>
        <w:spacing w:line="240" w:lineRule="auto"/>
        <w:ind w:firstLine="0" w:firstLineChars="0"/>
        <w:jc w:val="center"/>
        <w:rPr>
          <w:rFonts w:ascii="华文仿宋" w:hAnsi="华文仿宋" w:cs="华文仿宋"/>
          <w:color w:val="000000"/>
          <w:sz w:val="36"/>
          <w:szCs w:val="36"/>
        </w:rPr>
      </w:pPr>
    </w:p>
    <w:p w14:paraId="29B3B128">
      <w:pPr>
        <w:pStyle w:val="31"/>
        <w:spacing w:line="240" w:lineRule="auto"/>
        <w:ind w:firstLine="0" w:firstLineChars="0"/>
        <w:jc w:val="center"/>
        <w:rPr>
          <w:rFonts w:ascii="华文仿宋" w:hAnsi="华文仿宋" w:cs="华文仿宋"/>
          <w:color w:val="000000"/>
          <w:sz w:val="36"/>
          <w:szCs w:val="36"/>
        </w:rPr>
      </w:pPr>
    </w:p>
    <w:p w14:paraId="4DABFD41">
      <w:pPr>
        <w:pStyle w:val="31"/>
        <w:spacing w:line="240" w:lineRule="auto"/>
        <w:ind w:firstLine="0" w:firstLineChars="0"/>
        <w:jc w:val="center"/>
        <w:rPr>
          <w:rFonts w:ascii="华文仿宋" w:hAnsi="华文仿宋" w:cs="华文仿宋"/>
          <w:color w:val="000000"/>
          <w:sz w:val="36"/>
          <w:szCs w:val="36"/>
        </w:rPr>
      </w:pPr>
    </w:p>
    <w:p w14:paraId="77F7F5F4">
      <w:pPr>
        <w:pStyle w:val="31"/>
        <w:spacing w:line="240" w:lineRule="auto"/>
        <w:ind w:firstLine="0" w:firstLineChars="0"/>
        <w:jc w:val="center"/>
        <w:rPr>
          <w:rFonts w:ascii="华文仿宋" w:hAnsi="华文仿宋" w:cs="华文仿宋"/>
          <w:color w:val="000000"/>
          <w:sz w:val="36"/>
        </w:rPr>
      </w:pPr>
    </w:p>
    <w:p w14:paraId="5B5C0DD1">
      <w:pPr>
        <w:pStyle w:val="31"/>
        <w:spacing w:line="240" w:lineRule="auto"/>
        <w:ind w:firstLine="1452" w:firstLineChars="400"/>
        <w:rPr>
          <w:rFonts w:hint="default" w:ascii="仿宋" w:hAnsi="仿宋" w:eastAsia="仿宋" w:cs="仿宋"/>
          <w:b/>
          <w:color w:val="000000"/>
          <w:sz w:val="36"/>
          <w:szCs w:val="36"/>
          <w:u w:val="single"/>
          <w:lang w:val="en-US" w:eastAsia="zh-CN"/>
        </w:rPr>
      </w:pPr>
      <w:bookmarkStart w:id="161" w:name="_Toc12627"/>
      <w:bookmarkStart w:id="162" w:name="_Toc2030"/>
      <w:bookmarkStart w:id="163" w:name="_Toc24486"/>
      <w:bookmarkStart w:id="164" w:name="_Toc22280"/>
      <w:bookmarkStart w:id="165" w:name="_Toc15354"/>
      <w:bookmarkStart w:id="166" w:name="_Toc21212"/>
      <w:bookmarkStart w:id="167" w:name="_Toc23171"/>
      <w:bookmarkStart w:id="168" w:name="_Toc24457"/>
      <w:r>
        <w:rPr>
          <w:rFonts w:hint="eastAsia" w:ascii="仿宋" w:hAnsi="仿宋" w:eastAsia="仿宋" w:cs="仿宋"/>
          <w:bCs/>
          <w:color w:val="000000"/>
          <w:sz w:val="36"/>
          <w:szCs w:val="36"/>
        </w:rPr>
        <w:t>项目名称：</w:t>
      </w:r>
      <w:bookmarkEnd w:id="161"/>
      <w:bookmarkEnd w:id="162"/>
      <w:bookmarkEnd w:id="163"/>
      <w:bookmarkEnd w:id="164"/>
      <w:bookmarkEnd w:id="165"/>
      <w:bookmarkEnd w:id="166"/>
      <w:bookmarkEnd w:id="167"/>
      <w:bookmarkEnd w:id="168"/>
      <w:r>
        <w:rPr>
          <w:rFonts w:hint="eastAsia" w:ascii="仿宋" w:hAnsi="仿宋" w:eastAsia="仿宋" w:cs="仿宋"/>
          <w:bCs/>
          <w:color w:val="000000"/>
          <w:sz w:val="36"/>
          <w:szCs w:val="36"/>
          <w:u w:val="single"/>
          <w:lang w:val="en-US" w:eastAsia="zh-CN"/>
        </w:rPr>
        <w:t xml:space="preserve">             </w:t>
      </w:r>
    </w:p>
    <w:p w14:paraId="383331CB">
      <w:pPr>
        <w:pStyle w:val="31"/>
        <w:spacing w:line="240" w:lineRule="auto"/>
        <w:ind w:firstLine="1452" w:firstLineChars="400"/>
        <w:rPr>
          <w:rFonts w:hint="default" w:ascii="仿宋" w:hAnsi="仿宋" w:eastAsia="仿宋" w:cs="仿宋"/>
          <w:color w:val="000000"/>
          <w:sz w:val="36"/>
          <w:szCs w:val="36"/>
          <w:u w:val="single"/>
        </w:rPr>
      </w:pPr>
      <w:bookmarkStart w:id="169" w:name="_Toc4485"/>
      <w:bookmarkStart w:id="170" w:name="_Toc10738"/>
      <w:bookmarkStart w:id="171" w:name="_Toc3140"/>
      <w:bookmarkStart w:id="172" w:name="_Toc12638"/>
      <w:bookmarkStart w:id="173" w:name="_Toc27644"/>
      <w:bookmarkStart w:id="174" w:name="_Toc346"/>
      <w:bookmarkStart w:id="175" w:name="_Toc13586"/>
      <w:bookmarkStart w:id="176" w:name="_Toc6740"/>
      <w:r>
        <w:rPr>
          <w:rFonts w:hint="eastAsia" w:ascii="仿宋" w:hAnsi="仿宋" w:eastAsia="仿宋" w:cs="仿宋"/>
          <w:color w:val="000000"/>
          <w:sz w:val="36"/>
          <w:szCs w:val="36"/>
        </w:rPr>
        <w:t>项目编号：</w:t>
      </w:r>
      <w:bookmarkEnd w:id="169"/>
      <w:bookmarkEnd w:id="170"/>
      <w:bookmarkEnd w:id="171"/>
      <w:bookmarkEnd w:id="172"/>
      <w:bookmarkEnd w:id="173"/>
      <w:bookmarkEnd w:id="174"/>
      <w:bookmarkEnd w:id="175"/>
      <w:bookmarkEnd w:id="176"/>
      <w:r>
        <w:rPr>
          <w:rFonts w:hint="eastAsia" w:ascii="仿宋" w:hAnsi="仿宋" w:eastAsia="仿宋" w:cs="仿宋"/>
          <w:color w:val="000000"/>
          <w:sz w:val="36"/>
          <w:szCs w:val="36"/>
          <w:u w:val="single"/>
          <w:lang w:val="en-US" w:eastAsia="zh-CN"/>
        </w:rPr>
        <w:t xml:space="preserve">             </w:t>
      </w:r>
    </w:p>
    <w:p w14:paraId="3787610E">
      <w:pPr>
        <w:pStyle w:val="31"/>
        <w:spacing w:line="240" w:lineRule="auto"/>
        <w:ind w:firstLine="1452" w:firstLineChars="400"/>
        <w:rPr>
          <w:rFonts w:ascii="仿宋" w:hAnsi="仿宋" w:eastAsia="仿宋" w:cs="仿宋"/>
          <w:color w:val="000000"/>
          <w:sz w:val="36"/>
        </w:rPr>
      </w:pPr>
      <w:bookmarkStart w:id="177" w:name="_Toc7640"/>
      <w:bookmarkStart w:id="178" w:name="_Toc5428"/>
      <w:bookmarkStart w:id="179" w:name="_Toc29966"/>
      <w:bookmarkStart w:id="180" w:name="_Toc11267"/>
      <w:bookmarkStart w:id="181" w:name="_Toc21054"/>
      <w:bookmarkStart w:id="182" w:name="_Toc1120"/>
      <w:bookmarkStart w:id="183" w:name="_Toc22519"/>
      <w:bookmarkStart w:id="184" w:name="_Toc15987"/>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77"/>
      <w:bookmarkEnd w:id="178"/>
      <w:bookmarkEnd w:id="179"/>
      <w:bookmarkEnd w:id="180"/>
      <w:bookmarkEnd w:id="181"/>
      <w:bookmarkEnd w:id="182"/>
      <w:bookmarkEnd w:id="183"/>
      <w:bookmarkEnd w:id="184"/>
    </w:p>
    <w:p w14:paraId="23334FD4">
      <w:pPr>
        <w:pStyle w:val="31"/>
        <w:spacing w:line="240" w:lineRule="auto"/>
        <w:ind w:firstLine="1452" w:firstLineChars="400"/>
        <w:jc w:val="left"/>
        <w:rPr>
          <w:rFonts w:hint="default" w:ascii="仿宋" w:hAnsi="仿宋" w:eastAsia="仿宋" w:cs="仿宋"/>
          <w:color w:val="000000"/>
          <w:sz w:val="36"/>
          <w:szCs w:val="36"/>
          <w:u w:val="single"/>
          <w:lang w:val="en-US" w:eastAsia="zh-CN"/>
        </w:rPr>
      </w:pPr>
      <w:bookmarkStart w:id="185" w:name="_Toc880"/>
      <w:bookmarkStart w:id="186" w:name="_Toc21702"/>
      <w:bookmarkStart w:id="187" w:name="_Toc2899"/>
      <w:bookmarkStart w:id="188" w:name="_Toc26250"/>
      <w:bookmarkStart w:id="189" w:name="_Toc7734"/>
      <w:bookmarkStart w:id="190" w:name="_Toc15429"/>
      <w:bookmarkStart w:id="191" w:name="_Toc5243"/>
      <w:bookmarkStart w:id="192" w:name="_Toc24294"/>
      <w:r>
        <w:rPr>
          <w:rFonts w:hint="eastAsia" w:ascii="仿宋" w:hAnsi="仿宋" w:eastAsia="仿宋" w:cs="仿宋"/>
          <w:color w:val="000000"/>
          <w:sz w:val="36"/>
        </w:rPr>
        <w:t>时　  间：</w:t>
      </w:r>
      <w:bookmarkEnd w:id="185"/>
      <w:bookmarkEnd w:id="186"/>
      <w:bookmarkEnd w:id="187"/>
      <w:bookmarkEnd w:id="188"/>
      <w:bookmarkEnd w:id="189"/>
      <w:bookmarkEnd w:id="190"/>
      <w:bookmarkEnd w:id="191"/>
      <w:bookmarkEnd w:id="192"/>
      <w:r>
        <w:rPr>
          <w:rFonts w:hint="eastAsia" w:ascii="仿宋" w:hAnsi="仿宋" w:eastAsia="仿宋" w:cs="仿宋"/>
          <w:color w:val="000000"/>
          <w:sz w:val="36"/>
          <w:u w:val="single"/>
          <w:lang w:val="en-US" w:eastAsia="zh-CN"/>
        </w:rPr>
        <w:t xml:space="preserve">             </w:t>
      </w:r>
    </w:p>
    <w:p w14:paraId="29E59F5D">
      <w:pPr>
        <w:pStyle w:val="31"/>
        <w:spacing w:line="240" w:lineRule="auto"/>
        <w:ind w:firstLine="1452" w:firstLineChars="400"/>
        <w:jc w:val="left"/>
        <w:rPr>
          <w:rFonts w:ascii="仿宋" w:hAnsi="仿宋" w:eastAsia="仿宋" w:cs="仿宋"/>
          <w:color w:val="000000"/>
          <w:sz w:val="36"/>
          <w:szCs w:val="36"/>
          <w:u w:val="single"/>
        </w:rPr>
      </w:pPr>
    </w:p>
    <w:p w14:paraId="71FFB00B">
      <w:pPr>
        <w:pStyle w:val="35"/>
        <w:ind w:firstLine="888"/>
        <w:outlineLvl w:val="9"/>
        <w:rPr>
          <w:rFonts w:ascii="Calibri Light" w:hAnsi="Calibri Light"/>
          <w:color w:val="000000"/>
          <w:sz w:val="36"/>
          <w:szCs w:val="36"/>
        </w:rPr>
      </w:pPr>
      <w:bookmarkStart w:id="193" w:name="_Toc31082_WPSOffice_Level1"/>
      <w:bookmarkStart w:id="194" w:name="_Toc21571_WPSOffice_Level1"/>
      <w:bookmarkStart w:id="195" w:name="_Toc10193"/>
      <w:bookmarkStart w:id="196" w:name="_Toc3838"/>
      <w:bookmarkStart w:id="197" w:name="_Toc2071_WPSOffice_Level1"/>
      <w:bookmarkStart w:id="198" w:name="_Toc22476_WPSOffice_Level1"/>
      <w:bookmarkStart w:id="199" w:name="_Toc24906"/>
      <w:bookmarkStart w:id="200" w:name="_Toc23450"/>
      <w:bookmarkStart w:id="201" w:name="_Toc11156"/>
      <w:r>
        <w:rPr>
          <w:rFonts w:hint="eastAsia" w:ascii="华文仿宋" w:hAnsi="华文仿宋" w:cs="华文仿宋"/>
          <w:color w:val="000000"/>
          <w:sz w:val="44"/>
          <w:szCs w:val="44"/>
        </w:rPr>
        <w:br w:type="page"/>
      </w:r>
      <w:bookmarkStart w:id="202" w:name="_Toc580"/>
      <w:r>
        <w:rPr>
          <w:rFonts w:hint="eastAsia" w:ascii="华文仿宋" w:hAnsi="华文仿宋" w:cs="华文仿宋"/>
          <w:color w:val="000000"/>
          <w:sz w:val="44"/>
          <w:szCs w:val="44"/>
        </w:rPr>
        <w:t>目  录</w:t>
      </w:r>
      <w:bookmarkEnd w:id="193"/>
      <w:bookmarkEnd w:id="194"/>
      <w:bookmarkEnd w:id="195"/>
      <w:bookmarkEnd w:id="196"/>
      <w:bookmarkEnd w:id="197"/>
      <w:bookmarkEnd w:id="198"/>
      <w:bookmarkEnd w:id="199"/>
      <w:bookmarkEnd w:id="200"/>
      <w:bookmarkEnd w:id="201"/>
      <w:bookmarkEnd w:id="202"/>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3" w:name="_Toc26192_WPSOffice_Level1"/>
      <w:bookmarkStart w:id="204" w:name="_Toc25537_WPSOffice_Level1"/>
      <w:bookmarkStart w:id="205" w:name="_Toc8294_WPSOffice_Level1"/>
      <w:bookmarkStart w:id="206" w:name="_Toc19993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3"/>
      <w:bookmarkEnd w:id="204"/>
      <w:bookmarkEnd w:id="205"/>
      <w:bookmarkEnd w:id="206"/>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07" w:name="_Toc31082_WPSOffice_Level2"/>
      <w:bookmarkStart w:id="208" w:name="_Toc19993_WPSOffice_Level2"/>
      <w:bookmarkStart w:id="209" w:name="_Toc25969_WPSOffice_Level2"/>
      <w:bookmarkStart w:id="210" w:name="_Toc14464_WPSOffice_Level2"/>
      <w:r>
        <w:rPr>
          <w:rFonts w:hint="eastAsia"/>
          <w:color w:val="000000"/>
        </w:rPr>
        <w:t>一、营业执照等主体资格证明文件</w:t>
      </w:r>
      <w:r>
        <w:rPr>
          <w:color w:val="000000"/>
        </w:rPr>
        <w:tab/>
      </w:r>
      <w:r>
        <w:rPr>
          <w:color w:val="000000"/>
        </w:rPr>
        <w:t>X</w:t>
      </w:r>
      <w:bookmarkEnd w:id="207"/>
      <w:bookmarkEnd w:id="208"/>
      <w:bookmarkEnd w:id="209"/>
      <w:bookmarkEnd w:id="210"/>
    </w:p>
    <w:p w14:paraId="411713C2">
      <w:pPr>
        <w:tabs>
          <w:tab w:val="right" w:leader="hyphen" w:pos="8504"/>
        </w:tabs>
        <w:spacing w:line="500" w:lineRule="exact"/>
        <w:ind w:right="849" w:rightChars="300" w:firstLine="1415" w:firstLineChars="500"/>
        <w:rPr>
          <w:color w:val="000000"/>
        </w:rPr>
      </w:pPr>
      <w:bookmarkStart w:id="211" w:name="_Toc5830_WPSOffice_Level2"/>
      <w:bookmarkStart w:id="212" w:name="_Toc27026_WPSOffice_Level2"/>
      <w:bookmarkStart w:id="213" w:name="_Toc10078_WPSOffice_Level2"/>
      <w:bookmarkStart w:id="214" w:name="_Toc25537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1"/>
      <w:bookmarkEnd w:id="212"/>
      <w:bookmarkEnd w:id="213"/>
      <w:bookmarkEnd w:id="214"/>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eastAsia"/>
          <w:color w:val="000000"/>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15" w:name="_Toc7348_WPSOffice_Level2"/>
      <w:bookmarkStart w:id="216" w:name="_Toc183_WPSOffice_Level2"/>
      <w:bookmarkStart w:id="217" w:name="_Toc5795_WPSOffice_Level2"/>
      <w:bookmarkStart w:id="218" w:name="_Toc28631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5"/>
      <w:bookmarkEnd w:id="216"/>
      <w:bookmarkEnd w:id="217"/>
      <w:bookmarkEnd w:id="218"/>
    </w:p>
    <w:p w14:paraId="0486DC73">
      <w:pPr>
        <w:tabs>
          <w:tab w:val="right" w:leader="hyphen" w:pos="8504"/>
        </w:tabs>
        <w:spacing w:line="500" w:lineRule="exact"/>
        <w:ind w:right="849" w:rightChars="300" w:firstLine="1415" w:firstLineChars="500"/>
        <w:rPr>
          <w:rFonts w:hint="eastAsia"/>
          <w:color w:val="000000"/>
        </w:rPr>
      </w:pPr>
      <w:bookmarkStart w:id="219" w:name="_Toc9021_WPSOffice_Level2"/>
      <w:bookmarkStart w:id="220" w:name="_Toc1168_WPSOffice_Level2"/>
      <w:bookmarkStart w:id="221" w:name="_Toc8116_WPSOffice_Level2"/>
      <w:bookmarkStart w:id="222" w:name="_Toc27223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9"/>
      <w:bookmarkEnd w:id="220"/>
      <w:bookmarkEnd w:id="221"/>
      <w:bookmarkEnd w:id="222"/>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23" w:name="_Toc29414_WPSOffice_Level2"/>
      <w:bookmarkStart w:id="224" w:name="_Toc11630_WPSOffice_Level2"/>
      <w:bookmarkStart w:id="225" w:name="_Toc3525_WPSOffice_Level2"/>
      <w:bookmarkStart w:id="226" w:name="_Toc27170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3"/>
      <w:bookmarkEnd w:id="224"/>
      <w:bookmarkEnd w:id="225"/>
      <w:bookmarkEnd w:id="226"/>
    </w:p>
    <w:p w14:paraId="0E468E6A">
      <w:pPr>
        <w:tabs>
          <w:tab w:val="right" w:leader="hyphen" w:pos="8504"/>
        </w:tabs>
        <w:spacing w:line="480" w:lineRule="exact"/>
        <w:ind w:right="849" w:rightChars="300" w:firstLine="1415" w:firstLineChars="500"/>
        <w:rPr>
          <w:color w:val="000000"/>
        </w:rPr>
      </w:pPr>
      <w:bookmarkStart w:id="227" w:name="_Toc31457_WPSOffice_Level2"/>
      <w:bookmarkStart w:id="228" w:name="_Toc1782_WPSOffice_Level2"/>
      <w:bookmarkStart w:id="229" w:name="_Toc18811_WPSOffice_Level2"/>
      <w:bookmarkStart w:id="230" w:name="_Toc20504_WPSOffice_Level2"/>
      <w:r>
        <w:rPr>
          <w:rFonts w:hint="eastAsia"/>
          <w:color w:val="000000"/>
          <w:lang w:val="en-US" w:eastAsia="zh-CN"/>
        </w:rPr>
        <w:t>五</w:t>
      </w:r>
      <w:r>
        <w:rPr>
          <w:rFonts w:hint="eastAsia"/>
          <w:color w:val="000000"/>
        </w:rPr>
        <w:t>、</w:t>
      </w:r>
      <w:bookmarkEnd w:id="227"/>
      <w:bookmarkEnd w:id="228"/>
      <w:bookmarkEnd w:id="229"/>
      <w:bookmarkEnd w:id="230"/>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1" w:name="_Toc28279_WPSOffice_Level2"/>
      <w:bookmarkStart w:id="232" w:name="_Toc17428_WPSOffice_Level2"/>
      <w:bookmarkStart w:id="233" w:name="_Toc13258_WPSOffice_Level2"/>
      <w:bookmarkStart w:id="234" w:name="_Toc19486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1"/>
      <w:bookmarkEnd w:id="232"/>
      <w:bookmarkEnd w:id="233"/>
      <w:bookmarkEnd w:id="234"/>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35" w:name="_Toc23092_WPSOffice_Level1"/>
      <w:bookmarkStart w:id="236" w:name="_Toc27464_WPSOffice_Level1"/>
      <w:bookmarkStart w:id="237" w:name="_Toc21905_WPSOffice_Level1"/>
      <w:bookmarkStart w:id="238" w:name="_Toc22808_WPSOffice_Level1"/>
      <w:r>
        <w:rPr>
          <w:rFonts w:hint="eastAsia" w:ascii="黑体" w:hAnsi="黑体" w:eastAsia="黑体" w:cs="黑体"/>
          <w:color w:val="000000"/>
        </w:rPr>
        <w:t>第三部分  响应方案</w:t>
      </w:r>
      <w:bookmarkEnd w:id="235"/>
      <w:bookmarkEnd w:id="236"/>
      <w:bookmarkEnd w:id="237"/>
      <w:bookmarkEnd w:id="238"/>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39" w:name="_Toc7951_WPSOffice_Level2"/>
      <w:bookmarkStart w:id="240" w:name="_Toc8316_WPSOffice_Level2"/>
      <w:bookmarkStart w:id="241" w:name="_Toc980_WPSOffice_Level2"/>
      <w:bookmarkStart w:id="242" w:name="_Toc7544_WPSOffice_Level2"/>
      <w:r>
        <w:rPr>
          <w:rFonts w:hint="eastAsia"/>
          <w:color w:val="000000"/>
        </w:rPr>
        <w:t>一、供应</w:t>
      </w:r>
      <w:r>
        <w:rPr>
          <w:color w:val="000000"/>
        </w:rPr>
        <w:t>商</w:t>
      </w:r>
      <w:bookmarkEnd w:id="239"/>
      <w:r>
        <w:rPr>
          <w:rFonts w:hint="eastAsia"/>
          <w:color w:val="000000"/>
        </w:rPr>
        <w:t>概况</w:t>
      </w:r>
      <w:r>
        <w:rPr>
          <w:color w:val="000000"/>
        </w:rPr>
        <w:tab/>
      </w:r>
      <w:r>
        <w:rPr>
          <w:color w:val="000000"/>
        </w:rPr>
        <w:t>X</w:t>
      </w:r>
      <w:bookmarkEnd w:id="240"/>
      <w:bookmarkEnd w:id="241"/>
      <w:bookmarkEnd w:id="242"/>
    </w:p>
    <w:p w14:paraId="5A27765E">
      <w:pPr>
        <w:tabs>
          <w:tab w:val="right" w:leader="hyphen" w:pos="8504"/>
        </w:tabs>
        <w:spacing w:line="500" w:lineRule="exact"/>
        <w:ind w:left="849" w:leftChars="300" w:right="849" w:rightChars="300" w:firstLine="566" w:firstLineChars="200"/>
        <w:rPr>
          <w:color w:val="000000"/>
        </w:rPr>
      </w:pPr>
      <w:bookmarkStart w:id="243" w:name="_Toc2987_WPSOffice_Level2"/>
      <w:bookmarkStart w:id="244" w:name="_Toc15474_WPSOffice_Level2"/>
      <w:bookmarkStart w:id="245" w:name="_Toc2999_WPSOffice_Level2"/>
      <w:bookmarkStart w:id="246" w:name="_Toc10127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3"/>
      <w:bookmarkEnd w:id="244"/>
      <w:bookmarkEnd w:id="245"/>
      <w:bookmarkEnd w:id="246"/>
    </w:p>
    <w:p w14:paraId="40CA49D7">
      <w:pPr>
        <w:numPr>
          <w:ilvl w:val="0"/>
          <w:numId w:val="6"/>
        </w:numPr>
        <w:tabs>
          <w:tab w:val="right" w:leader="hyphen" w:pos="8504"/>
        </w:tabs>
        <w:spacing w:line="500" w:lineRule="exact"/>
        <w:ind w:left="1981" w:leftChars="500" w:right="849" w:rightChars="300" w:hanging="566" w:hangingChars="200"/>
        <w:rPr>
          <w:color w:val="000000"/>
        </w:rPr>
      </w:pPr>
      <w:bookmarkStart w:id="247" w:name="_Toc13401_WPSOffice_Level2"/>
      <w:bookmarkStart w:id="248" w:name="_Toc15492_WPSOffice_Level2"/>
      <w:bookmarkStart w:id="249" w:name="_Toc22913_WPSOffice_Level2"/>
      <w:bookmarkStart w:id="250" w:name="_Toc28542_WPSOffice_Level2"/>
      <w:r>
        <w:rPr>
          <w:rFonts w:hint="eastAsia"/>
          <w:color w:val="000000"/>
        </w:rPr>
        <w:t>参考样表</w:t>
      </w:r>
      <w:r>
        <w:rPr>
          <w:color w:val="000000"/>
        </w:rPr>
        <w:tab/>
      </w:r>
      <w:r>
        <w:rPr>
          <w:color w:val="000000"/>
        </w:rPr>
        <w:t>X</w:t>
      </w:r>
      <w:bookmarkEnd w:id="247"/>
      <w:bookmarkEnd w:id="248"/>
      <w:bookmarkEnd w:id="249"/>
      <w:bookmarkEnd w:id="250"/>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1" w:name="_Toc13654"/>
      <w:bookmarkStart w:id="252" w:name="_Toc1807"/>
      <w:bookmarkStart w:id="253" w:name="_Toc31057"/>
      <w:r>
        <w:rPr>
          <w:rStyle w:val="36"/>
          <w:rFonts w:hint="eastAsia" w:ascii="黑体" w:hAnsi="黑体" w:eastAsia="黑体"/>
          <w:b w:val="0"/>
          <w:bCs w:val="0"/>
          <w:color w:val="000000"/>
        </w:rPr>
        <w:t>第一部分  资格证明文件</w:t>
      </w:r>
      <w:bookmarkEnd w:id="251"/>
      <w:bookmarkEnd w:id="252"/>
      <w:bookmarkEnd w:id="253"/>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67584C87">
      <w:pPr>
        <w:spacing w:line="500" w:lineRule="exact"/>
        <w:ind w:firstLine="562"/>
        <w:outlineLvl w:val="2"/>
        <w:rPr>
          <w:rFonts w:hint="eastAsia" w:ascii="仿宋" w:hAnsi="仿宋" w:eastAsia="仿宋"/>
          <w:b/>
          <w:color w:val="000000"/>
        </w:rPr>
      </w:pPr>
    </w:p>
    <w:p w14:paraId="0E6146BD">
      <w:pPr>
        <w:spacing w:line="500" w:lineRule="exact"/>
        <w:ind w:firstLine="562"/>
        <w:outlineLvl w:val="2"/>
        <w:rPr>
          <w:rFonts w:hint="eastAsia" w:ascii="仿宋" w:hAnsi="仿宋" w:eastAsia="仿宋"/>
          <w:b/>
          <w:color w:val="000000"/>
        </w:rPr>
      </w:pPr>
    </w:p>
    <w:p w14:paraId="0E7EB4A0">
      <w:pPr>
        <w:spacing w:line="500" w:lineRule="exact"/>
        <w:ind w:firstLine="562"/>
        <w:outlineLvl w:val="2"/>
        <w:rPr>
          <w:rFonts w:hint="eastAsia" w:ascii="仿宋" w:hAnsi="仿宋" w:eastAsia="仿宋"/>
          <w:b/>
          <w:color w:val="000000"/>
        </w:rPr>
      </w:pPr>
    </w:p>
    <w:p w14:paraId="06D70526">
      <w:pPr>
        <w:spacing w:line="500" w:lineRule="exact"/>
        <w:ind w:firstLine="562"/>
        <w:outlineLvl w:val="2"/>
        <w:rPr>
          <w:rFonts w:hint="eastAsia" w:ascii="仿宋" w:hAnsi="仿宋" w:eastAsia="仿宋"/>
          <w:b/>
          <w:color w:val="000000"/>
        </w:rPr>
      </w:pPr>
    </w:p>
    <w:p w14:paraId="59D10268">
      <w:pPr>
        <w:spacing w:line="500" w:lineRule="exact"/>
        <w:ind w:firstLine="562"/>
        <w:outlineLvl w:val="2"/>
        <w:rPr>
          <w:rFonts w:hint="eastAsia" w:ascii="仿宋" w:hAnsi="仿宋" w:eastAsia="仿宋"/>
          <w:b/>
          <w:color w:val="000000"/>
        </w:rPr>
      </w:pPr>
    </w:p>
    <w:p w14:paraId="651F98C3">
      <w:pPr>
        <w:spacing w:line="500" w:lineRule="exact"/>
        <w:ind w:firstLine="562"/>
        <w:outlineLvl w:val="2"/>
        <w:rPr>
          <w:rFonts w:hint="eastAsia" w:ascii="仿宋" w:hAnsi="仿宋" w:eastAsia="仿宋"/>
          <w:b/>
          <w:color w:val="000000"/>
        </w:rPr>
      </w:pPr>
    </w:p>
    <w:p w14:paraId="4A216590">
      <w:pPr>
        <w:spacing w:line="500" w:lineRule="exact"/>
        <w:ind w:firstLine="562"/>
        <w:outlineLvl w:val="2"/>
        <w:rPr>
          <w:rFonts w:hint="eastAsia" w:ascii="仿宋" w:hAnsi="仿宋" w:eastAsia="仿宋"/>
          <w:b/>
          <w:color w:val="000000"/>
        </w:rPr>
      </w:pPr>
    </w:p>
    <w:p w14:paraId="0A19C719">
      <w:pPr>
        <w:spacing w:line="500" w:lineRule="exact"/>
        <w:ind w:firstLine="562"/>
        <w:outlineLvl w:val="2"/>
        <w:rPr>
          <w:rFonts w:hint="eastAsia" w:ascii="仿宋" w:hAnsi="仿宋" w:eastAsia="仿宋"/>
          <w:b/>
          <w:color w:val="000000"/>
        </w:rPr>
      </w:pPr>
    </w:p>
    <w:p w14:paraId="64B6A268">
      <w:pPr>
        <w:spacing w:line="500" w:lineRule="exact"/>
        <w:ind w:firstLine="562"/>
        <w:outlineLvl w:val="2"/>
        <w:rPr>
          <w:rFonts w:hint="eastAsia" w:ascii="仿宋" w:hAnsi="仿宋" w:eastAsia="仿宋"/>
          <w:b/>
          <w:color w:val="000000"/>
        </w:rPr>
      </w:pPr>
    </w:p>
    <w:p w14:paraId="422BD0F7">
      <w:pPr>
        <w:spacing w:line="500" w:lineRule="exact"/>
        <w:ind w:firstLine="562"/>
        <w:outlineLvl w:val="2"/>
        <w:rPr>
          <w:rFonts w:hint="eastAsia" w:ascii="仿宋" w:hAnsi="仿宋" w:eastAsia="仿宋"/>
          <w:b/>
          <w:color w:val="000000"/>
        </w:rPr>
      </w:pPr>
    </w:p>
    <w:p w14:paraId="19BC01F1">
      <w:pPr>
        <w:spacing w:line="500" w:lineRule="exact"/>
        <w:ind w:firstLine="562"/>
        <w:outlineLvl w:val="2"/>
        <w:rPr>
          <w:rFonts w:hint="eastAsia" w:ascii="仿宋" w:hAnsi="仿宋" w:eastAsia="仿宋"/>
          <w:b/>
          <w:color w:val="000000"/>
        </w:rPr>
      </w:pPr>
    </w:p>
    <w:p w14:paraId="347C24CB">
      <w:pPr>
        <w:spacing w:line="500" w:lineRule="exact"/>
        <w:ind w:firstLine="562"/>
        <w:outlineLvl w:val="2"/>
        <w:rPr>
          <w:rFonts w:hint="eastAsia" w:ascii="仿宋" w:hAnsi="仿宋" w:eastAsia="仿宋"/>
          <w:b/>
          <w:color w:val="000000"/>
        </w:rPr>
      </w:pPr>
    </w:p>
    <w:p w14:paraId="3BC5D4E3">
      <w:pPr>
        <w:spacing w:line="500" w:lineRule="exact"/>
        <w:ind w:firstLine="562"/>
        <w:outlineLvl w:val="2"/>
        <w:rPr>
          <w:rFonts w:hint="eastAsia" w:ascii="仿宋" w:hAnsi="仿宋" w:eastAsia="仿宋"/>
          <w:b/>
          <w:color w:val="000000"/>
        </w:rPr>
      </w:pPr>
    </w:p>
    <w:p w14:paraId="6FA00EF4">
      <w:pPr>
        <w:spacing w:line="500" w:lineRule="exact"/>
        <w:ind w:firstLine="562"/>
        <w:outlineLvl w:val="2"/>
        <w:rPr>
          <w:rFonts w:hint="eastAsia" w:ascii="仿宋" w:hAnsi="仿宋" w:eastAsia="仿宋"/>
          <w:b/>
          <w:color w:val="000000"/>
        </w:rPr>
      </w:pPr>
    </w:p>
    <w:p w14:paraId="6FD6D7E1">
      <w:pPr>
        <w:spacing w:line="500" w:lineRule="exact"/>
        <w:ind w:firstLine="562"/>
        <w:outlineLvl w:val="2"/>
        <w:rPr>
          <w:rFonts w:hint="eastAsia" w:ascii="仿宋" w:hAnsi="仿宋" w:eastAsia="仿宋"/>
          <w:b/>
          <w:color w:val="000000"/>
        </w:rPr>
      </w:pPr>
    </w:p>
    <w:p w14:paraId="2E87D30E">
      <w:pPr>
        <w:spacing w:line="500" w:lineRule="exact"/>
        <w:ind w:firstLine="562"/>
        <w:outlineLvl w:val="2"/>
        <w:rPr>
          <w:rFonts w:hint="eastAsia" w:ascii="仿宋" w:hAnsi="仿宋" w:eastAsia="仿宋"/>
          <w:b/>
          <w:color w:val="000000"/>
        </w:rPr>
      </w:pPr>
    </w:p>
    <w:p w14:paraId="5410A0BA">
      <w:pPr>
        <w:spacing w:line="500" w:lineRule="exact"/>
        <w:ind w:firstLine="562"/>
        <w:outlineLvl w:val="2"/>
        <w:rPr>
          <w:rFonts w:hint="eastAsia" w:ascii="仿宋" w:hAnsi="仿宋" w:eastAsia="仿宋"/>
          <w:b/>
          <w:color w:val="000000"/>
        </w:rPr>
      </w:pPr>
    </w:p>
    <w:p w14:paraId="18FD658A">
      <w:pPr>
        <w:keepNext w:val="0"/>
        <w:keepLines w:val="0"/>
        <w:pageBreakBefore/>
        <w:widowControl/>
        <w:kinsoku/>
        <w:wordWrap/>
        <w:overflowPunct/>
        <w:topLinePunct w:val="0"/>
        <w:autoSpaceDE/>
        <w:autoSpaceDN/>
        <w:bidi w:val="0"/>
        <w:adjustRightInd/>
        <w:snapToGrid/>
        <w:spacing w:line="500" w:lineRule="exact"/>
        <w:ind w:firstLine="561"/>
        <w:textAlignment w:val="auto"/>
        <w:outlineLvl w:val="2"/>
        <w:rPr>
          <w:rFonts w:hint="eastAsia" w:ascii="仿宋" w:hAnsi="仿宋" w:eastAsia="仿宋"/>
          <w:b/>
          <w:color w:val="000000"/>
        </w:rPr>
      </w:pP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9"/>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77298652">
      <w:pPr>
        <w:spacing w:line="500" w:lineRule="exact"/>
        <w:ind w:firstLine="566" w:firstLineChars="200"/>
        <w:outlineLvl w:val="2"/>
        <w:rPr>
          <w:rFonts w:hint="eastAsia"/>
          <w:b/>
          <w:bCs/>
          <w:color w:val="000000"/>
          <w:lang w:val="en-US" w:eastAsia="zh-CN"/>
        </w:rPr>
      </w:pPr>
    </w:p>
    <w:p w14:paraId="3B8CAC6F">
      <w:pPr>
        <w:spacing w:line="500" w:lineRule="exact"/>
        <w:ind w:firstLine="566" w:firstLineChars="200"/>
        <w:outlineLvl w:val="2"/>
        <w:rPr>
          <w:rFonts w:hint="eastAsia"/>
          <w:b/>
          <w:bCs/>
          <w:color w:val="000000"/>
          <w:lang w:val="en-US" w:eastAsia="zh-CN"/>
        </w:rPr>
      </w:pPr>
    </w:p>
    <w:p w14:paraId="28830EBE">
      <w:pPr>
        <w:spacing w:line="500" w:lineRule="exact"/>
        <w:ind w:firstLine="566" w:firstLineChars="200"/>
        <w:outlineLvl w:val="2"/>
        <w:rPr>
          <w:rFonts w:hint="eastAsia"/>
          <w:b/>
          <w:bCs/>
          <w:color w:val="000000"/>
          <w:lang w:val="en-US" w:eastAsia="zh-CN"/>
        </w:rPr>
      </w:pPr>
    </w:p>
    <w:p w14:paraId="3EEFB15A">
      <w:pPr>
        <w:spacing w:line="500" w:lineRule="exact"/>
        <w:ind w:firstLine="566" w:firstLineChars="200"/>
        <w:outlineLvl w:val="2"/>
        <w:rPr>
          <w:rFonts w:hint="eastAsia"/>
          <w:b/>
          <w:bCs/>
          <w:color w:val="000000"/>
          <w:lang w:val="en-US" w:eastAsia="zh-CN"/>
        </w:rPr>
      </w:pPr>
    </w:p>
    <w:p w14:paraId="14CBD3D8">
      <w:pPr>
        <w:spacing w:line="500" w:lineRule="exact"/>
        <w:ind w:firstLine="566" w:firstLineChars="200"/>
        <w:outlineLvl w:val="2"/>
        <w:rPr>
          <w:rFonts w:hint="eastAsia"/>
          <w:b/>
          <w:bCs/>
          <w:color w:val="000000"/>
          <w:lang w:val="en-US" w:eastAsia="zh-CN"/>
        </w:rPr>
      </w:pPr>
    </w:p>
    <w:p w14:paraId="57FC946F">
      <w:pPr>
        <w:spacing w:line="500" w:lineRule="exact"/>
        <w:ind w:firstLine="566" w:firstLineChars="200"/>
        <w:outlineLvl w:val="2"/>
        <w:rPr>
          <w:rFonts w:hint="eastAsia"/>
          <w:b/>
          <w:bCs/>
          <w:color w:val="000000"/>
          <w:lang w:val="en-US" w:eastAsia="zh-CN"/>
        </w:rPr>
      </w:pPr>
    </w:p>
    <w:p w14:paraId="328E9BD0">
      <w:pPr>
        <w:spacing w:line="500" w:lineRule="exact"/>
        <w:ind w:firstLine="566" w:firstLineChars="200"/>
        <w:outlineLvl w:val="2"/>
        <w:rPr>
          <w:rFonts w:hint="eastAsia"/>
          <w:b/>
          <w:bCs/>
          <w:color w:val="000000"/>
          <w:lang w:val="en-US" w:eastAsia="zh-CN"/>
        </w:rPr>
      </w:pPr>
    </w:p>
    <w:p w14:paraId="1602AB2C">
      <w:pPr>
        <w:spacing w:line="500" w:lineRule="exact"/>
        <w:ind w:firstLine="566" w:firstLineChars="200"/>
        <w:outlineLvl w:val="2"/>
        <w:rPr>
          <w:rFonts w:hint="eastAsia"/>
          <w:b/>
          <w:bCs/>
          <w:color w:val="000000"/>
          <w:lang w:val="en-US" w:eastAsia="zh-CN"/>
        </w:rPr>
      </w:pPr>
    </w:p>
    <w:p w14:paraId="68966F9D">
      <w:pPr>
        <w:spacing w:line="500" w:lineRule="exact"/>
        <w:ind w:firstLine="566" w:firstLineChars="200"/>
        <w:outlineLvl w:val="2"/>
        <w:rPr>
          <w:rFonts w:hint="eastAsia"/>
          <w:b/>
          <w:bCs/>
          <w:color w:val="000000"/>
          <w:lang w:val="en-US" w:eastAsia="zh-CN"/>
        </w:rPr>
      </w:pPr>
    </w:p>
    <w:p w14:paraId="22CA69CD">
      <w:pPr>
        <w:keepNext w:val="0"/>
        <w:keepLines w:val="0"/>
        <w:pageBreakBefore/>
        <w:widowControl/>
        <w:kinsoku/>
        <w:wordWrap/>
        <w:overflowPunct/>
        <w:topLinePunct w:val="0"/>
        <w:autoSpaceDE/>
        <w:autoSpaceDN/>
        <w:bidi w:val="0"/>
        <w:adjustRightInd/>
        <w:snapToGrid/>
        <w:spacing w:line="500" w:lineRule="exact"/>
        <w:ind w:firstLine="566" w:firstLineChars="200"/>
        <w:textAlignment w:val="auto"/>
        <w:outlineLvl w:val="2"/>
        <w:rPr>
          <w:rFonts w:hint="eastAsia"/>
          <w:b/>
          <w:bCs/>
          <w:color w:val="000000"/>
          <w:lang w:val="en-US" w:eastAsia="zh-CN"/>
        </w:rPr>
      </w:pP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20"/>
        <w:ind w:firstLine="0" w:firstLineChars="0"/>
        <w:rPr>
          <w:rFonts w:ascii="仿宋" w:hAnsi="仿宋" w:eastAsia="仿宋"/>
          <w:b/>
          <w:color w:val="000000"/>
        </w:rPr>
      </w:pPr>
    </w:p>
    <w:p w14:paraId="03B7F4DA">
      <w:pPr>
        <w:pStyle w:val="37"/>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7"/>
        <w:rPr>
          <w:color w:val="000000"/>
          <w:sz w:val="30"/>
          <w:szCs w:val="30"/>
        </w:rPr>
      </w:pPr>
    </w:p>
    <w:p w14:paraId="5658270A">
      <w:pPr>
        <w:pStyle w:val="7"/>
        <w:rPr>
          <w:color w:val="000000"/>
          <w:sz w:val="30"/>
          <w:szCs w:val="30"/>
        </w:rPr>
      </w:pPr>
    </w:p>
    <w:p w14:paraId="2F791B12"/>
    <w:p w14:paraId="7E614B18">
      <w:pPr>
        <w:pStyle w:val="7"/>
        <w:rPr>
          <w:color w:val="000000"/>
          <w:sz w:val="30"/>
          <w:szCs w:val="30"/>
        </w:rPr>
      </w:pPr>
    </w:p>
    <w:p w14:paraId="4A206042">
      <w:pPr>
        <w:pStyle w:val="20"/>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20"/>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20"/>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2"/>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802"/>
        <w:gridCol w:w="1837"/>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802"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837"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7"/>
        <w:rPr>
          <w:rFonts w:ascii="仿宋" w:hAnsi="仿宋" w:eastAsia="仿宋" w:cs="仿宋"/>
          <w:color w:val="auto"/>
        </w:rPr>
      </w:pPr>
    </w:p>
    <w:p w14:paraId="39F21E56">
      <w:pPr>
        <w:pStyle w:val="20"/>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9"/>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9"/>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7"/>
        <w:spacing w:line="500" w:lineRule="atLeast"/>
        <w:ind w:firstLine="607"/>
        <w:jc w:val="center"/>
        <w:outlineLvl w:val="9"/>
        <w:rPr>
          <w:rFonts w:cs="Times New Roman"/>
          <w:color w:val="000000"/>
          <w:szCs w:val="30"/>
        </w:rPr>
      </w:pPr>
      <w:bookmarkStart w:id="254" w:name="_Toc18044"/>
      <w:bookmarkStart w:id="255" w:name="_Toc15591"/>
      <w:bookmarkStart w:id="256" w:name="_Toc19326"/>
      <w:bookmarkStart w:id="257" w:name="_Toc29822"/>
      <w:bookmarkStart w:id="258" w:name="_Toc12408"/>
      <w:bookmarkStart w:id="259" w:name="_Toc17482"/>
      <w:bookmarkStart w:id="260" w:name="_Toc13312"/>
      <w:bookmarkStart w:id="261" w:name="_Toc9004"/>
      <w:r>
        <w:rPr>
          <w:rFonts w:hint="eastAsia" w:cs="华文仿宋"/>
          <w:color w:val="000000"/>
          <w:szCs w:val="30"/>
        </w:rPr>
        <w:t>法定代表人授权委托书</w:t>
      </w:r>
      <w:bookmarkEnd w:id="254"/>
      <w:bookmarkEnd w:id="255"/>
      <w:bookmarkEnd w:id="256"/>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57"/>
    </w:p>
    <w:bookmarkEnd w:id="258"/>
    <w:bookmarkEnd w:id="259"/>
    <w:bookmarkEnd w:id="260"/>
    <w:bookmarkEnd w:id="261"/>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2"/>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20"/>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2"/>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 ）</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7"/>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0320D949">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4AC14BF5">
      <w:pPr>
        <w:pStyle w:val="35"/>
        <w:ind w:firstLine="0" w:firstLineChars="0"/>
        <w:rPr>
          <w:rFonts w:hint="eastAsia" w:ascii="黑体" w:hAnsi="黑体" w:eastAsia="黑体"/>
          <w:b w:val="0"/>
          <w:color w:val="000000"/>
        </w:rPr>
      </w:pPr>
      <w:bookmarkStart w:id="262" w:name="_Toc28770"/>
      <w:bookmarkStart w:id="263" w:name="_Toc16881"/>
    </w:p>
    <w:p w14:paraId="3FA7B3E6">
      <w:pPr>
        <w:pStyle w:val="35"/>
        <w:ind w:firstLine="0" w:firstLineChars="0"/>
        <w:rPr>
          <w:rFonts w:hint="eastAsia" w:ascii="黑体" w:hAnsi="黑体" w:eastAsia="黑体"/>
          <w:b w:val="0"/>
          <w:color w:val="000000"/>
        </w:rPr>
      </w:pPr>
    </w:p>
    <w:p w14:paraId="539CB749">
      <w:pPr>
        <w:pStyle w:val="35"/>
        <w:ind w:firstLine="0" w:firstLineChars="0"/>
        <w:rPr>
          <w:rFonts w:hint="eastAsia" w:ascii="黑体" w:hAnsi="黑体" w:eastAsia="黑体"/>
          <w:b w:val="0"/>
          <w:color w:val="000000"/>
        </w:rPr>
      </w:pPr>
    </w:p>
    <w:p w14:paraId="71DE320D">
      <w:pPr>
        <w:pStyle w:val="35"/>
        <w:ind w:firstLine="0" w:firstLineChars="0"/>
        <w:rPr>
          <w:rFonts w:hint="eastAsia" w:ascii="黑体" w:hAnsi="黑体" w:eastAsia="黑体"/>
          <w:b w:val="0"/>
          <w:color w:val="000000"/>
        </w:rPr>
      </w:pPr>
    </w:p>
    <w:p w14:paraId="73FFCD0E">
      <w:pPr>
        <w:pStyle w:val="35"/>
        <w:ind w:firstLine="0" w:firstLineChars="0"/>
        <w:rPr>
          <w:rFonts w:hint="eastAsia" w:ascii="黑体" w:hAnsi="黑体" w:eastAsia="黑体"/>
          <w:b w:val="0"/>
          <w:color w:val="000000"/>
        </w:rPr>
      </w:pPr>
    </w:p>
    <w:p w14:paraId="6399A65E">
      <w:pPr>
        <w:pStyle w:val="35"/>
        <w:ind w:firstLine="0" w:firstLineChars="0"/>
        <w:rPr>
          <w:rFonts w:hint="eastAsia" w:ascii="黑体" w:hAnsi="黑体" w:eastAsia="黑体"/>
          <w:b w:val="0"/>
          <w:color w:val="000000"/>
        </w:rPr>
      </w:pPr>
    </w:p>
    <w:p w14:paraId="2AF49515">
      <w:pPr>
        <w:pStyle w:val="35"/>
        <w:ind w:firstLine="0" w:firstLineChars="0"/>
        <w:rPr>
          <w:rFonts w:hint="eastAsia" w:ascii="黑体" w:hAnsi="黑体" w:eastAsia="黑体"/>
          <w:b w:val="0"/>
          <w:color w:val="000000"/>
        </w:rPr>
      </w:pPr>
    </w:p>
    <w:p w14:paraId="21EFEA36">
      <w:pPr>
        <w:pStyle w:val="35"/>
        <w:keepNext w:val="0"/>
        <w:keepLines/>
        <w:pageBreakBefore/>
        <w:widowControl/>
        <w:kinsoku/>
        <w:wordWrap/>
        <w:overflowPunct/>
        <w:topLinePunct w:val="0"/>
        <w:autoSpaceDE/>
        <w:autoSpaceDN/>
        <w:bidi w:val="0"/>
        <w:adjustRightInd/>
        <w:snapToGrid/>
        <w:ind w:firstLine="0" w:firstLineChars="0"/>
        <w:textAlignment w:val="auto"/>
        <w:rPr>
          <w:rFonts w:ascii="黑体" w:hAnsi="黑体" w:eastAsia="黑体"/>
          <w:b w:val="0"/>
          <w:color w:val="000000"/>
        </w:rPr>
      </w:pPr>
      <w:bookmarkStart w:id="264" w:name="_Toc29074"/>
      <w:r>
        <w:rPr>
          <w:rFonts w:hint="eastAsia" w:ascii="黑体" w:hAnsi="黑体" w:eastAsia="黑体"/>
          <w:b w:val="0"/>
          <w:color w:val="000000"/>
        </w:rPr>
        <w:t>第二部分  符合性证明文件</w:t>
      </w:r>
      <w:bookmarkEnd w:id="262"/>
      <w:bookmarkEnd w:id="263"/>
      <w:bookmarkEnd w:id="264"/>
    </w:p>
    <w:p w14:paraId="4249899B">
      <w:pPr>
        <w:pStyle w:val="35"/>
        <w:ind w:firstLine="609"/>
        <w:jc w:val="both"/>
        <w:outlineLvl w:val="2"/>
        <w:rPr>
          <w:rFonts w:ascii="仿宋" w:hAnsi="仿宋" w:eastAsia="仿宋" w:cs="仿宋"/>
          <w:bCs w:val="0"/>
          <w:color w:val="000000"/>
        </w:rPr>
      </w:pPr>
      <w:bookmarkStart w:id="265" w:name="_Toc19195"/>
      <w:bookmarkStart w:id="266" w:name="_Toc19788"/>
      <w:bookmarkStart w:id="267" w:name="_Toc2230"/>
      <w:bookmarkStart w:id="268" w:name="_Toc14262"/>
      <w:r>
        <w:rPr>
          <w:rFonts w:hint="eastAsia" w:ascii="仿宋" w:hAnsi="仿宋" w:eastAsia="仿宋" w:cs="仿宋"/>
          <w:bCs w:val="0"/>
          <w:color w:val="000000"/>
        </w:rPr>
        <w:t>一、响应函格式</w:t>
      </w:r>
      <w:bookmarkEnd w:id="265"/>
      <w:bookmarkEnd w:id="266"/>
      <w:bookmarkEnd w:id="267"/>
      <w:bookmarkEnd w:id="268"/>
    </w:p>
    <w:p w14:paraId="58D43A13">
      <w:pPr>
        <w:pStyle w:val="31"/>
        <w:ind w:firstLine="0" w:firstLineChars="0"/>
        <w:jc w:val="center"/>
        <w:rPr>
          <w:rFonts w:ascii="黑体" w:hAnsi="黑体" w:eastAsia="黑体" w:cs="黑体"/>
          <w:color w:val="000000"/>
          <w:sz w:val="32"/>
          <w:szCs w:val="32"/>
        </w:rPr>
      </w:pPr>
      <w:bookmarkStart w:id="269" w:name="_Toc10617"/>
      <w:bookmarkStart w:id="270" w:name="_Toc22777"/>
      <w:bookmarkStart w:id="271" w:name="_Toc23334"/>
      <w:r>
        <w:rPr>
          <w:rFonts w:hint="eastAsia" w:ascii="黑体" w:hAnsi="黑体" w:eastAsia="黑体" w:cs="黑体"/>
          <w:color w:val="000000"/>
          <w:sz w:val="32"/>
          <w:szCs w:val="32"/>
        </w:rPr>
        <w:t>响应函</w:t>
      </w:r>
      <w:bookmarkEnd w:id="269"/>
      <w:bookmarkEnd w:id="270"/>
      <w:bookmarkEnd w:id="271"/>
    </w:p>
    <w:p w14:paraId="282EA6BA">
      <w:pPr>
        <w:pStyle w:val="31"/>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31"/>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31"/>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31"/>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电子磋商文件作出</w:t>
      </w:r>
      <w:r>
        <w:rPr>
          <w:rFonts w:hint="eastAsia" w:ascii="华文仿宋" w:hAnsi="华文仿宋" w:cs="华文仿宋"/>
          <w:color w:val="000000"/>
        </w:rPr>
        <w:t>的修改或澄清、答疑纪要，以及项目暂停、重启、延期、终止等）。</w:t>
      </w:r>
    </w:p>
    <w:p w14:paraId="0592A1D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31"/>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31"/>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31"/>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31"/>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31"/>
        <w:spacing w:line="500" w:lineRule="exact"/>
        <w:ind w:firstLine="567"/>
        <w:rPr>
          <w:rFonts w:ascii="华文仿宋" w:hAnsi="华文仿宋" w:cs="华文仿宋"/>
          <w:color w:val="000000"/>
        </w:rPr>
      </w:pPr>
    </w:p>
    <w:p w14:paraId="209525BA">
      <w:pPr>
        <w:pStyle w:val="31"/>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31"/>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31"/>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31"/>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31"/>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31"/>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31"/>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31"/>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31"/>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31"/>
        <w:ind w:firstLine="0" w:firstLineChars="0"/>
        <w:rPr>
          <w:rFonts w:ascii="华文仿宋" w:hAnsi="华文仿宋" w:cs="华文仿宋"/>
          <w:color w:val="000000"/>
          <w:sz w:val="36"/>
        </w:rPr>
      </w:pPr>
    </w:p>
    <w:p w14:paraId="4C6D3F6B">
      <w:pPr>
        <w:pStyle w:val="31"/>
        <w:ind w:firstLine="0" w:firstLineChars="0"/>
        <w:rPr>
          <w:color w:val="000000"/>
          <w:sz w:val="36"/>
        </w:rPr>
      </w:pPr>
    </w:p>
    <w:p w14:paraId="70C7C9DE">
      <w:pPr>
        <w:pStyle w:val="31"/>
        <w:ind w:firstLine="0" w:firstLineChars="0"/>
        <w:rPr>
          <w:color w:val="000000"/>
          <w:sz w:val="24"/>
          <w:szCs w:val="24"/>
        </w:rPr>
      </w:pPr>
    </w:p>
    <w:p w14:paraId="1EE38841">
      <w:pPr>
        <w:pStyle w:val="31"/>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31"/>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5"/>
        <w:ind w:firstLine="609"/>
        <w:jc w:val="both"/>
        <w:outlineLvl w:val="9"/>
        <w:rPr>
          <w:rFonts w:ascii="仿宋" w:hAnsi="仿宋" w:eastAsia="仿宋" w:cs="仿宋"/>
          <w:bCs w:val="0"/>
          <w:color w:val="000000"/>
        </w:rPr>
      </w:pPr>
      <w:bookmarkStart w:id="272" w:name="_Toc23660"/>
      <w:bookmarkStart w:id="273" w:name="_Toc6921"/>
      <w:bookmarkStart w:id="274" w:name="_Toc24876"/>
    </w:p>
    <w:p w14:paraId="1AF40D03">
      <w:pPr>
        <w:pStyle w:val="35"/>
        <w:ind w:firstLine="609"/>
        <w:jc w:val="both"/>
        <w:outlineLvl w:val="9"/>
        <w:rPr>
          <w:rFonts w:ascii="仿宋" w:hAnsi="仿宋" w:eastAsia="仿宋" w:cs="仿宋"/>
          <w:bCs w:val="0"/>
          <w:color w:val="000000"/>
        </w:rPr>
      </w:pPr>
    </w:p>
    <w:p w14:paraId="12E6B8AB">
      <w:pPr>
        <w:pStyle w:val="35"/>
        <w:ind w:firstLine="609"/>
        <w:jc w:val="both"/>
        <w:outlineLvl w:val="9"/>
        <w:rPr>
          <w:rFonts w:ascii="仿宋" w:hAnsi="仿宋" w:eastAsia="仿宋" w:cs="仿宋"/>
          <w:bCs w:val="0"/>
          <w:color w:val="000000"/>
        </w:rPr>
      </w:pPr>
    </w:p>
    <w:p w14:paraId="65D75D7C">
      <w:pPr>
        <w:pStyle w:val="35"/>
        <w:ind w:firstLine="609"/>
        <w:jc w:val="both"/>
        <w:outlineLvl w:val="9"/>
        <w:rPr>
          <w:rFonts w:ascii="仿宋" w:hAnsi="仿宋" w:eastAsia="仿宋" w:cs="仿宋"/>
          <w:bCs w:val="0"/>
          <w:color w:val="000000"/>
        </w:rPr>
      </w:pPr>
    </w:p>
    <w:p w14:paraId="33FAB430">
      <w:pPr>
        <w:pStyle w:val="35"/>
        <w:ind w:firstLine="609"/>
        <w:jc w:val="both"/>
        <w:outlineLvl w:val="9"/>
        <w:rPr>
          <w:rFonts w:ascii="仿宋" w:hAnsi="仿宋" w:eastAsia="仿宋" w:cs="仿宋"/>
          <w:bCs w:val="0"/>
          <w:color w:val="000000"/>
        </w:rPr>
      </w:pPr>
    </w:p>
    <w:p w14:paraId="7E6641E9">
      <w:pPr>
        <w:pStyle w:val="35"/>
        <w:ind w:firstLine="609"/>
        <w:jc w:val="both"/>
        <w:outlineLvl w:val="9"/>
        <w:rPr>
          <w:rFonts w:ascii="仿宋" w:hAnsi="仿宋" w:eastAsia="仿宋" w:cs="仿宋"/>
          <w:bCs w:val="0"/>
          <w:color w:val="000000"/>
        </w:rPr>
      </w:pPr>
    </w:p>
    <w:p w14:paraId="32D911F3">
      <w:pPr>
        <w:pStyle w:val="35"/>
        <w:ind w:firstLine="609"/>
        <w:jc w:val="both"/>
        <w:outlineLvl w:val="9"/>
        <w:rPr>
          <w:rFonts w:ascii="仿宋" w:hAnsi="仿宋" w:eastAsia="仿宋" w:cs="仿宋"/>
          <w:bCs w:val="0"/>
          <w:color w:val="000000"/>
        </w:rPr>
      </w:pPr>
    </w:p>
    <w:p w14:paraId="0306B5D9">
      <w:pPr>
        <w:pStyle w:val="35"/>
        <w:ind w:firstLine="609"/>
        <w:jc w:val="both"/>
        <w:outlineLvl w:val="9"/>
        <w:rPr>
          <w:rFonts w:ascii="仿宋" w:hAnsi="仿宋" w:eastAsia="仿宋" w:cs="仿宋"/>
          <w:bCs w:val="0"/>
          <w:color w:val="000000"/>
        </w:rPr>
      </w:pPr>
    </w:p>
    <w:bookmarkEnd w:id="272"/>
    <w:bookmarkEnd w:id="273"/>
    <w:bookmarkEnd w:id="274"/>
    <w:p w14:paraId="52129943">
      <w:pPr>
        <w:spacing w:line="500" w:lineRule="exact"/>
        <w:ind w:firstLine="6460" w:firstLineChars="2000"/>
        <w:rPr>
          <w:rFonts w:ascii="宋体" w:hAnsi="宋体"/>
          <w:b/>
          <w:bCs/>
          <w:color w:val="000000"/>
          <w:sz w:val="32"/>
          <w:szCs w:val="32"/>
        </w:rPr>
      </w:pPr>
    </w:p>
    <w:p w14:paraId="6E5D5EC2">
      <w:pPr>
        <w:spacing w:line="500" w:lineRule="exact"/>
        <w:rPr>
          <w:rFonts w:ascii="宋体" w:hAnsi="宋体"/>
          <w:b/>
          <w:bCs/>
          <w:color w:val="000000"/>
          <w:sz w:val="32"/>
          <w:szCs w:val="32"/>
        </w:rPr>
        <w:sectPr>
          <w:footerReference r:id="rId9" w:type="first"/>
          <w:headerReference r:id="rId7" w:type="default"/>
          <w:footerReference r:id="rId8" w:type="default"/>
          <w:pgSz w:w="11906" w:h="16838"/>
          <w:pgMar w:top="1304" w:right="1417" w:bottom="1304" w:left="1417" w:header="850" w:footer="624" w:gutter="0"/>
          <w:pgNumType w:fmt="decimal" w:start="1"/>
          <w:cols w:space="720" w:num="1"/>
          <w:docGrid w:type="linesAndChars" w:linePitch="381" w:charSpace="704"/>
        </w:sectPr>
      </w:pPr>
    </w:p>
    <w:p w14:paraId="78866ED1">
      <w:pPr>
        <w:pStyle w:val="35"/>
        <w:numPr>
          <w:ilvl w:val="0"/>
          <w:numId w:val="7"/>
        </w:numPr>
        <w:ind w:firstLine="609"/>
        <w:jc w:val="both"/>
        <w:outlineLvl w:val="2"/>
        <w:rPr>
          <w:rFonts w:hint="eastAsia" w:eastAsia="华文仿宋"/>
          <w:b/>
          <w:bCs/>
          <w:color w:val="000000"/>
          <w:sz w:val="30"/>
          <w:szCs w:val="30"/>
          <w:lang w:eastAsia="zh-CN"/>
        </w:rPr>
      </w:pPr>
      <w:bookmarkStart w:id="275" w:name="_Toc10520"/>
      <w:r>
        <w:rPr>
          <w:rFonts w:hint="eastAsia" w:ascii="仿宋" w:hAnsi="仿宋" w:eastAsia="仿宋" w:cs="仿宋"/>
          <w:color w:val="000000"/>
          <w:lang w:val="en-US" w:eastAsia="zh-CN"/>
        </w:rPr>
        <w:t>落实的政府采购政策</w:t>
      </w:r>
    </w:p>
    <w:p w14:paraId="0832D672">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val="0"/>
          <w:bCs w:val="0"/>
          <w:color w:val="auto"/>
          <w:sz w:val="28"/>
          <w:szCs w:val="28"/>
          <w:u w:val="single"/>
          <w:lang w:val="en-US" w:eastAsia="zh-CN"/>
        </w:rPr>
        <w:t>其他未列明行业</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其他未列明行业</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 ）</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7"/>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20"/>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20"/>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20"/>
        <w:ind w:firstLine="426" w:firstLineChars="200"/>
        <w:rPr>
          <w:rFonts w:hint="eastAsia" w:ascii="宋体" w:hAnsi="宋体" w:eastAsia="宋体" w:cs="宋体"/>
          <w:color w:val="auto"/>
          <w:sz w:val="21"/>
          <w:szCs w:val="21"/>
          <w:highlight w:val="yellow"/>
        </w:rPr>
      </w:pPr>
    </w:p>
    <w:p w14:paraId="25313BFC">
      <w:pPr>
        <w:pStyle w:val="21"/>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5"/>
        <w:rPr>
          <w:rFonts w:hint="eastAsia" w:ascii="宋体" w:hAnsi="宋体" w:eastAsia="宋体" w:cs="宋体"/>
          <w:color w:val="auto"/>
          <w:sz w:val="21"/>
          <w:szCs w:val="21"/>
          <w:highlight w:val="yellow"/>
        </w:rPr>
      </w:pPr>
    </w:p>
    <w:p w14:paraId="34796666">
      <w:pPr>
        <w:rPr>
          <w:rFonts w:hint="eastAsia"/>
        </w:rPr>
      </w:pPr>
    </w:p>
    <w:p w14:paraId="00C5EF0B">
      <w:pPr>
        <w:pStyle w:val="21"/>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20"/>
        <w:ind w:firstLine="639" w:firstLineChars="300"/>
        <w:rPr>
          <w:rFonts w:ascii="宋体" w:hAnsi="宋体" w:eastAsia="宋体"/>
          <w:color w:val="000000"/>
          <w:sz w:val="21"/>
          <w:szCs w:val="21"/>
        </w:rPr>
      </w:pPr>
    </w:p>
    <w:p w14:paraId="1426432B">
      <w:pPr>
        <w:pStyle w:val="20"/>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20"/>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5"/>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5"/>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9"/>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2"/>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7"/>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20"/>
              <w:ind w:firstLine="0" w:firstLineChars="0"/>
              <w:rPr>
                <w:rFonts w:ascii="仿宋" w:hAnsi="仿宋" w:eastAsia="仿宋" w:cs="仿宋"/>
                <w:color w:val="000000"/>
                <w:kern w:val="0"/>
                <w:sz w:val="28"/>
                <w:szCs w:val="24"/>
                <w:lang w:val="zh-CN"/>
              </w:rPr>
            </w:pPr>
          </w:p>
          <w:p w14:paraId="353DEC51">
            <w:pPr>
              <w:pStyle w:val="20"/>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9233D04">
      <w:pPr>
        <w:pStyle w:val="9"/>
        <w:ind w:firstLine="5377" w:firstLineChars="1900"/>
        <w:rPr>
          <w:color w:val="000000"/>
        </w:rPr>
        <w:sectPr>
          <w:pgSz w:w="11906" w:h="16838"/>
          <w:pgMar w:top="1417" w:right="1417" w:bottom="1417" w:left="1417" w:header="850" w:footer="992" w:gutter="0"/>
          <w:pgNumType w:fmt="decimal"/>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1EAD5FC8">
      <w:pPr>
        <w:spacing w:beforeLines="50" w:afterLines="50" w:line="500" w:lineRule="exact"/>
        <w:jc w:val="center"/>
        <w:rPr>
          <w:rFonts w:ascii="华文仿宋" w:hAnsi="华文仿宋" w:cs="华文仿宋"/>
          <w:b/>
          <w:color w:val="000000"/>
        </w:rPr>
        <w:sectPr>
          <w:footerReference r:id="rId10" w:type="default"/>
          <w:type w:val="continuous"/>
          <w:pgSz w:w="11906" w:h="16838"/>
          <w:pgMar w:top="1417" w:right="1417" w:bottom="1417" w:left="1417" w:header="850" w:footer="992" w:gutter="0"/>
          <w:pgNumType w:fmt="decimal"/>
          <w:cols w:space="720" w:num="1"/>
          <w:docGrid w:type="linesAndChars" w:linePitch="381" w:charSpace="704"/>
        </w:sectPr>
      </w:pPr>
    </w:p>
    <w:p w14:paraId="3D00C3C2">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2"/>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3ABBD222">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7D0C96D0">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4FF662A8">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7FA836D1">
            <w:pPr>
              <w:pStyle w:val="35"/>
              <w:widowControl w:val="0"/>
              <w:spacing w:line="240" w:lineRule="auto"/>
              <w:ind w:firstLine="0" w:firstLineChars="0"/>
              <w:rPr>
                <w:rFonts w:ascii="仿宋" w:hAnsi="仿宋" w:eastAsia="仿宋" w:cs="仿宋"/>
                <w:b w:val="0"/>
                <w:bCs w:val="0"/>
                <w:color w:val="000000"/>
                <w:kern w:val="0"/>
                <w:sz w:val="24"/>
                <w:szCs w:val="24"/>
              </w:rPr>
            </w:pPr>
            <w:bookmarkStart w:id="276" w:name="_Toc16359"/>
            <w:bookmarkStart w:id="277" w:name="_Toc28616"/>
            <w:bookmarkStart w:id="278" w:name="_Toc32559"/>
            <w:bookmarkStart w:id="279" w:name="_Toc16202"/>
            <w:r>
              <w:rPr>
                <w:rFonts w:hint="eastAsia" w:ascii="仿宋" w:hAnsi="仿宋" w:eastAsia="仿宋" w:cs="仿宋"/>
                <w:bCs w:val="0"/>
                <w:color w:val="000000"/>
                <w:sz w:val="24"/>
                <w:szCs w:val="24"/>
              </w:rPr>
              <w:t>计量单位</w:t>
            </w:r>
            <w:bookmarkEnd w:id="276"/>
            <w:bookmarkEnd w:id="277"/>
            <w:bookmarkEnd w:id="278"/>
            <w:bookmarkEnd w:id="279"/>
          </w:p>
        </w:tc>
        <w:tc>
          <w:tcPr>
            <w:tcW w:w="1265" w:type="dxa"/>
            <w:tcBorders>
              <w:top w:val="single" w:color="000000" w:sz="8" w:space="0"/>
              <w:left w:val="single" w:color="000000" w:sz="6" w:space="0"/>
              <w:bottom w:val="single" w:color="000000" w:sz="6" w:space="0"/>
              <w:right w:val="single" w:color="000000" w:sz="6" w:space="0"/>
            </w:tcBorders>
            <w:vAlign w:val="center"/>
          </w:tcPr>
          <w:p w14:paraId="680415F9">
            <w:pPr>
              <w:pStyle w:val="35"/>
              <w:widowControl w:val="0"/>
              <w:spacing w:line="240" w:lineRule="auto"/>
              <w:ind w:firstLine="0" w:firstLineChars="0"/>
              <w:rPr>
                <w:rFonts w:ascii="仿宋" w:hAnsi="仿宋" w:eastAsia="仿宋" w:cs="仿宋"/>
                <w:b w:val="0"/>
                <w:bCs w:val="0"/>
                <w:color w:val="000000"/>
                <w:kern w:val="0"/>
                <w:sz w:val="24"/>
                <w:szCs w:val="24"/>
                <w:lang w:val="zh-CN"/>
              </w:rPr>
            </w:pPr>
            <w:bookmarkStart w:id="280" w:name="_Toc4371"/>
            <w:bookmarkStart w:id="281" w:name="_Toc29236"/>
            <w:bookmarkStart w:id="282" w:name="_Toc5340"/>
            <w:bookmarkStart w:id="283" w:name="_Toc26417"/>
            <w:r>
              <w:rPr>
                <w:rFonts w:hint="eastAsia" w:ascii="仿宋" w:hAnsi="仿宋" w:eastAsia="仿宋" w:cs="仿宋"/>
                <w:bCs w:val="0"/>
                <w:color w:val="000000"/>
                <w:sz w:val="24"/>
                <w:szCs w:val="24"/>
              </w:rPr>
              <w:t>具体要求说明</w:t>
            </w:r>
            <w:bookmarkEnd w:id="280"/>
            <w:bookmarkEnd w:id="281"/>
            <w:bookmarkEnd w:id="282"/>
            <w:bookmarkEnd w:id="283"/>
          </w:p>
        </w:tc>
        <w:tc>
          <w:tcPr>
            <w:tcW w:w="1124" w:type="dxa"/>
            <w:tcBorders>
              <w:top w:val="single" w:color="000000" w:sz="8" w:space="0"/>
              <w:left w:val="single" w:color="000000" w:sz="6" w:space="0"/>
              <w:bottom w:val="single" w:color="000000" w:sz="6" w:space="0"/>
              <w:right w:val="single" w:color="auto" w:sz="4" w:space="0"/>
            </w:tcBorders>
            <w:vAlign w:val="center"/>
          </w:tcPr>
          <w:p w14:paraId="2D2D5D42">
            <w:pPr>
              <w:pStyle w:val="35"/>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16C99D9D">
            <w:pPr>
              <w:pStyle w:val="35"/>
              <w:widowControl w:val="0"/>
              <w:spacing w:line="240" w:lineRule="auto"/>
              <w:ind w:firstLine="0" w:firstLineChars="0"/>
              <w:rPr>
                <w:rFonts w:ascii="仿宋" w:hAnsi="仿宋" w:eastAsia="仿宋" w:cs="仿宋"/>
                <w:bCs w:val="0"/>
                <w:color w:val="000000"/>
                <w:sz w:val="24"/>
                <w:szCs w:val="24"/>
              </w:rPr>
            </w:pPr>
            <w:bookmarkStart w:id="284" w:name="_Toc18908"/>
            <w:bookmarkStart w:id="285" w:name="_Toc14670"/>
            <w:bookmarkStart w:id="286" w:name="_Toc24317"/>
            <w:bookmarkStart w:id="287" w:name="_Toc9206"/>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6C8D1C77">
            <w:pPr>
              <w:pStyle w:val="35"/>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6961289B">
            <w:pPr>
              <w:pStyle w:val="35"/>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4"/>
            <w:bookmarkEnd w:id="285"/>
            <w:bookmarkEnd w:id="286"/>
            <w:bookmarkEnd w:id="287"/>
          </w:p>
        </w:tc>
      </w:tr>
      <w:tr w14:paraId="68E095E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3AB80DA">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5ED89603">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5A6A3B6C">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7B01848D">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4F14D99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35A32A0">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3392934C">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58821A8E">
            <w:pPr>
              <w:autoSpaceDE w:val="0"/>
              <w:autoSpaceDN w:val="0"/>
              <w:spacing w:line="240" w:lineRule="auto"/>
              <w:jc w:val="center"/>
              <w:rPr>
                <w:rFonts w:ascii="仿宋" w:hAnsi="仿宋" w:eastAsia="仿宋" w:cs="仿宋"/>
                <w:color w:val="000000"/>
                <w:kern w:val="0"/>
                <w:sz w:val="24"/>
                <w:szCs w:val="24"/>
                <w:lang w:val="zh-CN"/>
              </w:rPr>
            </w:pPr>
          </w:p>
        </w:tc>
      </w:tr>
      <w:tr w14:paraId="72390AB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7DAC014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23454C1A">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4A780459">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8BED415">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9D7CB8F">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1D208B5">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3EDF50F">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8C86313">
            <w:pPr>
              <w:autoSpaceDE w:val="0"/>
              <w:autoSpaceDN w:val="0"/>
              <w:spacing w:line="240" w:lineRule="auto"/>
              <w:jc w:val="center"/>
              <w:rPr>
                <w:rFonts w:ascii="仿宋" w:hAnsi="仿宋" w:eastAsia="仿宋" w:cs="仿宋"/>
                <w:color w:val="000000"/>
                <w:kern w:val="0"/>
                <w:sz w:val="24"/>
                <w:szCs w:val="24"/>
                <w:lang w:val="zh-CN"/>
              </w:rPr>
            </w:pPr>
          </w:p>
        </w:tc>
      </w:tr>
      <w:tr w14:paraId="2691176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9A35400">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3EC1CA86">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B59348D">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4534C8E">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6138DB">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2A5D5E43">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0B2AE669">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C54EABB">
            <w:pPr>
              <w:autoSpaceDE w:val="0"/>
              <w:autoSpaceDN w:val="0"/>
              <w:spacing w:line="240" w:lineRule="auto"/>
              <w:jc w:val="center"/>
              <w:rPr>
                <w:rFonts w:ascii="仿宋" w:hAnsi="仿宋" w:eastAsia="仿宋" w:cs="仿宋"/>
                <w:color w:val="000000"/>
                <w:kern w:val="0"/>
                <w:sz w:val="24"/>
                <w:szCs w:val="24"/>
                <w:lang w:val="zh-CN"/>
              </w:rPr>
            </w:pPr>
          </w:p>
        </w:tc>
      </w:tr>
      <w:tr w14:paraId="5F269E5F">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7B41C857">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5A20A561">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6F033A5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1114652A">
            <w:pPr>
              <w:autoSpaceDE w:val="0"/>
              <w:autoSpaceDN w:val="0"/>
              <w:spacing w:before="190" w:beforeLines="50" w:line="240" w:lineRule="auto"/>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小写：</w:t>
            </w:r>
          </w:p>
          <w:p w14:paraId="1FAA23A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大写：</w:t>
            </w:r>
          </w:p>
          <w:p w14:paraId="54EE4450">
            <w:pPr>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p>
        </w:tc>
      </w:tr>
    </w:tbl>
    <w:p w14:paraId="16FD8DA7">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74504EF4">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1AFDDCFF">
      <w:pPr>
        <w:pStyle w:val="9"/>
        <w:spacing w:after="190"/>
        <w:rPr>
          <w:rFonts w:eastAsia="宋体"/>
          <w:color w:val="000000"/>
        </w:rPr>
      </w:pPr>
    </w:p>
    <w:p w14:paraId="2A698C27">
      <w:pPr>
        <w:widowControl w:val="0"/>
        <w:autoSpaceDE w:val="0"/>
        <w:autoSpaceDN w:val="0"/>
        <w:spacing w:line="240" w:lineRule="auto"/>
        <w:ind w:firstLine="1065" w:firstLineChars="500"/>
        <w:rPr>
          <w:rFonts w:ascii="宋体" w:hAnsi="宋体" w:eastAsia="宋体" w:cs="宋体"/>
          <w:color w:val="000000"/>
          <w:kern w:val="0"/>
          <w:sz w:val="21"/>
          <w:szCs w:val="21"/>
        </w:rPr>
      </w:pPr>
    </w:p>
    <w:p w14:paraId="71722AC3">
      <w:pPr>
        <w:spacing w:line="500" w:lineRule="exact"/>
        <w:ind w:firstLine="566" w:firstLineChars="200"/>
        <w:rPr>
          <w:rFonts w:ascii="仿宋" w:hAnsi="仿宋" w:eastAsia="仿宋" w:cs="Calibri"/>
          <w:b/>
          <w:bCs/>
          <w:color w:val="000000"/>
        </w:rPr>
      </w:pPr>
    </w:p>
    <w:p w14:paraId="4B29338A">
      <w:pPr>
        <w:pStyle w:val="9"/>
        <w:rPr>
          <w:color w:val="000000"/>
        </w:rPr>
      </w:pPr>
    </w:p>
    <w:p w14:paraId="10481BDF">
      <w:pPr>
        <w:pStyle w:val="9"/>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rPr>
        <w:t>（加盖公章）</w:t>
      </w:r>
      <w:r>
        <w:rPr>
          <w:rFonts w:ascii="仿宋" w:hAnsi="仿宋" w:eastAsia="仿宋"/>
          <w:bCs/>
          <w:color w:val="000000"/>
        </w:rPr>
        <w:tab/>
      </w:r>
    </w:p>
    <w:p w14:paraId="79777F7C">
      <w:pPr>
        <w:spacing w:line="500" w:lineRule="exact"/>
        <w:ind w:firstLine="5377" w:firstLineChars="1900"/>
        <w:rPr>
          <w:rFonts w:ascii="宋体" w:hAnsi="宋体"/>
          <w:b/>
          <w:bCs/>
          <w:color w:val="000000"/>
          <w:sz w:val="32"/>
          <w:szCs w:val="32"/>
        </w:rPr>
        <w:sectPr>
          <w:headerReference r:id="rId11" w:type="default"/>
          <w:footerReference r:id="rId12" w:type="default"/>
          <w:type w:val="continuous"/>
          <w:pgSz w:w="11906" w:h="16838"/>
          <w:pgMar w:top="1417" w:right="1417" w:bottom="1417" w:left="1417" w:header="850" w:footer="992" w:gutter="0"/>
          <w:pgNumType w:fmt="decimal"/>
          <w:cols w:space="720" w:num="1"/>
          <w:docGrid w:type="linesAndChars" w:linePitch="381" w:charSpace="704"/>
        </w:sectPr>
      </w:pPr>
      <w:r>
        <w:rPr>
          <w:color w:val="000000"/>
        </w:rPr>
        <w:t>日期：　年　月　</w:t>
      </w:r>
      <w:r>
        <w:rPr>
          <w:rFonts w:hint="eastAsia"/>
          <w:color w:val="000000"/>
        </w:rPr>
        <w:t xml:space="preserve"> 日</w:t>
      </w:r>
    </w:p>
    <w:p w14:paraId="402CD936">
      <w:pPr>
        <w:pStyle w:val="9"/>
        <w:spacing w:line="500" w:lineRule="exact"/>
        <w:ind w:firstLine="5094" w:firstLineChars="1800"/>
        <w:rPr>
          <w:rFonts w:ascii="仿宋" w:hAnsi="仿宋" w:eastAsia="仿宋"/>
          <w:bCs/>
          <w:color w:val="000000"/>
        </w:rPr>
      </w:pPr>
      <w:r>
        <w:rPr>
          <w:rFonts w:hint="eastAsia" w:ascii="仿宋" w:hAnsi="仿宋" w:eastAsia="仿宋" w:cs="仿宋"/>
          <w:color w:val="000000"/>
        </w:rPr>
        <w:br w:type="page"/>
      </w:r>
    </w:p>
    <w:p w14:paraId="071719C9">
      <w:pPr>
        <w:pStyle w:val="35"/>
        <w:ind w:firstLine="609"/>
        <w:jc w:val="both"/>
        <w:outlineLvl w:val="2"/>
        <w:rPr>
          <w:rFonts w:ascii="仿宋" w:hAnsi="仿宋" w:eastAsia="仿宋" w:cs="仿宋"/>
          <w:bCs w:val="0"/>
          <w:color w:val="000000"/>
        </w:rPr>
      </w:pPr>
      <w:bookmarkStart w:id="288" w:name="_Toc19377"/>
      <w:bookmarkStart w:id="289" w:name="_Toc31382"/>
      <w:bookmarkStart w:id="290" w:name="_Toc27738"/>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1" w:name="_Toc20905"/>
      <w:r>
        <w:rPr>
          <w:rFonts w:hint="eastAsia" w:ascii="仿宋" w:hAnsi="仿宋" w:eastAsia="仿宋" w:cs="仿宋"/>
          <w:bCs w:val="0"/>
          <w:color w:val="000000"/>
        </w:rPr>
        <w:t>供应商</w:t>
      </w:r>
      <w:bookmarkEnd w:id="288"/>
      <w:bookmarkEnd w:id="289"/>
      <w:bookmarkEnd w:id="290"/>
      <w:r>
        <w:rPr>
          <w:rFonts w:hint="eastAsia" w:ascii="仿宋" w:hAnsi="仿宋" w:eastAsia="仿宋" w:cs="仿宋"/>
          <w:bCs w:val="0"/>
          <w:color w:val="000000"/>
        </w:rPr>
        <w:t>承诺书</w:t>
      </w:r>
      <w:bookmarkEnd w:id="291"/>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sz w:val="24"/>
              </w:rPr>
            </w:pPr>
            <w:r>
              <w:rPr>
                <w:rFonts w:hint="eastAsia" w:ascii="宋体" w:hAnsi="宋体"/>
                <w:sz w:val="24"/>
              </w:rPr>
              <w:t>投标人</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8"/>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2"/>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“是否完全响应”一栏根据“投标文件响应条款”与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9"/>
        <w:spacing w:line="500" w:lineRule="exact"/>
        <w:rPr>
          <w:rFonts w:ascii="华文仿宋" w:hAnsi="华文仿宋" w:cs="华文仿宋"/>
          <w:color w:val="auto"/>
        </w:rPr>
      </w:pPr>
    </w:p>
    <w:p w14:paraId="1FF89DEB">
      <w:pPr>
        <w:pStyle w:val="9"/>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9"/>
        <w:spacing w:after="190"/>
        <w:rPr>
          <w:color w:val="auto"/>
        </w:rPr>
      </w:pPr>
    </w:p>
    <w:p w14:paraId="442F3DEA">
      <w:pPr>
        <w:pStyle w:val="9"/>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20"/>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20"/>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20"/>
        <w:ind w:firstLine="183"/>
        <w:rPr>
          <w:color w:val="000000"/>
        </w:rPr>
      </w:pPr>
    </w:p>
    <w:p w14:paraId="3E6FD9AD">
      <w:pPr>
        <w:pStyle w:val="35"/>
        <w:ind w:firstLine="0" w:firstLineChars="0"/>
        <w:rPr>
          <w:rFonts w:ascii="黑体" w:hAnsi="黑体" w:eastAsia="黑体"/>
          <w:b w:val="0"/>
          <w:color w:val="000000"/>
        </w:rPr>
      </w:pPr>
      <w:r>
        <w:rPr>
          <w:rFonts w:ascii="黑体" w:hAnsi="黑体" w:eastAsia="黑体"/>
          <w:b w:val="0"/>
          <w:color w:val="000000"/>
        </w:rPr>
        <w:br w:type="page"/>
      </w:r>
      <w:bookmarkStart w:id="292" w:name="_Toc525"/>
      <w:bookmarkStart w:id="293" w:name="_Toc12899"/>
      <w:bookmarkStart w:id="294" w:name="_Toc11295"/>
      <w:bookmarkStart w:id="295" w:name="_Toc15586"/>
      <w:bookmarkStart w:id="296" w:name="_Toc18795"/>
      <w:r>
        <w:rPr>
          <w:rFonts w:hint="eastAsia" w:ascii="黑体" w:hAnsi="黑体" w:eastAsia="黑体"/>
          <w:b w:val="0"/>
          <w:color w:val="000000"/>
          <w:sz w:val="32"/>
          <w:szCs w:val="36"/>
        </w:rPr>
        <w:t>第三部分  响应方案</w:t>
      </w:r>
      <w:bookmarkEnd w:id="292"/>
      <w:bookmarkEnd w:id="293"/>
      <w:bookmarkEnd w:id="294"/>
      <w:bookmarkEnd w:id="295"/>
      <w:bookmarkEnd w:id="296"/>
    </w:p>
    <w:p w14:paraId="397633A1">
      <w:pPr>
        <w:pStyle w:val="35"/>
        <w:ind w:firstLine="609"/>
        <w:jc w:val="both"/>
        <w:outlineLvl w:val="2"/>
        <w:rPr>
          <w:rFonts w:ascii="仿宋" w:hAnsi="仿宋" w:eastAsia="仿宋" w:cs="仿宋"/>
          <w:bCs w:val="0"/>
          <w:color w:val="000000"/>
        </w:rPr>
      </w:pPr>
      <w:bookmarkStart w:id="297" w:name="_Toc11555"/>
      <w:bookmarkStart w:id="298" w:name="_Toc15660_WPSOffice_Level2"/>
      <w:bookmarkStart w:id="299" w:name="_Toc7732"/>
      <w:bookmarkStart w:id="300" w:name="_Toc17621"/>
      <w:bookmarkStart w:id="301" w:name="_Toc28702"/>
      <w:bookmarkStart w:id="302" w:name="_Toc7989"/>
      <w:bookmarkStart w:id="303" w:name="_Toc17062_WPSOffice_Level2"/>
      <w:bookmarkStart w:id="304" w:name="_Toc24887"/>
      <w:bookmarkStart w:id="305" w:name="_Toc9079"/>
      <w:bookmarkStart w:id="306" w:name="_Toc29975_WPSOffice_Level2"/>
      <w:bookmarkStart w:id="307" w:name="_Toc9337_WPSOffice_Level2"/>
      <w:r>
        <w:rPr>
          <w:rFonts w:hint="eastAsia" w:ascii="仿宋" w:hAnsi="仿宋" w:eastAsia="仿宋" w:cs="仿宋"/>
          <w:bCs w:val="0"/>
          <w:color w:val="000000"/>
        </w:rPr>
        <w:t>一、供应商概况</w:t>
      </w:r>
      <w:bookmarkEnd w:id="297"/>
      <w:bookmarkEnd w:id="298"/>
      <w:bookmarkEnd w:id="299"/>
      <w:bookmarkEnd w:id="300"/>
      <w:bookmarkEnd w:id="301"/>
      <w:bookmarkEnd w:id="302"/>
      <w:bookmarkEnd w:id="303"/>
      <w:bookmarkEnd w:id="304"/>
      <w:bookmarkEnd w:id="305"/>
      <w:bookmarkEnd w:id="306"/>
      <w:bookmarkEnd w:id="307"/>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5"/>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2"/>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734"/>
        <w:gridCol w:w="1699"/>
        <w:gridCol w:w="2554"/>
        <w:gridCol w:w="1981"/>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810"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4"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699"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4"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1"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810" w:type="dxa"/>
            <w:vAlign w:val="center"/>
          </w:tcPr>
          <w:p w14:paraId="714439F4">
            <w:pPr>
              <w:widowControl w:val="0"/>
              <w:spacing w:line="440" w:lineRule="exact"/>
              <w:jc w:val="center"/>
              <w:rPr>
                <w:rFonts w:ascii="仿宋" w:hAnsi="仿宋" w:eastAsia="仿宋" w:cs="仿宋"/>
                <w:color w:val="000000"/>
                <w:sz w:val="24"/>
                <w:szCs w:val="24"/>
              </w:rPr>
            </w:pPr>
          </w:p>
        </w:tc>
        <w:tc>
          <w:tcPr>
            <w:tcW w:w="1734" w:type="dxa"/>
            <w:vAlign w:val="center"/>
          </w:tcPr>
          <w:p w14:paraId="3E49B678">
            <w:pPr>
              <w:widowControl w:val="0"/>
              <w:spacing w:line="440" w:lineRule="exact"/>
              <w:jc w:val="center"/>
              <w:rPr>
                <w:rFonts w:ascii="仿宋" w:hAnsi="仿宋" w:eastAsia="仿宋" w:cs="仿宋"/>
                <w:color w:val="000000"/>
                <w:sz w:val="24"/>
                <w:szCs w:val="24"/>
              </w:rPr>
            </w:pPr>
          </w:p>
        </w:tc>
        <w:tc>
          <w:tcPr>
            <w:tcW w:w="1699" w:type="dxa"/>
            <w:vAlign w:val="center"/>
          </w:tcPr>
          <w:p w14:paraId="65A9940E">
            <w:pPr>
              <w:widowControl w:val="0"/>
              <w:spacing w:line="440" w:lineRule="exact"/>
              <w:jc w:val="center"/>
              <w:rPr>
                <w:rFonts w:ascii="仿宋" w:hAnsi="仿宋" w:eastAsia="仿宋" w:cs="仿宋"/>
                <w:color w:val="000000"/>
                <w:sz w:val="24"/>
                <w:szCs w:val="24"/>
              </w:rPr>
            </w:pPr>
          </w:p>
        </w:tc>
        <w:tc>
          <w:tcPr>
            <w:tcW w:w="2554" w:type="dxa"/>
            <w:vAlign w:val="center"/>
          </w:tcPr>
          <w:p w14:paraId="4BFB165C">
            <w:pPr>
              <w:widowControl w:val="0"/>
              <w:spacing w:line="440" w:lineRule="exact"/>
              <w:jc w:val="center"/>
              <w:rPr>
                <w:rFonts w:ascii="仿宋" w:hAnsi="仿宋" w:eastAsia="仿宋" w:cs="仿宋"/>
                <w:color w:val="000000"/>
                <w:sz w:val="24"/>
                <w:szCs w:val="24"/>
              </w:rPr>
            </w:pPr>
          </w:p>
        </w:tc>
        <w:tc>
          <w:tcPr>
            <w:tcW w:w="1981"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810"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4" w:type="dxa"/>
            <w:vAlign w:val="center"/>
          </w:tcPr>
          <w:p w14:paraId="4FBEE8CB">
            <w:pPr>
              <w:widowControl w:val="0"/>
              <w:spacing w:line="440" w:lineRule="exact"/>
              <w:jc w:val="center"/>
              <w:rPr>
                <w:rFonts w:ascii="仿宋" w:hAnsi="仿宋" w:eastAsia="仿宋" w:cs="仿宋"/>
                <w:color w:val="000000"/>
                <w:sz w:val="24"/>
                <w:szCs w:val="24"/>
              </w:rPr>
            </w:pPr>
          </w:p>
        </w:tc>
        <w:tc>
          <w:tcPr>
            <w:tcW w:w="1699" w:type="dxa"/>
            <w:vAlign w:val="center"/>
          </w:tcPr>
          <w:p w14:paraId="579CBCEC">
            <w:pPr>
              <w:widowControl w:val="0"/>
              <w:spacing w:line="440" w:lineRule="exact"/>
              <w:jc w:val="center"/>
              <w:rPr>
                <w:rFonts w:ascii="仿宋" w:hAnsi="仿宋" w:eastAsia="仿宋" w:cs="仿宋"/>
                <w:color w:val="000000"/>
                <w:sz w:val="24"/>
                <w:szCs w:val="24"/>
              </w:rPr>
            </w:pPr>
          </w:p>
        </w:tc>
        <w:tc>
          <w:tcPr>
            <w:tcW w:w="2554" w:type="dxa"/>
            <w:vAlign w:val="center"/>
          </w:tcPr>
          <w:p w14:paraId="3FD16933">
            <w:pPr>
              <w:widowControl w:val="0"/>
              <w:spacing w:line="440" w:lineRule="exact"/>
              <w:jc w:val="center"/>
              <w:rPr>
                <w:rFonts w:ascii="仿宋" w:hAnsi="仿宋" w:eastAsia="仿宋" w:cs="仿宋"/>
                <w:color w:val="000000"/>
                <w:sz w:val="24"/>
                <w:szCs w:val="24"/>
              </w:rPr>
            </w:pPr>
          </w:p>
        </w:tc>
        <w:tc>
          <w:tcPr>
            <w:tcW w:w="1981"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778"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0F8A8B1E">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auto"/>
          <w:sz w:val="24"/>
        </w:rPr>
        <w:t>需提供完整业绩合同</w:t>
      </w:r>
      <w:r>
        <w:rPr>
          <w:rFonts w:hint="eastAsia" w:ascii="仿宋" w:hAnsi="仿宋" w:eastAsia="仿宋" w:cs="仿宋"/>
          <w:color w:val="auto"/>
          <w:sz w:val="24"/>
          <w:lang w:eastAsia="zh-CN"/>
        </w:rPr>
        <w:t>及对应发票</w:t>
      </w:r>
      <w:r>
        <w:rPr>
          <w:rFonts w:hint="eastAsia" w:ascii="仿宋" w:hAnsi="仿宋" w:eastAsia="仿宋" w:cs="仿宋"/>
          <w:color w:val="auto"/>
          <w:sz w:val="24"/>
        </w:rPr>
        <w:t>复印件</w:t>
      </w:r>
      <w:r>
        <w:rPr>
          <w:rFonts w:hint="eastAsia" w:ascii="仿宋" w:hAnsi="仿宋" w:eastAsia="仿宋" w:cs="仿宋"/>
          <w:color w:val="auto"/>
          <w:sz w:val="24"/>
          <w:lang w:eastAsia="zh-CN"/>
        </w:rPr>
        <w:t>（发票可提供服务期内任意一张），并加盖供应商公章，以上两种证明材料同时提供方可得分，否则</w:t>
      </w:r>
      <w:r>
        <w:rPr>
          <w:rFonts w:hint="eastAsia" w:ascii="仿宋" w:hAnsi="仿宋" w:eastAsia="仿宋" w:cs="仿宋"/>
          <w:color w:val="auto"/>
          <w:sz w:val="24"/>
        </w:rPr>
        <w:t>不得分</w:t>
      </w:r>
      <w:r>
        <w:rPr>
          <w:rFonts w:hint="eastAsia" w:ascii="仿宋" w:hAnsi="仿宋" w:eastAsia="仿宋" w:cs="仿宋"/>
          <w:color w:val="000000"/>
          <w:sz w:val="24"/>
          <w:szCs w:val="24"/>
          <w:highlight w:val="none"/>
        </w:rPr>
        <w:t>。</w:t>
      </w:r>
    </w:p>
    <w:p w14:paraId="47E86B8D">
      <w:pPr>
        <w:keepNext w:val="0"/>
        <w:keepLines w:val="0"/>
        <w:pageBreakBefore w:val="0"/>
        <w:widowControl/>
        <w:tabs>
          <w:tab w:val="right" w:pos="9070"/>
        </w:tabs>
        <w:kinsoku/>
        <w:wordWrap/>
        <w:overflowPunct/>
        <w:topLinePunct w:val="0"/>
        <w:autoSpaceDE/>
        <w:autoSpaceDN/>
        <w:bidi w:val="0"/>
        <w:adjustRightInd/>
        <w:snapToGrid w:val="0"/>
        <w:spacing w:line="480" w:lineRule="exact"/>
        <w:ind w:left="566" w:leftChars="200"/>
        <w:textAlignment w:val="auto"/>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keepNext w:val="0"/>
        <w:keepLines w:val="0"/>
        <w:pageBreakBefore w:val="0"/>
        <w:widowControl/>
        <w:tabs>
          <w:tab w:val="right" w:pos="9070"/>
        </w:tabs>
        <w:kinsoku/>
        <w:wordWrap/>
        <w:overflowPunct/>
        <w:topLinePunct w:val="0"/>
        <w:autoSpaceDE/>
        <w:autoSpaceDN/>
        <w:bidi w:val="0"/>
        <w:adjustRightInd/>
        <w:spacing w:line="480" w:lineRule="exact"/>
        <w:ind w:firstLine="566" w:firstLineChars="200"/>
        <w:textAlignment w:val="auto"/>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keepNext w:val="0"/>
        <w:keepLines w:val="0"/>
        <w:pageBreakBefore w:val="0"/>
        <w:widowControl/>
        <w:tabs>
          <w:tab w:val="right" w:pos="9070"/>
        </w:tabs>
        <w:kinsoku/>
        <w:wordWrap/>
        <w:overflowPunct/>
        <w:topLinePunct w:val="0"/>
        <w:autoSpaceDE/>
        <w:autoSpaceDN/>
        <w:bidi w:val="0"/>
        <w:adjustRightInd/>
        <w:spacing w:line="480" w:lineRule="exact"/>
        <w:ind w:firstLine="566" w:firstLineChars="200"/>
        <w:textAlignment w:val="auto"/>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keepNext w:val="0"/>
        <w:keepLines w:val="0"/>
        <w:pageBreakBefore w:val="0"/>
        <w:widowControl/>
        <w:tabs>
          <w:tab w:val="right" w:pos="9070"/>
        </w:tabs>
        <w:kinsoku/>
        <w:wordWrap/>
        <w:overflowPunct/>
        <w:topLinePunct w:val="0"/>
        <w:autoSpaceDE/>
        <w:autoSpaceDN/>
        <w:bidi w:val="0"/>
        <w:adjustRightInd/>
        <w:spacing w:line="480" w:lineRule="exact"/>
        <w:ind w:firstLine="566" w:firstLineChars="200"/>
        <w:textAlignment w:val="auto"/>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2"/>
        <w:tblW w:w="91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
        <w:gridCol w:w="987"/>
        <w:gridCol w:w="1284"/>
        <w:gridCol w:w="24"/>
        <w:gridCol w:w="1389"/>
        <w:gridCol w:w="18"/>
        <w:gridCol w:w="5"/>
        <w:gridCol w:w="1612"/>
        <w:gridCol w:w="1774"/>
        <w:gridCol w:w="42"/>
        <w:gridCol w:w="1078"/>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120"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87"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413"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35"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74"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120"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87" w:type="dxa"/>
            <w:tcBorders>
              <w:left w:val="single" w:color="auto" w:sz="6" w:space="0"/>
            </w:tcBorders>
            <w:vAlign w:val="center"/>
          </w:tcPr>
          <w:p w14:paraId="68DC3640">
            <w:pPr>
              <w:rPr>
                <w:rFonts w:ascii="仿宋" w:hAnsi="仿宋" w:eastAsia="仿宋" w:cs="仿宋"/>
                <w:color w:val="000000"/>
                <w:sz w:val="24"/>
                <w:szCs w:val="24"/>
              </w:rPr>
            </w:pPr>
          </w:p>
        </w:tc>
        <w:tc>
          <w:tcPr>
            <w:tcW w:w="1284" w:type="dxa"/>
            <w:vAlign w:val="center"/>
          </w:tcPr>
          <w:p w14:paraId="7AAA17D2">
            <w:pPr>
              <w:rPr>
                <w:rFonts w:ascii="仿宋" w:hAnsi="仿宋" w:eastAsia="仿宋" w:cs="仿宋"/>
                <w:color w:val="000000"/>
                <w:sz w:val="24"/>
                <w:szCs w:val="24"/>
              </w:rPr>
            </w:pPr>
          </w:p>
        </w:tc>
        <w:tc>
          <w:tcPr>
            <w:tcW w:w="1413" w:type="dxa"/>
            <w:gridSpan w:val="2"/>
            <w:vAlign w:val="center"/>
          </w:tcPr>
          <w:p w14:paraId="2222E8D0">
            <w:pPr>
              <w:rPr>
                <w:rFonts w:ascii="仿宋" w:hAnsi="仿宋" w:eastAsia="仿宋" w:cs="仿宋"/>
                <w:color w:val="000000"/>
                <w:sz w:val="24"/>
                <w:szCs w:val="24"/>
              </w:rPr>
            </w:pPr>
          </w:p>
        </w:tc>
        <w:tc>
          <w:tcPr>
            <w:tcW w:w="1635" w:type="dxa"/>
            <w:gridSpan w:val="3"/>
            <w:vAlign w:val="center"/>
          </w:tcPr>
          <w:p w14:paraId="1D04E1E1">
            <w:pPr>
              <w:rPr>
                <w:rFonts w:ascii="仿宋" w:hAnsi="仿宋" w:eastAsia="仿宋" w:cs="仿宋"/>
                <w:color w:val="000000"/>
                <w:sz w:val="24"/>
                <w:szCs w:val="24"/>
              </w:rPr>
            </w:pPr>
          </w:p>
        </w:tc>
        <w:tc>
          <w:tcPr>
            <w:tcW w:w="1774" w:type="dxa"/>
            <w:tcBorders>
              <w:right w:val="single" w:color="auto" w:sz="2" w:space="0"/>
            </w:tcBorders>
            <w:vAlign w:val="center"/>
          </w:tcPr>
          <w:p w14:paraId="3AEACC29">
            <w:pPr>
              <w:rPr>
                <w:rFonts w:ascii="仿宋" w:hAnsi="仿宋" w:eastAsia="仿宋" w:cs="仿宋"/>
                <w:color w:val="000000"/>
                <w:sz w:val="24"/>
                <w:szCs w:val="24"/>
              </w:rPr>
            </w:pPr>
          </w:p>
        </w:tc>
        <w:tc>
          <w:tcPr>
            <w:tcW w:w="1120"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87" w:type="dxa"/>
            <w:tcBorders>
              <w:left w:val="single" w:color="auto" w:sz="6" w:space="0"/>
            </w:tcBorders>
            <w:vAlign w:val="center"/>
          </w:tcPr>
          <w:p w14:paraId="1563AF4D">
            <w:pPr>
              <w:rPr>
                <w:rFonts w:ascii="仿宋" w:hAnsi="仿宋" w:eastAsia="仿宋" w:cs="仿宋"/>
                <w:color w:val="000000"/>
                <w:sz w:val="24"/>
                <w:szCs w:val="24"/>
              </w:rPr>
            </w:pPr>
          </w:p>
        </w:tc>
        <w:tc>
          <w:tcPr>
            <w:tcW w:w="1284" w:type="dxa"/>
            <w:vAlign w:val="center"/>
          </w:tcPr>
          <w:p w14:paraId="5EB2FE43">
            <w:pPr>
              <w:rPr>
                <w:rFonts w:ascii="仿宋" w:hAnsi="仿宋" w:eastAsia="仿宋" w:cs="仿宋"/>
                <w:color w:val="000000"/>
                <w:sz w:val="24"/>
                <w:szCs w:val="24"/>
              </w:rPr>
            </w:pPr>
          </w:p>
        </w:tc>
        <w:tc>
          <w:tcPr>
            <w:tcW w:w="1413" w:type="dxa"/>
            <w:gridSpan w:val="2"/>
            <w:vAlign w:val="center"/>
          </w:tcPr>
          <w:p w14:paraId="01A1A9C8">
            <w:pPr>
              <w:rPr>
                <w:rFonts w:ascii="仿宋" w:hAnsi="仿宋" w:eastAsia="仿宋" w:cs="仿宋"/>
                <w:color w:val="000000"/>
                <w:sz w:val="24"/>
                <w:szCs w:val="24"/>
              </w:rPr>
            </w:pPr>
          </w:p>
        </w:tc>
        <w:tc>
          <w:tcPr>
            <w:tcW w:w="1635" w:type="dxa"/>
            <w:gridSpan w:val="3"/>
            <w:vAlign w:val="center"/>
          </w:tcPr>
          <w:p w14:paraId="3D1C9352">
            <w:pPr>
              <w:rPr>
                <w:rFonts w:ascii="仿宋" w:hAnsi="仿宋" w:eastAsia="仿宋" w:cs="仿宋"/>
                <w:color w:val="000000"/>
                <w:sz w:val="24"/>
                <w:szCs w:val="24"/>
              </w:rPr>
            </w:pPr>
          </w:p>
        </w:tc>
        <w:tc>
          <w:tcPr>
            <w:tcW w:w="1774" w:type="dxa"/>
            <w:tcBorders>
              <w:right w:val="single" w:color="auto" w:sz="2" w:space="0"/>
            </w:tcBorders>
            <w:vAlign w:val="center"/>
          </w:tcPr>
          <w:p w14:paraId="3380C4F3">
            <w:pPr>
              <w:rPr>
                <w:rFonts w:ascii="仿宋" w:hAnsi="仿宋" w:eastAsia="仿宋" w:cs="仿宋"/>
                <w:color w:val="000000"/>
                <w:sz w:val="24"/>
                <w:szCs w:val="24"/>
              </w:rPr>
            </w:pPr>
          </w:p>
        </w:tc>
        <w:tc>
          <w:tcPr>
            <w:tcW w:w="1120"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87" w:type="dxa"/>
            <w:tcBorders>
              <w:left w:val="single" w:color="auto" w:sz="6" w:space="0"/>
            </w:tcBorders>
            <w:vAlign w:val="center"/>
          </w:tcPr>
          <w:p w14:paraId="6072B424">
            <w:pPr>
              <w:rPr>
                <w:rFonts w:ascii="仿宋" w:hAnsi="仿宋" w:eastAsia="仿宋" w:cs="仿宋"/>
                <w:color w:val="000000"/>
                <w:sz w:val="24"/>
                <w:szCs w:val="24"/>
              </w:rPr>
            </w:pPr>
          </w:p>
        </w:tc>
        <w:tc>
          <w:tcPr>
            <w:tcW w:w="1284" w:type="dxa"/>
            <w:vAlign w:val="center"/>
          </w:tcPr>
          <w:p w14:paraId="36E02D79">
            <w:pPr>
              <w:rPr>
                <w:rFonts w:ascii="仿宋" w:hAnsi="仿宋" w:eastAsia="仿宋" w:cs="仿宋"/>
                <w:color w:val="000000"/>
                <w:sz w:val="24"/>
                <w:szCs w:val="24"/>
              </w:rPr>
            </w:pPr>
          </w:p>
        </w:tc>
        <w:tc>
          <w:tcPr>
            <w:tcW w:w="1413" w:type="dxa"/>
            <w:gridSpan w:val="2"/>
            <w:vAlign w:val="center"/>
          </w:tcPr>
          <w:p w14:paraId="59DBA56A">
            <w:pPr>
              <w:rPr>
                <w:rFonts w:ascii="仿宋" w:hAnsi="仿宋" w:eastAsia="仿宋" w:cs="仿宋"/>
                <w:color w:val="000000"/>
                <w:sz w:val="24"/>
                <w:szCs w:val="24"/>
              </w:rPr>
            </w:pPr>
          </w:p>
        </w:tc>
        <w:tc>
          <w:tcPr>
            <w:tcW w:w="1635" w:type="dxa"/>
            <w:gridSpan w:val="3"/>
            <w:vAlign w:val="center"/>
          </w:tcPr>
          <w:p w14:paraId="62F8F60C">
            <w:pPr>
              <w:rPr>
                <w:rFonts w:ascii="仿宋" w:hAnsi="仿宋" w:eastAsia="仿宋" w:cs="仿宋"/>
                <w:color w:val="000000"/>
                <w:sz w:val="24"/>
                <w:szCs w:val="24"/>
              </w:rPr>
            </w:pPr>
          </w:p>
        </w:tc>
        <w:tc>
          <w:tcPr>
            <w:tcW w:w="1774" w:type="dxa"/>
            <w:tcBorders>
              <w:right w:val="single" w:color="auto" w:sz="2" w:space="0"/>
            </w:tcBorders>
            <w:vAlign w:val="center"/>
          </w:tcPr>
          <w:p w14:paraId="59515329">
            <w:pPr>
              <w:rPr>
                <w:rFonts w:ascii="仿宋" w:hAnsi="仿宋" w:eastAsia="仿宋" w:cs="仿宋"/>
                <w:color w:val="000000"/>
                <w:sz w:val="24"/>
                <w:szCs w:val="24"/>
              </w:rPr>
            </w:pPr>
          </w:p>
        </w:tc>
        <w:tc>
          <w:tcPr>
            <w:tcW w:w="1120"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120"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87"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31"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1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816"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78"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87" w:type="dxa"/>
            <w:tcBorders>
              <w:left w:val="single" w:color="auto" w:sz="6" w:space="0"/>
            </w:tcBorders>
            <w:vAlign w:val="center"/>
          </w:tcPr>
          <w:p w14:paraId="7EA71054">
            <w:pPr>
              <w:rPr>
                <w:rFonts w:ascii="仿宋" w:hAnsi="仿宋" w:eastAsia="仿宋" w:cs="仿宋"/>
                <w:color w:val="000000"/>
                <w:sz w:val="24"/>
                <w:szCs w:val="24"/>
              </w:rPr>
            </w:pPr>
          </w:p>
        </w:tc>
        <w:tc>
          <w:tcPr>
            <w:tcW w:w="1284" w:type="dxa"/>
            <w:vAlign w:val="center"/>
          </w:tcPr>
          <w:p w14:paraId="55C4ED7B">
            <w:pPr>
              <w:rPr>
                <w:rFonts w:ascii="仿宋" w:hAnsi="仿宋" w:eastAsia="仿宋" w:cs="仿宋"/>
                <w:color w:val="000000"/>
                <w:sz w:val="24"/>
                <w:szCs w:val="24"/>
              </w:rPr>
            </w:pPr>
          </w:p>
        </w:tc>
        <w:tc>
          <w:tcPr>
            <w:tcW w:w="1431" w:type="dxa"/>
            <w:gridSpan w:val="3"/>
            <w:vAlign w:val="center"/>
          </w:tcPr>
          <w:p w14:paraId="7D3488AB">
            <w:pPr>
              <w:rPr>
                <w:rFonts w:ascii="仿宋" w:hAnsi="仿宋" w:eastAsia="仿宋" w:cs="仿宋"/>
                <w:color w:val="000000"/>
                <w:sz w:val="24"/>
                <w:szCs w:val="24"/>
              </w:rPr>
            </w:pPr>
          </w:p>
        </w:tc>
        <w:tc>
          <w:tcPr>
            <w:tcW w:w="1617" w:type="dxa"/>
            <w:gridSpan w:val="2"/>
            <w:vAlign w:val="center"/>
          </w:tcPr>
          <w:p w14:paraId="2C29CA64">
            <w:pPr>
              <w:rPr>
                <w:rFonts w:ascii="仿宋" w:hAnsi="仿宋" w:eastAsia="仿宋" w:cs="仿宋"/>
                <w:color w:val="000000"/>
                <w:sz w:val="24"/>
                <w:szCs w:val="24"/>
              </w:rPr>
            </w:pPr>
          </w:p>
        </w:tc>
        <w:tc>
          <w:tcPr>
            <w:tcW w:w="1816" w:type="dxa"/>
            <w:gridSpan w:val="2"/>
            <w:vAlign w:val="center"/>
          </w:tcPr>
          <w:p w14:paraId="52FF641C">
            <w:pPr>
              <w:rPr>
                <w:rFonts w:ascii="仿宋" w:hAnsi="仿宋" w:eastAsia="仿宋" w:cs="仿宋"/>
                <w:color w:val="000000"/>
                <w:sz w:val="24"/>
                <w:szCs w:val="24"/>
              </w:rPr>
            </w:pPr>
          </w:p>
        </w:tc>
        <w:tc>
          <w:tcPr>
            <w:tcW w:w="1078"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87" w:type="dxa"/>
            <w:tcBorders>
              <w:left w:val="single" w:color="auto" w:sz="6" w:space="0"/>
            </w:tcBorders>
            <w:vAlign w:val="center"/>
          </w:tcPr>
          <w:p w14:paraId="3594A22E">
            <w:pPr>
              <w:rPr>
                <w:rFonts w:ascii="仿宋" w:hAnsi="仿宋" w:eastAsia="仿宋" w:cs="仿宋"/>
                <w:color w:val="000000"/>
                <w:sz w:val="24"/>
                <w:szCs w:val="24"/>
              </w:rPr>
            </w:pPr>
          </w:p>
        </w:tc>
        <w:tc>
          <w:tcPr>
            <w:tcW w:w="1284" w:type="dxa"/>
            <w:vAlign w:val="center"/>
          </w:tcPr>
          <w:p w14:paraId="7795BE4E">
            <w:pPr>
              <w:rPr>
                <w:rFonts w:ascii="仿宋" w:hAnsi="仿宋" w:eastAsia="仿宋" w:cs="仿宋"/>
                <w:color w:val="000000"/>
                <w:sz w:val="24"/>
                <w:szCs w:val="24"/>
              </w:rPr>
            </w:pPr>
          </w:p>
        </w:tc>
        <w:tc>
          <w:tcPr>
            <w:tcW w:w="1431" w:type="dxa"/>
            <w:gridSpan w:val="3"/>
            <w:vAlign w:val="center"/>
          </w:tcPr>
          <w:p w14:paraId="3CA40067">
            <w:pPr>
              <w:rPr>
                <w:rFonts w:ascii="仿宋" w:hAnsi="仿宋" w:eastAsia="仿宋" w:cs="仿宋"/>
                <w:color w:val="000000"/>
                <w:sz w:val="24"/>
                <w:szCs w:val="24"/>
              </w:rPr>
            </w:pPr>
          </w:p>
        </w:tc>
        <w:tc>
          <w:tcPr>
            <w:tcW w:w="1617" w:type="dxa"/>
            <w:gridSpan w:val="2"/>
            <w:vAlign w:val="center"/>
          </w:tcPr>
          <w:p w14:paraId="2683B27D">
            <w:pPr>
              <w:rPr>
                <w:rFonts w:ascii="仿宋" w:hAnsi="仿宋" w:eastAsia="仿宋" w:cs="仿宋"/>
                <w:color w:val="000000"/>
                <w:sz w:val="24"/>
                <w:szCs w:val="24"/>
              </w:rPr>
            </w:pPr>
          </w:p>
        </w:tc>
        <w:tc>
          <w:tcPr>
            <w:tcW w:w="1816" w:type="dxa"/>
            <w:gridSpan w:val="2"/>
            <w:vAlign w:val="center"/>
          </w:tcPr>
          <w:p w14:paraId="74FCDFB6">
            <w:pPr>
              <w:rPr>
                <w:rFonts w:ascii="仿宋" w:hAnsi="仿宋" w:eastAsia="仿宋" w:cs="仿宋"/>
                <w:color w:val="000000"/>
                <w:sz w:val="24"/>
                <w:szCs w:val="24"/>
              </w:rPr>
            </w:pPr>
          </w:p>
        </w:tc>
        <w:tc>
          <w:tcPr>
            <w:tcW w:w="1078"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87" w:type="dxa"/>
            <w:tcBorders>
              <w:left w:val="single" w:color="auto" w:sz="6" w:space="0"/>
            </w:tcBorders>
            <w:vAlign w:val="center"/>
          </w:tcPr>
          <w:p w14:paraId="079EA8AE">
            <w:pPr>
              <w:rPr>
                <w:rFonts w:ascii="仿宋" w:hAnsi="仿宋" w:eastAsia="仿宋" w:cs="仿宋"/>
                <w:color w:val="000000"/>
                <w:sz w:val="24"/>
                <w:szCs w:val="24"/>
              </w:rPr>
            </w:pPr>
          </w:p>
        </w:tc>
        <w:tc>
          <w:tcPr>
            <w:tcW w:w="1284" w:type="dxa"/>
            <w:vAlign w:val="center"/>
          </w:tcPr>
          <w:p w14:paraId="6F22256A">
            <w:pPr>
              <w:rPr>
                <w:rFonts w:ascii="仿宋" w:hAnsi="仿宋" w:eastAsia="仿宋" w:cs="仿宋"/>
                <w:color w:val="000000"/>
                <w:sz w:val="24"/>
                <w:szCs w:val="24"/>
              </w:rPr>
            </w:pPr>
          </w:p>
        </w:tc>
        <w:tc>
          <w:tcPr>
            <w:tcW w:w="1431" w:type="dxa"/>
            <w:gridSpan w:val="3"/>
            <w:vAlign w:val="center"/>
          </w:tcPr>
          <w:p w14:paraId="3925C45F">
            <w:pPr>
              <w:rPr>
                <w:rFonts w:ascii="仿宋" w:hAnsi="仿宋" w:eastAsia="仿宋" w:cs="仿宋"/>
                <w:color w:val="000000"/>
                <w:sz w:val="24"/>
                <w:szCs w:val="24"/>
              </w:rPr>
            </w:pPr>
          </w:p>
        </w:tc>
        <w:tc>
          <w:tcPr>
            <w:tcW w:w="1617" w:type="dxa"/>
            <w:gridSpan w:val="2"/>
            <w:vAlign w:val="center"/>
          </w:tcPr>
          <w:p w14:paraId="157629CD">
            <w:pPr>
              <w:rPr>
                <w:rFonts w:ascii="仿宋" w:hAnsi="仿宋" w:eastAsia="仿宋" w:cs="仿宋"/>
                <w:color w:val="000000"/>
                <w:sz w:val="24"/>
                <w:szCs w:val="24"/>
              </w:rPr>
            </w:pPr>
          </w:p>
        </w:tc>
        <w:tc>
          <w:tcPr>
            <w:tcW w:w="1816" w:type="dxa"/>
            <w:gridSpan w:val="2"/>
            <w:vAlign w:val="center"/>
          </w:tcPr>
          <w:p w14:paraId="69CC7161">
            <w:pPr>
              <w:rPr>
                <w:rFonts w:ascii="仿宋" w:hAnsi="仿宋" w:eastAsia="仿宋" w:cs="仿宋"/>
                <w:color w:val="000000"/>
                <w:sz w:val="24"/>
                <w:szCs w:val="24"/>
              </w:rPr>
            </w:pPr>
          </w:p>
        </w:tc>
        <w:tc>
          <w:tcPr>
            <w:tcW w:w="1078"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120"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87"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308"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412"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612"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816"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78"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87" w:type="dxa"/>
            <w:tcBorders>
              <w:left w:val="single" w:color="auto" w:sz="6" w:space="0"/>
            </w:tcBorders>
            <w:vAlign w:val="center"/>
          </w:tcPr>
          <w:p w14:paraId="5977E0E5">
            <w:pPr>
              <w:rPr>
                <w:rFonts w:ascii="仿宋" w:hAnsi="仿宋" w:eastAsia="仿宋" w:cs="仿宋"/>
                <w:color w:val="000000"/>
                <w:sz w:val="24"/>
                <w:szCs w:val="24"/>
              </w:rPr>
            </w:pPr>
          </w:p>
        </w:tc>
        <w:tc>
          <w:tcPr>
            <w:tcW w:w="1308"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412"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612" w:type="dxa"/>
            <w:vAlign w:val="center"/>
          </w:tcPr>
          <w:p w14:paraId="3CBE5823">
            <w:pPr>
              <w:rPr>
                <w:rFonts w:ascii="仿宋" w:hAnsi="仿宋" w:eastAsia="仿宋" w:cs="仿宋"/>
                <w:color w:val="000000"/>
                <w:sz w:val="24"/>
                <w:szCs w:val="24"/>
              </w:rPr>
            </w:pPr>
          </w:p>
        </w:tc>
        <w:tc>
          <w:tcPr>
            <w:tcW w:w="1816" w:type="dxa"/>
            <w:gridSpan w:val="2"/>
            <w:vAlign w:val="center"/>
          </w:tcPr>
          <w:p w14:paraId="29A4C64E">
            <w:pPr>
              <w:rPr>
                <w:rFonts w:ascii="仿宋" w:hAnsi="仿宋" w:eastAsia="仿宋" w:cs="仿宋"/>
                <w:color w:val="000000"/>
                <w:sz w:val="24"/>
                <w:szCs w:val="24"/>
              </w:rPr>
            </w:pPr>
          </w:p>
        </w:tc>
        <w:tc>
          <w:tcPr>
            <w:tcW w:w="1078"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87" w:type="dxa"/>
            <w:tcBorders>
              <w:left w:val="single" w:color="auto" w:sz="6" w:space="0"/>
            </w:tcBorders>
            <w:vAlign w:val="center"/>
          </w:tcPr>
          <w:p w14:paraId="28E9562A">
            <w:pPr>
              <w:rPr>
                <w:rFonts w:ascii="仿宋" w:hAnsi="仿宋" w:eastAsia="仿宋" w:cs="仿宋"/>
                <w:color w:val="000000"/>
                <w:sz w:val="24"/>
                <w:szCs w:val="24"/>
              </w:rPr>
            </w:pPr>
          </w:p>
        </w:tc>
        <w:tc>
          <w:tcPr>
            <w:tcW w:w="1308"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412"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612" w:type="dxa"/>
            <w:vAlign w:val="center"/>
          </w:tcPr>
          <w:p w14:paraId="0097413F">
            <w:pPr>
              <w:rPr>
                <w:rFonts w:ascii="仿宋" w:hAnsi="仿宋" w:eastAsia="仿宋" w:cs="仿宋"/>
                <w:color w:val="000000"/>
                <w:sz w:val="24"/>
                <w:szCs w:val="24"/>
              </w:rPr>
            </w:pPr>
          </w:p>
        </w:tc>
        <w:tc>
          <w:tcPr>
            <w:tcW w:w="1816" w:type="dxa"/>
            <w:gridSpan w:val="2"/>
            <w:vAlign w:val="center"/>
          </w:tcPr>
          <w:p w14:paraId="38274F71">
            <w:pPr>
              <w:rPr>
                <w:rFonts w:ascii="仿宋" w:hAnsi="仿宋" w:eastAsia="仿宋" w:cs="仿宋"/>
                <w:color w:val="000000"/>
                <w:sz w:val="24"/>
                <w:szCs w:val="24"/>
              </w:rPr>
            </w:pPr>
          </w:p>
        </w:tc>
        <w:tc>
          <w:tcPr>
            <w:tcW w:w="1078"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87" w:type="dxa"/>
            <w:tcBorders>
              <w:left w:val="single" w:color="auto" w:sz="6" w:space="0"/>
            </w:tcBorders>
            <w:vAlign w:val="center"/>
          </w:tcPr>
          <w:p w14:paraId="7EB13FFA">
            <w:pPr>
              <w:rPr>
                <w:rFonts w:ascii="仿宋" w:hAnsi="仿宋" w:eastAsia="仿宋" w:cs="仿宋"/>
                <w:color w:val="000000"/>
                <w:sz w:val="24"/>
                <w:szCs w:val="24"/>
              </w:rPr>
            </w:pPr>
          </w:p>
        </w:tc>
        <w:tc>
          <w:tcPr>
            <w:tcW w:w="1308"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412"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612" w:type="dxa"/>
            <w:vAlign w:val="center"/>
          </w:tcPr>
          <w:p w14:paraId="172E1B72">
            <w:pPr>
              <w:rPr>
                <w:rFonts w:ascii="仿宋" w:hAnsi="仿宋" w:eastAsia="仿宋" w:cs="仿宋"/>
                <w:color w:val="000000"/>
                <w:sz w:val="24"/>
                <w:szCs w:val="24"/>
              </w:rPr>
            </w:pPr>
          </w:p>
        </w:tc>
        <w:tc>
          <w:tcPr>
            <w:tcW w:w="1816" w:type="dxa"/>
            <w:gridSpan w:val="2"/>
            <w:vAlign w:val="center"/>
          </w:tcPr>
          <w:p w14:paraId="27C0B4B8">
            <w:pPr>
              <w:rPr>
                <w:rFonts w:ascii="仿宋" w:hAnsi="仿宋" w:eastAsia="仿宋" w:cs="仿宋"/>
                <w:color w:val="000000"/>
                <w:sz w:val="24"/>
                <w:szCs w:val="24"/>
              </w:rPr>
            </w:pPr>
          </w:p>
        </w:tc>
        <w:tc>
          <w:tcPr>
            <w:tcW w:w="1078"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07"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213"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0D64CC09">
      <w:pPr>
        <w:tabs>
          <w:tab w:val="left" w:pos="718"/>
        </w:tabs>
        <w:bidi w:val="0"/>
        <w:jc w:val="left"/>
        <w:rPr>
          <w:rFonts w:ascii="Calibri Light" w:hAnsi="Calibri Light" w:eastAsia="华文仿宋" w:cs="Calibri Light"/>
          <w:kern w:val="2"/>
          <w:sz w:val="28"/>
          <w:szCs w:val="28"/>
          <w:lang w:val="en-US" w:eastAsia="zh-CN" w:bidi="ar-SA"/>
        </w:rPr>
      </w:pPr>
    </w:p>
    <w:sectPr>
      <w:headerReference r:id="rId13" w:type="default"/>
      <w:footerReference r:id="rId14" w:type="default"/>
      <w:type w:val="continuous"/>
      <w:pgSz w:w="11906" w:h="16838"/>
      <w:pgMar w:top="1417" w:right="1417" w:bottom="1417" w:left="1417" w:header="850" w:footer="992" w:gutter="0"/>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02C0262-A16C-46BB-8A94-31CB4520BBE0}"/>
  </w:font>
  <w:font w:name="黑体">
    <w:panose1 w:val="02010609060101010101"/>
    <w:charset w:val="86"/>
    <w:family w:val="auto"/>
    <w:pitch w:val="default"/>
    <w:sig w:usb0="800002BF" w:usb1="38CF7CFA" w:usb2="00000016" w:usb3="00000000" w:csb0="00040001" w:csb1="00000000"/>
    <w:embedRegular r:id="rId2" w:fontKey="{F620F217-A7D7-445D-8FF9-F55878EEB04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embedRegular r:id="rId3" w:fontKey="{64B8B791-A306-430A-AC55-4A23FD7C15A2}"/>
  </w:font>
  <w:font w:name="Calibri Light">
    <w:panose1 w:val="020F0302020204030204"/>
    <w:charset w:val="00"/>
    <w:family w:val="swiss"/>
    <w:pitch w:val="default"/>
    <w:sig w:usb0="E0002AFF" w:usb1="C000247B" w:usb2="00000009" w:usb3="00000000" w:csb0="200001FF" w:csb1="00000000"/>
    <w:embedRegular r:id="rId4" w:fontKey="{A813EDD4-CFDA-4831-A2B0-58EA846886C2}"/>
  </w:font>
  <w:font w:name="华文仿宋">
    <w:panose1 w:val="02010600040101010101"/>
    <w:charset w:val="86"/>
    <w:family w:val="auto"/>
    <w:pitch w:val="default"/>
    <w:sig w:usb0="00000287" w:usb1="080F0000" w:usb2="00000000" w:usb3="00000000" w:csb0="0004009F" w:csb1="DFD70000"/>
    <w:embedRegular r:id="rId5" w:fontKey="{EF97FD68-FD94-48E6-948D-E5450DC2B17F}"/>
  </w:font>
  <w:font w:name="仿宋_GB2312">
    <w:panose1 w:val="02010609030101010101"/>
    <w:charset w:val="86"/>
    <w:family w:val="modern"/>
    <w:pitch w:val="default"/>
    <w:sig w:usb0="00000001" w:usb1="080E0000" w:usb2="00000000" w:usb3="00000000" w:csb0="00040000" w:csb1="00000000"/>
    <w:embedRegular r:id="rId6" w:fontKey="{8AD5789E-CC10-4BA2-B41F-D9BD4A5EACE8}"/>
  </w:font>
  <w:font w:name="幼圆">
    <w:altName w:val="宋体"/>
    <w:panose1 w:val="02010509060101010101"/>
    <w:charset w:val="86"/>
    <w:family w:val="modern"/>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7" w:fontKey="{E0F3AB17-A8BF-412B-9FF5-9A550FFEDD12}"/>
  </w:font>
  <w:font w:name="华文中宋">
    <w:panose1 w:val="02010600040101010101"/>
    <w:charset w:val="86"/>
    <w:family w:val="auto"/>
    <w:pitch w:val="default"/>
    <w:sig w:usb0="00000287" w:usb1="080F0000" w:usb2="00000000" w:usb3="00000000" w:csb0="0004009F" w:csb1="DFD70000"/>
    <w:embedRegular r:id="rId8" w:fontKey="{45527D38-38B3-47A6-B9D1-875F633D406E}"/>
  </w:font>
  <w:font w:name="宋体-18030">
    <w:altName w:val="SimSun-ExtB"/>
    <w:panose1 w:val="00000000000000000000"/>
    <w:charset w:val="86"/>
    <w:family w:val="modern"/>
    <w:pitch w:val="default"/>
    <w:sig w:usb0="00000000" w:usb1="00000000" w:usb2="000A005E" w:usb3="00000000" w:csb0="00040001" w:csb1="00000000"/>
    <w:embedRegular r:id="rId9" w:fontKey="{EB0B9B0E-7223-47AF-933D-951F0BB1B99B}"/>
  </w:font>
  <w:font w:name="SimSun-ExtB">
    <w:panose1 w:val="02010609060101010101"/>
    <w:charset w:val="86"/>
    <w:family w:val="auto"/>
    <w:pitch w:val="default"/>
    <w:sig w:usb0="00000001" w:usb1="02000000" w:usb2="00000000" w:usb3="00000000" w:csb0="00040001" w:csb1="00000000"/>
  </w:font>
  <w:font w:name="WPSEMBED1">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2"/>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2"/>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278C5">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3"/>
      <w:tabs>
        <w:tab w:val="left" w:pos="368"/>
      </w:tabs>
      <w:jc w:val="center"/>
      <w:rPr>
        <w:rFonts w:hint="eastAsia" w:eastAsia="宋体"/>
        <w:lang w:eastAsia="zh-CN"/>
      </w:rPr>
    </w:pPr>
    <w:r>
      <w:rPr>
        <w:rFonts w:hint="eastAsia" w:eastAsia="宋体"/>
        <w:lang w:eastAsia="zh-CN"/>
      </w:rPr>
      <w:t>延安市自然资源局</w:t>
    </w:r>
    <w:r>
      <w:rPr>
        <w:rFonts w:hint="eastAsia" w:eastAsia="宋体"/>
        <w:lang w:val="en-US" w:eastAsia="zh-CN"/>
      </w:rPr>
      <w:t>-延地质灾害群专结合监测预警信息核查处置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3"/>
    </w:pPr>
    <w:r>
      <w:rPr>
        <w:rFonts w:hint="default"/>
        <w:color w:val="000000"/>
        <w:lang w:eastAsia="zh-CN"/>
      </w:rPr>
      <w:t>延安市自然资源局</w:t>
    </w:r>
    <w:r>
      <w:rPr>
        <w:rFonts w:hint="default"/>
        <w:color w:val="000000"/>
        <w:lang w:val="en-US" w:eastAsia="zh-CN"/>
      </w:rPr>
      <w:t>-延地质灾害群专结合监测预警信息核查处置</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B2E9D">
    <w:pPr>
      <w:pStyle w:val="13"/>
    </w:pPr>
    <w:r>
      <w:rPr>
        <w:rFonts w:hint="default"/>
        <w:color w:val="000000"/>
        <w:lang w:eastAsia="zh-CN"/>
      </w:rPr>
      <w:t>延安市自然资源局</w:t>
    </w:r>
    <w:r>
      <w:rPr>
        <w:rFonts w:hint="default"/>
        <w:color w:val="000000"/>
        <w:lang w:val="en-US" w:eastAsia="zh-CN"/>
      </w:rPr>
      <w:t>-延地质灾害群专结合监测预警信息核查处置</w:t>
    </w:r>
    <w:r>
      <w:rPr>
        <w:rFonts w:hint="default"/>
        <w:color w:val="00000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3"/>
      <w:tabs>
        <w:tab w:val="left" w:pos="368"/>
      </w:tabs>
      <w:jc w:val="center"/>
    </w:pPr>
    <w:r>
      <w:rPr>
        <w:rFonts w:hint="default"/>
        <w:color w:val="000000"/>
        <w:lang w:eastAsia="zh-CN"/>
      </w:rPr>
      <w:t>延安市自然资源局</w:t>
    </w:r>
    <w:r>
      <w:rPr>
        <w:rFonts w:hint="default"/>
        <w:color w:val="000000"/>
        <w:lang w:val="en-US" w:eastAsia="zh-CN"/>
      </w:rPr>
      <w:t>-延地质灾害群专结合监测预警信息核查处置</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3E4B5"/>
    <w:multiLevelType w:val="singleLevel"/>
    <w:tmpl w:val="8CE3E4B5"/>
    <w:lvl w:ilvl="0" w:tentative="0">
      <w:start w:val="1"/>
      <w:numFmt w:val="chineseCounting"/>
      <w:suff w:val="nothing"/>
      <w:lvlText w:val="%1、"/>
      <w:lvlJc w:val="left"/>
      <w:rPr>
        <w:rFonts w:hint="eastAsia"/>
      </w:rPr>
    </w:lvl>
  </w:abstractNum>
  <w:abstractNum w:abstractNumId="1">
    <w:nsid w:val="E74408BC"/>
    <w:multiLevelType w:val="singleLevel"/>
    <w:tmpl w:val="E74408BC"/>
    <w:lvl w:ilvl="0" w:tentative="0">
      <w:start w:val="2"/>
      <w:numFmt w:val="chineseCounting"/>
      <w:suff w:val="nothing"/>
      <w:lvlText w:val="（%1）"/>
      <w:lvlJc w:val="left"/>
      <w:rPr>
        <w:rFonts w:hint="eastAsia"/>
      </w:rPr>
    </w:lvl>
  </w:abstractNum>
  <w:abstractNum w:abstractNumId="2">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26123EA7"/>
    <w:multiLevelType w:val="singleLevel"/>
    <w:tmpl w:val="26123EA7"/>
    <w:lvl w:ilvl="0" w:tentative="0">
      <w:start w:val="7"/>
      <w:numFmt w:val="decimal"/>
      <w:lvlText w:val="%1."/>
      <w:lvlJc w:val="left"/>
      <w:pPr>
        <w:tabs>
          <w:tab w:val="left" w:pos="312"/>
        </w:tabs>
      </w:pPr>
    </w:lvl>
  </w:abstractNum>
  <w:abstractNum w:abstractNumId="5">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6">
    <w:nsid w:val="700C5CB2"/>
    <w:multiLevelType w:val="singleLevel"/>
    <w:tmpl w:val="700C5CB2"/>
    <w:lvl w:ilvl="0" w:tentative="0">
      <w:start w:val="2"/>
      <w:numFmt w:val="chineseCounting"/>
      <w:suff w:val="nothing"/>
      <w:lvlText w:val="%1、"/>
      <w:lvlJc w:val="left"/>
      <w:rPr>
        <w:rFonts w:hint="eastAsia"/>
      </w:rPr>
    </w:lvl>
  </w:abstractNum>
  <w:num w:numId="1">
    <w:abstractNumId w:val="5"/>
  </w:num>
  <w:num w:numId="2">
    <w:abstractNumId w:val="0"/>
  </w:num>
  <w:num w:numId="3">
    <w:abstractNumId w:val="4"/>
  </w:num>
  <w:num w:numId="4">
    <w:abstractNumId w:val="1"/>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1073D"/>
    <w:rsid w:val="00150EAD"/>
    <w:rsid w:val="00503069"/>
    <w:rsid w:val="005C4D2E"/>
    <w:rsid w:val="006836D3"/>
    <w:rsid w:val="007C717F"/>
    <w:rsid w:val="007E1154"/>
    <w:rsid w:val="00885B23"/>
    <w:rsid w:val="008C6C96"/>
    <w:rsid w:val="008E0C60"/>
    <w:rsid w:val="00B22BA0"/>
    <w:rsid w:val="00B708C9"/>
    <w:rsid w:val="00C77375"/>
    <w:rsid w:val="00CD79DA"/>
    <w:rsid w:val="00FD6FFF"/>
    <w:rsid w:val="0106590A"/>
    <w:rsid w:val="01161381"/>
    <w:rsid w:val="011A24F4"/>
    <w:rsid w:val="0153724B"/>
    <w:rsid w:val="017165B7"/>
    <w:rsid w:val="017E6B98"/>
    <w:rsid w:val="018B236D"/>
    <w:rsid w:val="018E1CDD"/>
    <w:rsid w:val="01995B0E"/>
    <w:rsid w:val="01A422D2"/>
    <w:rsid w:val="01E6443F"/>
    <w:rsid w:val="01E90844"/>
    <w:rsid w:val="01EE19B6"/>
    <w:rsid w:val="020A0DA8"/>
    <w:rsid w:val="02183E82"/>
    <w:rsid w:val="022B570E"/>
    <w:rsid w:val="02457A2C"/>
    <w:rsid w:val="026B3007"/>
    <w:rsid w:val="027D2D3A"/>
    <w:rsid w:val="029562D6"/>
    <w:rsid w:val="02CB0CA2"/>
    <w:rsid w:val="02CD1F13"/>
    <w:rsid w:val="02D13556"/>
    <w:rsid w:val="02D768EE"/>
    <w:rsid w:val="02E80AFB"/>
    <w:rsid w:val="02F6579D"/>
    <w:rsid w:val="032F5083"/>
    <w:rsid w:val="03351867"/>
    <w:rsid w:val="03767EB5"/>
    <w:rsid w:val="03AE3AF3"/>
    <w:rsid w:val="03C672EC"/>
    <w:rsid w:val="03D42E2E"/>
    <w:rsid w:val="03E33071"/>
    <w:rsid w:val="03FB660C"/>
    <w:rsid w:val="04115E30"/>
    <w:rsid w:val="041B2BA7"/>
    <w:rsid w:val="041E4679"/>
    <w:rsid w:val="04471852"/>
    <w:rsid w:val="045301F6"/>
    <w:rsid w:val="045C7680"/>
    <w:rsid w:val="047162A0"/>
    <w:rsid w:val="047D34C5"/>
    <w:rsid w:val="0482288A"/>
    <w:rsid w:val="04867C52"/>
    <w:rsid w:val="0490144A"/>
    <w:rsid w:val="04AD3DAA"/>
    <w:rsid w:val="04B663D0"/>
    <w:rsid w:val="04B74C29"/>
    <w:rsid w:val="04B90AB9"/>
    <w:rsid w:val="04C46E30"/>
    <w:rsid w:val="04CB4231"/>
    <w:rsid w:val="04ED064B"/>
    <w:rsid w:val="04FD0162"/>
    <w:rsid w:val="053C0609"/>
    <w:rsid w:val="05465EBB"/>
    <w:rsid w:val="055331D3"/>
    <w:rsid w:val="055374D6"/>
    <w:rsid w:val="05597B30"/>
    <w:rsid w:val="055B7A87"/>
    <w:rsid w:val="057C1CC2"/>
    <w:rsid w:val="05950780"/>
    <w:rsid w:val="05985572"/>
    <w:rsid w:val="059C797B"/>
    <w:rsid w:val="05A0746B"/>
    <w:rsid w:val="05B3235F"/>
    <w:rsid w:val="05CA26AE"/>
    <w:rsid w:val="05CC0260"/>
    <w:rsid w:val="05CD2EB1"/>
    <w:rsid w:val="05CE19E6"/>
    <w:rsid w:val="05DB4947"/>
    <w:rsid w:val="05E732EC"/>
    <w:rsid w:val="05F11A75"/>
    <w:rsid w:val="05FD2B10"/>
    <w:rsid w:val="0620235A"/>
    <w:rsid w:val="0627193B"/>
    <w:rsid w:val="064E336B"/>
    <w:rsid w:val="06500E91"/>
    <w:rsid w:val="06571C6C"/>
    <w:rsid w:val="067508F8"/>
    <w:rsid w:val="067F52D3"/>
    <w:rsid w:val="069279F6"/>
    <w:rsid w:val="069F5975"/>
    <w:rsid w:val="06A15565"/>
    <w:rsid w:val="06A72A7B"/>
    <w:rsid w:val="06B55971"/>
    <w:rsid w:val="06F62296"/>
    <w:rsid w:val="06FC4B75"/>
    <w:rsid w:val="06FF6413"/>
    <w:rsid w:val="070007AB"/>
    <w:rsid w:val="07267E44"/>
    <w:rsid w:val="074810B3"/>
    <w:rsid w:val="074D53D1"/>
    <w:rsid w:val="07524795"/>
    <w:rsid w:val="075F6A10"/>
    <w:rsid w:val="07660241"/>
    <w:rsid w:val="0781507A"/>
    <w:rsid w:val="07A019A5"/>
    <w:rsid w:val="07A03D8C"/>
    <w:rsid w:val="07CF1388"/>
    <w:rsid w:val="080041F1"/>
    <w:rsid w:val="08161C67"/>
    <w:rsid w:val="08535CDD"/>
    <w:rsid w:val="08602EE2"/>
    <w:rsid w:val="086A3D60"/>
    <w:rsid w:val="08733616"/>
    <w:rsid w:val="08A234FA"/>
    <w:rsid w:val="08A41020"/>
    <w:rsid w:val="08A76D63"/>
    <w:rsid w:val="08A92ADB"/>
    <w:rsid w:val="08B01682"/>
    <w:rsid w:val="08B576D2"/>
    <w:rsid w:val="08E6531C"/>
    <w:rsid w:val="09000221"/>
    <w:rsid w:val="090C4E18"/>
    <w:rsid w:val="090E293E"/>
    <w:rsid w:val="092E0A33"/>
    <w:rsid w:val="0935436E"/>
    <w:rsid w:val="093700E7"/>
    <w:rsid w:val="093C1139"/>
    <w:rsid w:val="09420839"/>
    <w:rsid w:val="0943175F"/>
    <w:rsid w:val="094E71DE"/>
    <w:rsid w:val="0969226A"/>
    <w:rsid w:val="09945156"/>
    <w:rsid w:val="09B41737"/>
    <w:rsid w:val="09D43B87"/>
    <w:rsid w:val="09F00295"/>
    <w:rsid w:val="0A8C7FBE"/>
    <w:rsid w:val="0ABD286D"/>
    <w:rsid w:val="0AFD2C6A"/>
    <w:rsid w:val="0B0264D2"/>
    <w:rsid w:val="0B0614D4"/>
    <w:rsid w:val="0B1F6DEE"/>
    <w:rsid w:val="0B282268"/>
    <w:rsid w:val="0B2E1E80"/>
    <w:rsid w:val="0B5E5DFE"/>
    <w:rsid w:val="0B6A3BEB"/>
    <w:rsid w:val="0B6E78D8"/>
    <w:rsid w:val="0B753148"/>
    <w:rsid w:val="0B845139"/>
    <w:rsid w:val="0B8769D7"/>
    <w:rsid w:val="0B8827A8"/>
    <w:rsid w:val="0B892750"/>
    <w:rsid w:val="0B931ED3"/>
    <w:rsid w:val="0B9A495D"/>
    <w:rsid w:val="0BA80E28"/>
    <w:rsid w:val="0BAF665A"/>
    <w:rsid w:val="0BBE6B6A"/>
    <w:rsid w:val="0BC32105"/>
    <w:rsid w:val="0BCB0FBA"/>
    <w:rsid w:val="0BE675F8"/>
    <w:rsid w:val="0BF64289"/>
    <w:rsid w:val="0C2A7A8F"/>
    <w:rsid w:val="0C3A3E75"/>
    <w:rsid w:val="0C5B233E"/>
    <w:rsid w:val="0C7B17EF"/>
    <w:rsid w:val="0C8278CB"/>
    <w:rsid w:val="0CA8688D"/>
    <w:rsid w:val="0CE265BB"/>
    <w:rsid w:val="0CF42CB0"/>
    <w:rsid w:val="0CFD33F5"/>
    <w:rsid w:val="0D26294C"/>
    <w:rsid w:val="0D4227D8"/>
    <w:rsid w:val="0D974726"/>
    <w:rsid w:val="0DCB34F3"/>
    <w:rsid w:val="0DD71E98"/>
    <w:rsid w:val="0DE73C50"/>
    <w:rsid w:val="0DFB64F3"/>
    <w:rsid w:val="0DFC0475"/>
    <w:rsid w:val="0DFE3394"/>
    <w:rsid w:val="0E0013EF"/>
    <w:rsid w:val="0E0302A0"/>
    <w:rsid w:val="0E121122"/>
    <w:rsid w:val="0E484619"/>
    <w:rsid w:val="0E5C20CA"/>
    <w:rsid w:val="0E835B7C"/>
    <w:rsid w:val="0E936C8D"/>
    <w:rsid w:val="0E9465F6"/>
    <w:rsid w:val="0E990EFC"/>
    <w:rsid w:val="0E9B1118"/>
    <w:rsid w:val="0EAA48E1"/>
    <w:rsid w:val="0EB65F51"/>
    <w:rsid w:val="0EC51CF1"/>
    <w:rsid w:val="0EE320D8"/>
    <w:rsid w:val="0EEA5BFB"/>
    <w:rsid w:val="0EF83E74"/>
    <w:rsid w:val="0EFD148A"/>
    <w:rsid w:val="0F40581B"/>
    <w:rsid w:val="0F5A4B1A"/>
    <w:rsid w:val="0F8C5352"/>
    <w:rsid w:val="0F8C5DD4"/>
    <w:rsid w:val="0F933B9D"/>
    <w:rsid w:val="0FA364D6"/>
    <w:rsid w:val="0FB75ADD"/>
    <w:rsid w:val="0FBA381F"/>
    <w:rsid w:val="0FCB7000"/>
    <w:rsid w:val="0FD33704"/>
    <w:rsid w:val="10480E2B"/>
    <w:rsid w:val="104F55B9"/>
    <w:rsid w:val="106875CB"/>
    <w:rsid w:val="10AD0C8E"/>
    <w:rsid w:val="10B473E7"/>
    <w:rsid w:val="10E42A53"/>
    <w:rsid w:val="10F22B45"/>
    <w:rsid w:val="1111746F"/>
    <w:rsid w:val="111D59F8"/>
    <w:rsid w:val="113E5D8A"/>
    <w:rsid w:val="115A7068"/>
    <w:rsid w:val="11634536"/>
    <w:rsid w:val="117D2D56"/>
    <w:rsid w:val="11840457"/>
    <w:rsid w:val="11873B72"/>
    <w:rsid w:val="11991213"/>
    <w:rsid w:val="11A26434"/>
    <w:rsid w:val="11B12B6C"/>
    <w:rsid w:val="11B92B3A"/>
    <w:rsid w:val="11BF336F"/>
    <w:rsid w:val="11C72224"/>
    <w:rsid w:val="11CB5870"/>
    <w:rsid w:val="11CE35B2"/>
    <w:rsid w:val="11CE710E"/>
    <w:rsid w:val="11DF756D"/>
    <w:rsid w:val="12163D18"/>
    <w:rsid w:val="12266F4A"/>
    <w:rsid w:val="122907E8"/>
    <w:rsid w:val="123A47A4"/>
    <w:rsid w:val="12693030"/>
    <w:rsid w:val="1284715D"/>
    <w:rsid w:val="12BA4725"/>
    <w:rsid w:val="12BE7183"/>
    <w:rsid w:val="12C31B2A"/>
    <w:rsid w:val="12C40D6D"/>
    <w:rsid w:val="12D22C2E"/>
    <w:rsid w:val="13113756"/>
    <w:rsid w:val="13427DB4"/>
    <w:rsid w:val="13483D9B"/>
    <w:rsid w:val="13485EDB"/>
    <w:rsid w:val="13491142"/>
    <w:rsid w:val="134A310C"/>
    <w:rsid w:val="134A5D34"/>
    <w:rsid w:val="13503262"/>
    <w:rsid w:val="13631E88"/>
    <w:rsid w:val="13830225"/>
    <w:rsid w:val="13C0517C"/>
    <w:rsid w:val="13C82EBD"/>
    <w:rsid w:val="13D73634"/>
    <w:rsid w:val="13F37300"/>
    <w:rsid w:val="13F41F7E"/>
    <w:rsid w:val="13F56BD4"/>
    <w:rsid w:val="13F923DF"/>
    <w:rsid w:val="14014803"/>
    <w:rsid w:val="14072DAB"/>
    <w:rsid w:val="140B63F8"/>
    <w:rsid w:val="145204CA"/>
    <w:rsid w:val="146C6567"/>
    <w:rsid w:val="148625B0"/>
    <w:rsid w:val="14A423A8"/>
    <w:rsid w:val="14A75F77"/>
    <w:rsid w:val="14C30A80"/>
    <w:rsid w:val="14C667C2"/>
    <w:rsid w:val="14CB5B87"/>
    <w:rsid w:val="14EA2EBE"/>
    <w:rsid w:val="14FE41AE"/>
    <w:rsid w:val="150E74E4"/>
    <w:rsid w:val="15217D53"/>
    <w:rsid w:val="154D47EE"/>
    <w:rsid w:val="155344FA"/>
    <w:rsid w:val="15787B7C"/>
    <w:rsid w:val="15CA5B4B"/>
    <w:rsid w:val="15D867AD"/>
    <w:rsid w:val="15EC2259"/>
    <w:rsid w:val="16013C17"/>
    <w:rsid w:val="162912E3"/>
    <w:rsid w:val="16297009"/>
    <w:rsid w:val="16315EBE"/>
    <w:rsid w:val="16530ACF"/>
    <w:rsid w:val="165E2C55"/>
    <w:rsid w:val="166167A3"/>
    <w:rsid w:val="167364D6"/>
    <w:rsid w:val="168662A0"/>
    <w:rsid w:val="16953E88"/>
    <w:rsid w:val="16A25B6A"/>
    <w:rsid w:val="16A86080"/>
    <w:rsid w:val="16D37263"/>
    <w:rsid w:val="16D74786"/>
    <w:rsid w:val="172B0B5F"/>
    <w:rsid w:val="1743234C"/>
    <w:rsid w:val="175E666B"/>
    <w:rsid w:val="17640690"/>
    <w:rsid w:val="177B15A9"/>
    <w:rsid w:val="17887D5F"/>
    <w:rsid w:val="17A22A5A"/>
    <w:rsid w:val="17F83137"/>
    <w:rsid w:val="1800023D"/>
    <w:rsid w:val="180E64B6"/>
    <w:rsid w:val="1814038D"/>
    <w:rsid w:val="18147845"/>
    <w:rsid w:val="18185636"/>
    <w:rsid w:val="182932F0"/>
    <w:rsid w:val="18371EB1"/>
    <w:rsid w:val="185B4FDD"/>
    <w:rsid w:val="185F6D12"/>
    <w:rsid w:val="18664452"/>
    <w:rsid w:val="186C7681"/>
    <w:rsid w:val="189831C8"/>
    <w:rsid w:val="18B16BD1"/>
    <w:rsid w:val="18BC4164"/>
    <w:rsid w:val="18C80D5B"/>
    <w:rsid w:val="18D771F0"/>
    <w:rsid w:val="18DD40DB"/>
    <w:rsid w:val="18ED6A14"/>
    <w:rsid w:val="18F558C8"/>
    <w:rsid w:val="190C006F"/>
    <w:rsid w:val="191044B0"/>
    <w:rsid w:val="19191C06"/>
    <w:rsid w:val="1934019F"/>
    <w:rsid w:val="196A1E12"/>
    <w:rsid w:val="196F11D7"/>
    <w:rsid w:val="196F567B"/>
    <w:rsid w:val="19752927"/>
    <w:rsid w:val="198A7DBF"/>
    <w:rsid w:val="19974BFE"/>
    <w:rsid w:val="1998697F"/>
    <w:rsid w:val="19A05834"/>
    <w:rsid w:val="19A50AE7"/>
    <w:rsid w:val="19BD019E"/>
    <w:rsid w:val="19C71013"/>
    <w:rsid w:val="19F210D5"/>
    <w:rsid w:val="19FD4AA7"/>
    <w:rsid w:val="1A037B71"/>
    <w:rsid w:val="1A1A5F70"/>
    <w:rsid w:val="1A2639D1"/>
    <w:rsid w:val="1A4B2A44"/>
    <w:rsid w:val="1A6E76E0"/>
    <w:rsid w:val="1A7A42D7"/>
    <w:rsid w:val="1A845156"/>
    <w:rsid w:val="1A89276C"/>
    <w:rsid w:val="1A972B45"/>
    <w:rsid w:val="1ABF7590"/>
    <w:rsid w:val="1AC55423"/>
    <w:rsid w:val="1AC62ED8"/>
    <w:rsid w:val="1AC6751C"/>
    <w:rsid w:val="1AD32329"/>
    <w:rsid w:val="1ADC289C"/>
    <w:rsid w:val="1AF220BF"/>
    <w:rsid w:val="1AF851FC"/>
    <w:rsid w:val="1B0F3646"/>
    <w:rsid w:val="1B1D686F"/>
    <w:rsid w:val="1B281F85"/>
    <w:rsid w:val="1B2B55D1"/>
    <w:rsid w:val="1B304996"/>
    <w:rsid w:val="1B361E84"/>
    <w:rsid w:val="1B5A5FF4"/>
    <w:rsid w:val="1B6805D3"/>
    <w:rsid w:val="1B701236"/>
    <w:rsid w:val="1B7747A6"/>
    <w:rsid w:val="1B854CE1"/>
    <w:rsid w:val="1BBD18E9"/>
    <w:rsid w:val="1BE116DF"/>
    <w:rsid w:val="1BF72592"/>
    <w:rsid w:val="1C24274C"/>
    <w:rsid w:val="1C273FEB"/>
    <w:rsid w:val="1C2F10F1"/>
    <w:rsid w:val="1C3A34E8"/>
    <w:rsid w:val="1C3D650C"/>
    <w:rsid w:val="1C4113E5"/>
    <w:rsid w:val="1C533032"/>
    <w:rsid w:val="1C5E5533"/>
    <w:rsid w:val="1C6E1108"/>
    <w:rsid w:val="1C6E12C2"/>
    <w:rsid w:val="1C6E7E6B"/>
    <w:rsid w:val="1C7A30C4"/>
    <w:rsid w:val="1C986C96"/>
    <w:rsid w:val="1C9C6787"/>
    <w:rsid w:val="1C9E70AE"/>
    <w:rsid w:val="1CA13D9D"/>
    <w:rsid w:val="1CC25AC1"/>
    <w:rsid w:val="1CE35C57"/>
    <w:rsid w:val="1D056471"/>
    <w:rsid w:val="1D1665A9"/>
    <w:rsid w:val="1D231C99"/>
    <w:rsid w:val="1D2616DA"/>
    <w:rsid w:val="1D4665DA"/>
    <w:rsid w:val="1D470009"/>
    <w:rsid w:val="1D70376F"/>
    <w:rsid w:val="1D737B22"/>
    <w:rsid w:val="1D85546D"/>
    <w:rsid w:val="1D8D4AB2"/>
    <w:rsid w:val="1DA3134E"/>
    <w:rsid w:val="1DB775F0"/>
    <w:rsid w:val="1DDB5524"/>
    <w:rsid w:val="1DE96F38"/>
    <w:rsid w:val="1DEA52D0"/>
    <w:rsid w:val="1DF148B0"/>
    <w:rsid w:val="1E1F1D09"/>
    <w:rsid w:val="1E2A7DC2"/>
    <w:rsid w:val="1E2E3FC6"/>
    <w:rsid w:val="1E45667C"/>
    <w:rsid w:val="1E546B22"/>
    <w:rsid w:val="1E6F3A27"/>
    <w:rsid w:val="1EA47B74"/>
    <w:rsid w:val="1ED1023E"/>
    <w:rsid w:val="1EDF295B"/>
    <w:rsid w:val="1EF3668B"/>
    <w:rsid w:val="1EFE57D2"/>
    <w:rsid w:val="1F197261"/>
    <w:rsid w:val="1F3233D2"/>
    <w:rsid w:val="1F4727DA"/>
    <w:rsid w:val="1F511C17"/>
    <w:rsid w:val="1F5844BB"/>
    <w:rsid w:val="1F5B337D"/>
    <w:rsid w:val="1F745799"/>
    <w:rsid w:val="1F752024"/>
    <w:rsid w:val="1F797010"/>
    <w:rsid w:val="1F8C6655"/>
    <w:rsid w:val="1F971571"/>
    <w:rsid w:val="1FE17C1D"/>
    <w:rsid w:val="1FE90BAE"/>
    <w:rsid w:val="1FEC17D3"/>
    <w:rsid w:val="1FEF4E1F"/>
    <w:rsid w:val="20026C99"/>
    <w:rsid w:val="200603BB"/>
    <w:rsid w:val="20370574"/>
    <w:rsid w:val="204859DD"/>
    <w:rsid w:val="20B35E4D"/>
    <w:rsid w:val="20F23661"/>
    <w:rsid w:val="21020B82"/>
    <w:rsid w:val="21072EE3"/>
    <w:rsid w:val="21393694"/>
    <w:rsid w:val="218470E6"/>
    <w:rsid w:val="21983295"/>
    <w:rsid w:val="219C0FD7"/>
    <w:rsid w:val="21B3498B"/>
    <w:rsid w:val="21B37336"/>
    <w:rsid w:val="21DC0A61"/>
    <w:rsid w:val="21E8421C"/>
    <w:rsid w:val="21E964A3"/>
    <w:rsid w:val="220D5A31"/>
    <w:rsid w:val="221E7C3E"/>
    <w:rsid w:val="2248284A"/>
    <w:rsid w:val="22944E50"/>
    <w:rsid w:val="22B031B7"/>
    <w:rsid w:val="22E569AE"/>
    <w:rsid w:val="22FB7F7F"/>
    <w:rsid w:val="22FF181D"/>
    <w:rsid w:val="231449BC"/>
    <w:rsid w:val="2351194D"/>
    <w:rsid w:val="235D02F2"/>
    <w:rsid w:val="23650F38"/>
    <w:rsid w:val="236930C6"/>
    <w:rsid w:val="23952182"/>
    <w:rsid w:val="23A34D10"/>
    <w:rsid w:val="23B2156E"/>
    <w:rsid w:val="23BC3F4D"/>
    <w:rsid w:val="23C13D4C"/>
    <w:rsid w:val="23F72D5D"/>
    <w:rsid w:val="243A65CE"/>
    <w:rsid w:val="244514B2"/>
    <w:rsid w:val="24455956"/>
    <w:rsid w:val="246700A8"/>
    <w:rsid w:val="24763D61"/>
    <w:rsid w:val="24CF1A0F"/>
    <w:rsid w:val="24D97E4C"/>
    <w:rsid w:val="24DE36B4"/>
    <w:rsid w:val="250A44A9"/>
    <w:rsid w:val="251F3B5B"/>
    <w:rsid w:val="253D1A6A"/>
    <w:rsid w:val="254F72FB"/>
    <w:rsid w:val="25546F0C"/>
    <w:rsid w:val="25633D82"/>
    <w:rsid w:val="25804B6B"/>
    <w:rsid w:val="258C3110"/>
    <w:rsid w:val="259049AF"/>
    <w:rsid w:val="25B83F05"/>
    <w:rsid w:val="25B974F6"/>
    <w:rsid w:val="25BF3B7E"/>
    <w:rsid w:val="25D845A8"/>
    <w:rsid w:val="25DC5A76"/>
    <w:rsid w:val="26284BE7"/>
    <w:rsid w:val="26321976"/>
    <w:rsid w:val="264D2300"/>
    <w:rsid w:val="266D5053"/>
    <w:rsid w:val="268564DD"/>
    <w:rsid w:val="26882E12"/>
    <w:rsid w:val="26AB75C6"/>
    <w:rsid w:val="26B4291F"/>
    <w:rsid w:val="26BD63AC"/>
    <w:rsid w:val="26E05B7C"/>
    <w:rsid w:val="26E36D60"/>
    <w:rsid w:val="26F1147D"/>
    <w:rsid w:val="27190A70"/>
    <w:rsid w:val="272555CB"/>
    <w:rsid w:val="272C0399"/>
    <w:rsid w:val="272D447F"/>
    <w:rsid w:val="27313BEE"/>
    <w:rsid w:val="277D3506"/>
    <w:rsid w:val="27835FC2"/>
    <w:rsid w:val="27AB2EB7"/>
    <w:rsid w:val="27B26F44"/>
    <w:rsid w:val="27BC6787"/>
    <w:rsid w:val="28003475"/>
    <w:rsid w:val="280E605F"/>
    <w:rsid w:val="28371501"/>
    <w:rsid w:val="285717B4"/>
    <w:rsid w:val="285B2042"/>
    <w:rsid w:val="287A7186"/>
    <w:rsid w:val="28836967"/>
    <w:rsid w:val="28B36B23"/>
    <w:rsid w:val="28C130D1"/>
    <w:rsid w:val="28C36E49"/>
    <w:rsid w:val="28D472A8"/>
    <w:rsid w:val="28EA6ACC"/>
    <w:rsid w:val="28F23FA6"/>
    <w:rsid w:val="28F6721F"/>
    <w:rsid w:val="29172C46"/>
    <w:rsid w:val="29307688"/>
    <w:rsid w:val="29310257"/>
    <w:rsid w:val="294A1318"/>
    <w:rsid w:val="29514455"/>
    <w:rsid w:val="295D7732"/>
    <w:rsid w:val="298962E5"/>
    <w:rsid w:val="29995DFC"/>
    <w:rsid w:val="299E3412"/>
    <w:rsid w:val="29B844D4"/>
    <w:rsid w:val="29C341E8"/>
    <w:rsid w:val="29CB726B"/>
    <w:rsid w:val="29CC3486"/>
    <w:rsid w:val="29DA269C"/>
    <w:rsid w:val="29E4176D"/>
    <w:rsid w:val="29E7300B"/>
    <w:rsid w:val="29EE7EF6"/>
    <w:rsid w:val="29FF0355"/>
    <w:rsid w:val="2A246AEB"/>
    <w:rsid w:val="2A2C0A1E"/>
    <w:rsid w:val="2A473886"/>
    <w:rsid w:val="2A573CED"/>
    <w:rsid w:val="2A596061"/>
    <w:rsid w:val="2A662A5E"/>
    <w:rsid w:val="2A720B27"/>
    <w:rsid w:val="2A7C1065"/>
    <w:rsid w:val="2A7C3754"/>
    <w:rsid w:val="2A930A9D"/>
    <w:rsid w:val="2A9A62D0"/>
    <w:rsid w:val="2A9F38E6"/>
    <w:rsid w:val="2AA02968"/>
    <w:rsid w:val="2AAF1D7B"/>
    <w:rsid w:val="2ADE62B2"/>
    <w:rsid w:val="2B222811"/>
    <w:rsid w:val="2B634913"/>
    <w:rsid w:val="2B6D12EE"/>
    <w:rsid w:val="2B7D7783"/>
    <w:rsid w:val="2BA2543C"/>
    <w:rsid w:val="2BB331A5"/>
    <w:rsid w:val="2BC60FC8"/>
    <w:rsid w:val="2BFD6B16"/>
    <w:rsid w:val="2C0A1414"/>
    <w:rsid w:val="2C197C11"/>
    <w:rsid w:val="2C273B93"/>
    <w:rsid w:val="2C2B3B1E"/>
    <w:rsid w:val="2C484235"/>
    <w:rsid w:val="2C526E62"/>
    <w:rsid w:val="2C72412C"/>
    <w:rsid w:val="2C8F617F"/>
    <w:rsid w:val="2C971E38"/>
    <w:rsid w:val="2CAA69AE"/>
    <w:rsid w:val="2CB45044"/>
    <w:rsid w:val="2CB745C8"/>
    <w:rsid w:val="2CBA2FBD"/>
    <w:rsid w:val="2CCE7FC5"/>
    <w:rsid w:val="2CD755B9"/>
    <w:rsid w:val="2CE90A48"/>
    <w:rsid w:val="2CEA709A"/>
    <w:rsid w:val="2CF9552F"/>
    <w:rsid w:val="2CFD01DC"/>
    <w:rsid w:val="2D0D0FDB"/>
    <w:rsid w:val="2D0F08AF"/>
    <w:rsid w:val="2D1876A4"/>
    <w:rsid w:val="2D283C7A"/>
    <w:rsid w:val="2D306A77"/>
    <w:rsid w:val="2D3447B9"/>
    <w:rsid w:val="2D630BFB"/>
    <w:rsid w:val="2D870D8D"/>
    <w:rsid w:val="2D8F379E"/>
    <w:rsid w:val="2D9D235F"/>
    <w:rsid w:val="2DBE22D5"/>
    <w:rsid w:val="2DBF5292"/>
    <w:rsid w:val="2DD85145"/>
    <w:rsid w:val="2DF45CF7"/>
    <w:rsid w:val="2E0942AF"/>
    <w:rsid w:val="2E0B6E95"/>
    <w:rsid w:val="2E0C06A3"/>
    <w:rsid w:val="2E100D83"/>
    <w:rsid w:val="2E2D06F0"/>
    <w:rsid w:val="2E314855"/>
    <w:rsid w:val="2E421F65"/>
    <w:rsid w:val="2E861045"/>
    <w:rsid w:val="2E9F03ED"/>
    <w:rsid w:val="2EA25C4E"/>
    <w:rsid w:val="2ED3590C"/>
    <w:rsid w:val="2EF1054D"/>
    <w:rsid w:val="2EFA1AD4"/>
    <w:rsid w:val="2F44743E"/>
    <w:rsid w:val="2F472CFA"/>
    <w:rsid w:val="2F603644"/>
    <w:rsid w:val="2F6A2714"/>
    <w:rsid w:val="2F6F1AD9"/>
    <w:rsid w:val="2F8A246F"/>
    <w:rsid w:val="2F8C268B"/>
    <w:rsid w:val="2FCD159E"/>
    <w:rsid w:val="2FD162F0"/>
    <w:rsid w:val="2FD26B56"/>
    <w:rsid w:val="2FF16992"/>
    <w:rsid w:val="2FF26187"/>
    <w:rsid w:val="2FFB572C"/>
    <w:rsid w:val="30110DE2"/>
    <w:rsid w:val="302503E9"/>
    <w:rsid w:val="3041203C"/>
    <w:rsid w:val="304A60A2"/>
    <w:rsid w:val="305D7B83"/>
    <w:rsid w:val="30915A7F"/>
    <w:rsid w:val="30A9101A"/>
    <w:rsid w:val="30B55C11"/>
    <w:rsid w:val="30C32657"/>
    <w:rsid w:val="30EC4205"/>
    <w:rsid w:val="30EF69E4"/>
    <w:rsid w:val="310929F9"/>
    <w:rsid w:val="312132A7"/>
    <w:rsid w:val="313308E4"/>
    <w:rsid w:val="313A0BD1"/>
    <w:rsid w:val="31404725"/>
    <w:rsid w:val="31440D43"/>
    <w:rsid w:val="31485E5B"/>
    <w:rsid w:val="31552F50"/>
    <w:rsid w:val="31615451"/>
    <w:rsid w:val="31642EB0"/>
    <w:rsid w:val="316867E0"/>
    <w:rsid w:val="316D3DF6"/>
    <w:rsid w:val="31735FEC"/>
    <w:rsid w:val="31905D36"/>
    <w:rsid w:val="31BB2DB3"/>
    <w:rsid w:val="31FD5F6B"/>
    <w:rsid w:val="32021C86"/>
    <w:rsid w:val="32582CF8"/>
    <w:rsid w:val="32593346"/>
    <w:rsid w:val="325B00F2"/>
    <w:rsid w:val="32A63A63"/>
    <w:rsid w:val="32B80009"/>
    <w:rsid w:val="32B83797"/>
    <w:rsid w:val="32BB6DE3"/>
    <w:rsid w:val="32CE4D68"/>
    <w:rsid w:val="32E04BAD"/>
    <w:rsid w:val="330D3A5D"/>
    <w:rsid w:val="3341378C"/>
    <w:rsid w:val="338C2FAC"/>
    <w:rsid w:val="339935C8"/>
    <w:rsid w:val="33C64231"/>
    <w:rsid w:val="33D2532E"/>
    <w:rsid w:val="33D47D4F"/>
    <w:rsid w:val="340A1DD0"/>
    <w:rsid w:val="340C5B48"/>
    <w:rsid w:val="34666500"/>
    <w:rsid w:val="346E6803"/>
    <w:rsid w:val="349C4646"/>
    <w:rsid w:val="34A71D15"/>
    <w:rsid w:val="34AF2977"/>
    <w:rsid w:val="34B43C68"/>
    <w:rsid w:val="34E40B78"/>
    <w:rsid w:val="34EB5D83"/>
    <w:rsid w:val="34FC4643"/>
    <w:rsid w:val="355A2DB4"/>
    <w:rsid w:val="355B6BD8"/>
    <w:rsid w:val="35672FFF"/>
    <w:rsid w:val="356A5862"/>
    <w:rsid w:val="3575771D"/>
    <w:rsid w:val="35812566"/>
    <w:rsid w:val="3581411C"/>
    <w:rsid w:val="35814314"/>
    <w:rsid w:val="35867B7C"/>
    <w:rsid w:val="359027A9"/>
    <w:rsid w:val="359E1ADF"/>
    <w:rsid w:val="35A973C7"/>
    <w:rsid w:val="35FC1BEC"/>
    <w:rsid w:val="36392E40"/>
    <w:rsid w:val="364745B3"/>
    <w:rsid w:val="365D6B2F"/>
    <w:rsid w:val="367B236C"/>
    <w:rsid w:val="3692250F"/>
    <w:rsid w:val="36B97711"/>
    <w:rsid w:val="36BD312A"/>
    <w:rsid w:val="36E0506A"/>
    <w:rsid w:val="36E21696"/>
    <w:rsid w:val="36E903C3"/>
    <w:rsid w:val="36F122E3"/>
    <w:rsid w:val="36F62AE0"/>
    <w:rsid w:val="371E68C5"/>
    <w:rsid w:val="37304FEB"/>
    <w:rsid w:val="37410A59"/>
    <w:rsid w:val="374E46CA"/>
    <w:rsid w:val="376C4B50"/>
    <w:rsid w:val="37936580"/>
    <w:rsid w:val="37DC4F30"/>
    <w:rsid w:val="37ED7A3F"/>
    <w:rsid w:val="37FC5ED4"/>
    <w:rsid w:val="382B2790"/>
    <w:rsid w:val="38392C84"/>
    <w:rsid w:val="38455ACD"/>
    <w:rsid w:val="384E39BC"/>
    <w:rsid w:val="384E5558"/>
    <w:rsid w:val="3860524D"/>
    <w:rsid w:val="38845B55"/>
    <w:rsid w:val="388B6AFB"/>
    <w:rsid w:val="38960E85"/>
    <w:rsid w:val="38A34BF8"/>
    <w:rsid w:val="38B22A36"/>
    <w:rsid w:val="38DD49D6"/>
    <w:rsid w:val="38E5105E"/>
    <w:rsid w:val="39344543"/>
    <w:rsid w:val="394F0285"/>
    <w:rsid w:val="396B3311"/>
    <w:rsid w:val="39785A2E"/>
    <w:rsid w:val="397D1296"/>
    <w:rsid w:val="39820561"/>
    <w:rsid w:val="399C796E"/>
    <w:rsid w:val="39A17917"/>
    <w:rsid w:val="39E15381"/>
    <w:rsid w:val="3A024B77"/>
    <w:rsid w:val="3A2C2CB0"/>
    <w:rsid w:val="3A2D6818"/>
    <w:rsid w:val="3A3473AE"/>
    <w:rsid w:val="3A724367"/>
    <w:rsid w:val="3A743A5B"/>
    <w:rsid w:val="3A8E6472"/>
    <w:rsid w:val="3A9248CD"/>
    <w:rsid w:val="3A992100"/>
    <w:rsid w:val="3A9B73CB"/>
    <w:rsid w:val="3AD52E6E"/>
    <w:rsid w:val="3AE07C06"/>
    <w:rsid w:val="3B0E3CCE"/>
    <w:rsid w:val="3B163750"/>
    <w:rsid w:val="3B2C2F74"/>
    <w:rsid w:val="3B3E6803"/>
    <w:rsid w:val="3B410244"/>
    <w:rsid w:val="3B48408B"/>
    <w:rsid w:val="3B885D5C"/>
    <w:rsid w:val="3B8E778B"/>
    <w:rsid w:val="3B954FF7"/>
    <w:rsid w:val="3B985F13"/>
    <w:rsid w:val="3BE43653"/>
    <w:rsid w:val="3BFD046C"/>
    <w:rsid w:val="3C17152E"/>
    <w:rsid w:val="3C371BD0"/>
    <w:rsid w:val="3C687483"/>
    <w:rsid w:val="3C8B7953"/>
    <w:rsid w:val="3C9F71B8"/>
    <w:rsid w:val="3CB13731"/>
    <w:rsid w:val="3CB13CE3"/>
    <w:rsid w:val="3CB804A0"/>
    <w:rsid w:val="3CBF05CA"/>
    <w:rsid w:val="3CD13DD3"/>
    <w:rsid w:val="3CE31410"/>
    <w:rsid w:val="3CF9475D"/>
    <w:rsid w:val="3D181C2D"/>
    <w:rsid w:val="3D1E2D4B"/>
    <w:rsid w:val="3D3703C7"/>
    <w:rsid w:val="3D453E79"/>
    <w:rsid w:val="3D4B66A5"/>
    <w:rsid w:val="3D4F3DCA"/>
    <w:rsid w:val="3DD77D43"/>
    <w:rsid w:val="3DDA0A65"/>
    <w:rsid w:val="3DE6740A"/>
    <w:rsid w:val="3DFF0391"/>
    <w:rsid w:val="3E0C4997"/>
    <w:rsid w:val="3E1F291C"/>
    <w:rsid w:val="3E264AF2"/>
    <w:rsid w:val="3E4405D4"/>
    <w:rsid w:val="3E4E6333"/>
    <w:rsid w:val="3E614CE2"/>
    <w:rsid w:val="3E6D3687"/>
    <w:rsid w:val="3E7435A2"/>
    <w:rsid w:val="3E832EAB"/>
    <w:rsid w:val="3E8A248B"/>
    <w:rsid w:val="3ECD2378"/>
    <w:rsid w:val="3EE63969"/>
    <w:rsid w:val="3EE74323"/>
    <w:rsid w:val="3EF96368"/>
    <w:rsid w:val="3F0248C7"/>
    <w:rsid w:val="3F055FB6"/>
    <w:rsid w:val="3F18759E"/>
    <w:rsid w:val="3F2C52F0"/>
    <w:rsid w:val="3F422D66"/>
    <w:rsid w:val="3F605BBD"/>
    <w:rsid w:val="3F6321EA"/>
    <w:rsid w:val="3F685210"/>
    <w:rsid w:val="3F7D3D9E"/>
    <w:rsid w:val="3F8051EC"/>
    <w:rsid w:val="3F917849"/>
    <w:rsid w:val="3F9904AC"/>
    <w:rsid w:val="3FBB6674"/>
    <w:rsid w:val="3FD12164"/>
    <w:rsid w:val="3FE231B7"/>
    <w:rsid w:val="3FEE25A6"/>
    <w:rsid w:val="3FFC1167"/>
    <w:rsid w:val="400172BB"/>
    <w:rsid w:val="4004001B"/>
    <w:rsid w:val="40273D0A"/>
    <w:rsid w:val="407E7DCE"/>
    <w:rsid w:val="408847A8"/>
    <w:rsid w:val="408A030B"/>
    <w:rsid w:val="40BE466E"/>
    <w:rsid w:val="40C17CBA"/>
    <w:rsid w:val="40E91C7A"/>
    <w:rsid w:val="410127AD"/>
    <w:rsid w:val="410302D3"/>
    <w:rsid w:val="41057DE0"/>
    <w:rsid w:val="411038CD"/>
    <w:rsid w:val="41214F2E"/>
    <w:rsid w:val="4156420D"/>
    <w:rsid w:val="41695BD4"/>
    <w:rsid w:val="41881F15"/>
    <w:rsid w:val="41911D83"/>
    <w:rsid w:val="4192346F"/>
    <w:rsid w:val="41A41AB6"/>
    <w:rsid w:val="41B63597"/>
    <w:rsid w:val="41BB6E00"/>
    <w:rsid w:val="41BD66D4"/>
    <w:rsid w:val="41F37760"/>
    <w:rsid w:val="42002A64"/>
    <w:rsid w:val="42051E29"/>
    <w:rsid w:val="420B38E3"/>
    <w:rsid w:val="42440BA3"/>
    <w:rsid w:val="424B0183"/>
    <w:rsid w:val="424C7EC7"/>
    <w:rsid w:val="42632766"/>
    <w:rsid w:val="427E5E44"/>
    <w:rsid w:val="427F607F"/>
    <w:rsid w:val="42813BA5"/>
    <w:rsid w:val="42837B1B"/>
    <w:rsid w:val="42935686"/>
    <w:rsid w:val="42CD0B98"/>
    <w:rsid w:val="42CF2B62"/>
    <w:rsid w:val="42D77C69"/>
    <w:rsid w:val="42E14644"/>
    <w:rsid w:val="42FF2625"/>
    <w:rsid w:val="43023F34"/>
    <w:rsid w:val="43156CC7"/>
    <w:rsid w:val="432D1637"/>
    <w:rsid w:val="432F3B07"/>
    <w:rsid w:val="43591D9B"/>
    <w:rsid w:val="436A4639"/>
    <w:rsid w:val="43727992"/>
    <w:rsid w:val="43747266"/>
    <w:rsid w:val="43A4388B"/>
    <w:rsid w:val="43AF64F0"/>
    <w:rsid w:val="43BE3225"/>
    <w:rsid w:val="43C35D74"/>
    <w:rsid w:val="43E3619A"/>
    <w:rsid w:val="43F649EB"/>
    <w:rsid w:val="43FD36FF"/>
    <w:rsid w:val="43FE03C1"/>
    <w:rsid w:val="440F51E1"/>
    <w:rsid w:val="44240C8C"/>
    <w:rsid w:val="442962A2"/>
    <w:rsid w:val="44356037"/>
    <w:rsid w:val="446A2417"/>
    <w:rsid w:val="447A4E24"/>
    <w:rsid w:val="447D75CD"/>
    <w:rsid w:val="4488746D"/>
    <w:rsid w:val="44B74F0C"/>
    <w:rsid w:val="44C07E22"/>
    <w:rsid w:val="44D86915"/>
    <w:rsid w:val="44DF70AD"/>
    <w:rsid w:val="44E421C9"/>
    <w:rsid w:val="44F468B0"/>
    <w:rsid w:val="45062140"/>
    <w:rsid w:val="450C650E"/>
    <w:rsid w:val="4545710C"/>
    <w:rsid w:val="45612332"/>
    <w:rsid w:val="456377EE"/>
    <w:rsid w:val="4565330A"/>
    <w:rsid w:val="456652D4"/>
    <w:rsid w:val="456D0411"/>
    <w:rsid w:val="45701CAF"/>
    <w:rsid w:val="4577128F"/>
    <w:rsid w:val="45783434"/>
    <w:rsid w:val="45C67123"/>
    <w:rsid w:val="45FF45A2"/>
    <w:rsid w:val="460D6DA0"/>
    <w:rsid w:val="461E572A"/>
    <w:rsid w:val="46244F73"/>
    <w:rsid w:val="46267DEB"/>
    <w:rsid w:val="465C00A0"/>
    <w:rsid w:val="46601D24"/>
    <w:rsid w:val="466435C2"/>
    <w:rsid w:val="46EE63EF"/>
    <w:rsid w:val="470703F1"/>
    <w:rsid w:val="470E79D1"/>
    <w:rsid w:val="475D3DA8"/>
    <w:rsid w:val="47605F31"/>
    <w:rsid w:val="478E45D4"/>
    <w:rsid w:val="47BB30B2"/>
    <w:rsid w:val="47C85DD2"/>
    <w:rsid w:val="47D209FF"/>
    <w:rsid w:val="47D72A0D"/>
    <w:rsid w:val="47F72214"/>
    <w:rsid w:val="47FF0499"/>
    <w:rsid w:val="48215A10"/>
    <w:rsid w:val="483D14A3"/>
    <w:rsid w:val="486C49B0"/>
    <w:rsid w:val="486D73A7"/>
    <w:rsid w:val="486F44A0"/>
    <w:rsid w:val="4893018E"/>
    <w:rsid w:val="489B7854"/>
    <w:rsid w:val="48AB372A"/>
    <w:rsid w:val="48E1539E"/>
    <w:rsid w:val="48E924A4"/>
    <w:rsid w:val="48F830FD"/>
    <w:rsid w:val="48FD7CFE"/>
    <w:rsid w:val="49211C3E"/>
    <w:rsid w:val="492653E3"/>
    <w:rsid w:val="49386D6A"/>
    <w:rsid w:val="49553BA0"/>
    <w:rsid w:val="495A6EFE"/>
    <w:rsid w:val="496438D9"/>
    <w:rsid w:val="499A554C"/>
    <w:rsid w:val="49A62143"/>
    <w:rsid w:val="49A63EF1"/>
    <w:rsid w:val="49A64E5C"/>
    <w:rsid w:val="49C23456"/>
    <w:rsid w:val="4A035B0E"/>
    <w:rsid w:val="4A0A26D2"/>
    <w:rsid w:val="4A275302"/>
    <w:rsid w:val="4A325785"/>
    <w:rsid w:val="4A475589"/>
    <w:rsid w:val="4A493E9B"/>
    <w:rsid w:val="4A6A6D04"/>
    <w:rsid w:val="4A8A736F"/>
    <w:rsid w:val="4A8F2BD7"/>
    <w:rsid w:val="4AC26B09"/>
    <w:rsid w:val="4AC66BD0"/>
    <w:rsid w:val="4AC76815"/>
    <w:rsid w:val="4ACC5BD9"/>
    <w:rsid w:val="4ADE0EEB"/>
    <w:rsid w:val="4ADE5503"/>
    <w:rsid w:val="4AE9678B"/>
    <w:rsid w:val="4AF241A0"/>
    <w:rsid w:val="4B014896"/>
    <w:rsid w:val="4B023413"/>
    <w:rsid w:val="4B09298A"/>
    <w:rsid w:val="4B23143B"/>
    <w:rsid w:val="4B2B2900"/>
    <w:rsid w:val="4B3612A5"/>
    <w:rsid w:val="4B501DBF"/>
    <w:rsid w:val="4B5A1437"/>
    <w:rsid w:val="4B612460"/>
    <w:rsid w:val="4B6422B6"/>
    <w:rsid w:val="4B6B0F4E"/>
    <w:rsid w:val="4B7F0E9E"/>
    <w:rsid w:val="4B92472D"/>
    <w:rsid w:val="4B9C465E"/>
    <w:rsid w:val="4BE34F89"/>
    <w:rsid w:val="4BE551A5"/>
    <w:rsid w:val="4C067917"/>
    <w:rsid w:val="4C115F9A"/>
    <w:rsid w:val="4C2B4E0D"/>
    <w:rsid w:val="4C46543A"/>
    <w:rsid w:val="4C6562E6"/>
    <w:rsid w:val="4C6D0CF6"/>
    <w:rsid w:val="4C6E2B99"/>
    <w:rsid w:val="4C856040"/>
    <w:rsid w:val="4C8B180D"/>
    <w:rsid w:val="4C8E4F10"/>
    <w:rsid w:val="4CB608EF"/>
    <w:rsid w:val="4CB701C3"/>
    <w:rsid w:val="4CC0176E"/>
    <w:rsid w:val="4CD77A52"/>
    <w:rsid w:val="4CD947ED"/>
    <w:rsid w:val="4CDB17E4"/>
    <w:rsid w:val="4CE973D5"/>
    <w:rsid w:val="4CFA4C80"/>
    <w:rsid w:val="4D025C37"/>
    <w:rsid w:val="4D027691"/>
    <w:rsid w:val="4D0B2FD8"/>
    <w:rsid w:val="4D1D44CA"/>
    <w:rsid w:val="4D27359B"/>
    <w:rsid w:val="4D302450"/>
    <w:rsid w:val="4D3637DE"/>
    <w:rsid w:val="4D5A571F"/>
    <w:rsid w:val="4D623393"/>
    <w:rsid w:val="4D644F78"/>
    <w:rsid w:val="4D704F42"/>
    <w:rsid w:val="4D8F79F2"/>
    <w:rsid w:val="4D9F3131"/>
    <w:rsid w:val="4E235B10"/>
    <w:rsid w:val="4E4D0DDF"/>
    <w:rsid w:val="4E5321ED"/>
    <w:rsid w:val="4E6016D6"/>
    <w:rsid w:val="4E6D76D3"/>
    <w:rsid w:val="4E816CDB"/>
    <w:rsid w:val="4E8C5DAC"/>
    <w:rsid w:val="4E8F351A"/>
    <w:rsid w:val="4EB250E6"/>
    <w:rsid w:val="4EBE7F2F"/>
    <w:rsid w:val="4EDB605D"/>
    <w:rsid w:val="4EE554BC"/>
    <w:rsid w:val="4F18038A"/>
    <w:rsid w:val="4F22226C"/>
    <w:rsid w:val="4F2C6C47"/>
    <w:rsid w:val="4F4F4D7D"/>
    <w:rsid w:val="4F587A3C"/>
    <w:rsid w:val="4F5E329D"/>
    <w:rsid w:val="4F711F6A"/>
    <w:rsid w:val="4F813C30"/>
    <w:rsid w:val="4F9273F2"/>
    <w:rsid w:val="4FBA06F6"/>
    <w:rsid w:val="4FBA78D0"/>
    <w:rsid w:val="4FCB6460"/>
    <w:rsid w:val="4FCE5E25"/>
    <w:rsid w:val="4FCE7CFE"/>
    <w:rsid w:val="4FF5172F"/>
    <w:rsid w:val="50037B8F"/>
    <w:rsid w:val="500951DA"/>
    <w:rsid w:val="50096F88"/>
    <w:rsid w:val="50113D68"/>
    <w:rsid w:val="50134B6A"/>
    <w:rsid w:val="502323AF"/>
    <w:rsid w:val="504C214F"/>
    <w:rsid w:val="504D3319"/>
    <w:rsid w:val="505006DF"/>
    <w:rsid w:val="50BC3B9F"/>
    <w:rsid w:val="510A2FB8"/>
    <w:rsid w:val="51260225"/>
    <w:rsid w:val="512E314A"/>
    <w:rsid w:val="51360251"/>
    <w:rsid w:val="51421F58"/>
    <w:rsid w:val="51454E60"/>
    <w:rsid w:val="51477D68"/>
    <w:rsid w:val="51790BFB"/>
    <w:rsid w:val="51C27D36"/>
    <w:rsid w:val="51C71A20"/>
    <w:rsid w:val="51D3784E"/>
    <w:rsid w:val="51D75590"/>
    <w:rsid w:val="51DA6E2E"/>
    <w:rsid w:val="51FA74D0"/>
    <w:rsid w:val="520F7138"/>
    <w:rsid w:val="5214298C"/>
    <w:rsid w:val="522C72C3"/>
    <w:rsid w:val="522D734C"/>
    <w:rsid w:val="524A1938"/>
    <w:rsid w:val="524D13AE"/>
    <w:rsid w:val="526C6007"/>
    <w:rsid w:val="52B92EE7"/>
    <w:rsid w:val="52BB6C5F"/>
    <w:rsid w:val="52BE6184"/>
    <w:rsid w:val="52CA50F4"/>
    <w:rsid w:val="52DC2732"/>
    <w:rsid w:val="52E02222"/>
    <w:rsid w:val="52EC506B"/>
    <w:rsid w:val="52EF06B7"/>
    <w:rsid w:val="53041596"/>
    <w:rsid w:val="530D623A"/>
    <w:rsid w:val="530F6FAB"/>
    <w:rsid w:val="53146370"/>
    <w:rsid w:val="531D3476"/>
    <w:rsid w:val="533B37EB"/>
    <w:rsid w:val="53654E1D"/>
    <w:rsid w:val="538151F6"/>
    <w:rsid w:val="5382777D"/>
    <w:rsid w:val="53852DC9"/>
    <w:rsid w:val="53886B25"/>
    <w:rsid w:val="53AA2830"/>
    <w:rsid w:val="53BD2563"/>
    <w:rsid w:val="53C32D17"/>
    <w:rsid w:val="53D02F06"/>
    <w:rsid w:val="53FA37B7"/>
    <w:rsid w:val="53FB3961"/>
    <w:rsid w:val="5411012E"/>
    <w:rsid w:val="541D3002"/>
    <w:rsid w:val="54224ABC"/>
    <w:rsid w:val="542B571F"/>
    <w:rsid w:val="543C16DA"/>
    <w:rsid w:val="544C2E0C"/>
    <w:rsid w:val="544F3B03"/>
    <w:rsid w:val="545869BF"/>
    <w:rsid w:val="54596730"/>
    <w:rsid w:val="54616C3C"/>
    <w:rsid w:val="54617C92"/>
    <w:rsid w:val="54684BC5"/>
    <w:rsid w:val="548136DA"/>
    <w:rsid w:val="54833FB9"/>
    <w:rsid w:val="548B3E72"/>
    <w:rsid w:val="54992FD0"/>
    <w:rsid w:val="54996882"/>
    <w:rsid w:val="54B27EE3"/>
    <w:rsid w:val="54BF046F"/>
    <w:rsid w:val="54CF07A0"/>
    <w:rsid w:val="54D264E2"/>
    <w:rsid w:val="54F71AA5"/>
    <w:rsid w:val="554259E1"/>
    <w:rsid w:val="55614BA6"/>
    <w:rsid w:val="556F3D31"/>
    <w:rsid w:val="557F360E"/>
    <w:rsid w:val="559B2D78"/>
    <w:rsid w:val="55A80624"/>
    <w:rsid w:val="55EB160A"/>
    <w:rsid w:val="56091B70"/>
    <w:rsid w:val="560B3A5A"/>
    <w:rsid w:val="5627460C"/>
    <w:rsid w:val="56286D65"/>
    <w:rsid w:val="56286E64"/>
    <w:rsid w:val="564B20A8"/>
    <w:rsid w:val="5653734D"/>
    <w:rsid w:val="566B274A"/>
    <w:rsid w:val="567011C6"/>
    <w:rsid w:val="568023CE"/>
    <w:rsid w:val="56834170"/>
    <w:rsid w:val="569F11EB"/>
    <w:rsid w:val="56A21888"/>
    <w:rsid w:val="56C34335"/>
    <w:rsid w:val="56E0268F"/>
    <w:rsid w:val="57016C0B"/>
    <w:rsid w:val="574C432A"/>
    <w:rsid w:val="57517B92"/>
    <w:rsid w:val="575A3F96"/>
    <w:rsid w:val="57672713"/>
    <w:rsid w:val="577613A7"/>
    <w:rsid w:val="577A36AD"/>
    <w:rsid w:val="577C0670"/>
    <w:rsid w:val="578C4726"/>
    <w:rsid w:val="57A37CC2"/>
    <w:rsid w:val="57AC603B"/>
    <w:rsid w:val="57B16AC2"/>
    <w:rsid w:val="57B91294"/>
    <w:rsid w:val="57BD1AF6"/>
    <w:rsid w:val="57BF6720"/>
    <w:rsid w:val="57DC747B"/>
    <w:rsid w:val="57EA19EE"/>
    <w:rsid w:val="57EE718F"/>
    <w:rsid w:val="582C5F09"/>
    <w:rsid w:val="584E7C2E"/>
    <w:rsid w:val="585316E8"/>
    <w:rsid w:val="585D4315"/>
    <w:rsid w:val="586C637E"/>
    <w:rsid w:val="586E207E"/>
    <w:rsid w:val="587358E6"/>
    <w:rsid w:val="5889335C"/>
    <w:rsid w:val="588C69A8"/>
    <w:rsid w:val="58AC2CC7"/>
    <w:rsid w:val="58AD0DF8"/>
    <w:rsid w:val="58BD360B"/>
    <w:rsid w:val="58BF0649"/>
    <w:rsid w:val="58ED5699"/>
    <w:rsid w:val="58F24A5D"/>
    <w:rsid w:val="58FD484E"/>
    <w:rsid w:val="591730EE"/>
    <w:rsid w:val="591A58A7"/>
    <w:rsid w:val="593212FE"/>
    <w:rsid w:val="59451AAD"/>
    <w:rsid w:val="5946546B"/>
    <w:rsid w:val="59555DCC"/>
    <w:rsid w:val="596F60AE"/>
    <w:rsid w:val="59815DE1"/>
    <w:rsid w:val="59840DC3"/>
    <w:rsid w:val="59855101"/>
    <w:rsid w:val="59877FFD"/>
    <w:rsid w:val="598A738C"/>
    <w:rsid w:val="598F49A2"/>
    <w:rsid w:val="599B6EA3"/>
    <w:rsid w:val="59C56616"/>
    <w:rsid w:val="5A205E72"/>
    <w:rsid w:val="5A225816"/>
    <w:rsid w:val="5A2570B4"/>
    <w:rsid w:val="5A3F0176"/>
    <w:rsid w:val="5A492DA3"/>
    <w:rsid w:val="5A6279C1"/>
    <w:rsid w:val="5A655C07"/>
    <w:rsid w:val="5A690D4F"/>
    <w:rsid w:val="5A7A2F5C"/>
    <w:rsid w:val="5A8B77DE"/>
    <w:rsid w:val="5ABC3575"/>
    <w:rsid w:val="5AD92379"/>
    <w:rsid w:val="5ADB4098"/>
    <w:rsid w:val="5ADC336A"/>
    <w:rsid w:val="5ADD1E8F"/>
    <w:rsid w:val="5AEB18DC"/>
    <w:rsid w:val="5B060C94"/>
    <w:rsid w:val="5B0B62AA"/>
    <w:rsid w:val="5B227EAF"/>
    <w:rsid w:val="5B264E92"/>
    <w:rsid w:val="5B323837"/>
    <w:rsid w:val="5B3D3F8A"/>
    <w:rsid w:val="5B501F0F"/>
    <w:rsid w:val="5B5D17D4"/>
    <w:rsid w:val="5B7A35BA"/>
    <w:rsid w:val="5B863B83"/>
    <w:rsid w:val="5BF46D3E"/>
    <w:rsid w:val="5C14118E"/>
    <w:rsid w:val="5C1650EC"/>
    <w:rsid w:val="5C353189"/>
    <w:rsid w:val="5C9A1694"/>
    <w:rsid w:val="5CAE15E3"/>
    <w:rsid w:val="5CD252D1"/>
    <w:rsid w:val="5CDA5F34"/>
    <w:rsid w:val="5CE15514"/>
    <w:rsid w:val="5CE21AED"/>
    <w:rsid w:val="5D1256CE"/>
    <w:rsid w:val="5D1F1D64"/>
    <w:rsid w:val="5D3722DC"/>
    <w:rsid w:val="5D3C099D"/>
    <w:rsid w:val="5D570AB1"/>
    <w:rsid w:val="5D59154F"/>
    <w:rsid w:val="5D600B2F"/>
    <w:rsid w:val="5D7A3273"/>
    <w:rsid w:val="5D9C143B"/>
    <w:rsid w:val="5DA86032"/>
    <w:rsid w:val="5DAD53F7"/>
    <w:rsid w:val="5DCB6083"/>
    <w:rsid w:val="5DD230AF"/>
    <w:rsid w:val="5DE132F2"/>
    <w:rsid w:val="5DE54B90"/>
    <w:rsid w:val="5DF001EB"/>
    <w:rsid w:val="5DFE3EA4"/>
    <w:rsid w:val="5E055233"/>
    <w:rsid w:val="5E0D72B8"/>
    <w:rsid w:val="5E2970D6"/>
    <w:rsid w:val="5E4775F9"/>
    <w:rsid w:val="5E5C6BAC"/>
    <w:rsid w:val="5E6A778C"/>
    <w:rsid w:val="5E8C345B"/>
    <w:rsid w:val="5EB82C97"/>
    <w:rsid w:val="5EBE2D22"/>
    <w:rsid w:val="5EC94306"/>
    <w:rsid w:val="5ED91610"/>
    <w:rsid w:val="5ED95287"/>
    <w:rsid w:val="5EE57DEF"/>
    <w:rsid w:val="5F245B8C"/>
    <w:rsid w:val="5F28567D"/>
    <w:rsid w:val="5F29040C"/>
    <w:rsid w:val="5F3479DF"/>
    <w:rsid w:val="5F4010A7"/>
    <w:rsid w:val="5F6B7317"/>
    <w:rsid w:val="5F6F1A2E"/>
    <w:rsid w:val="5F721AF0"/>
    <w:rsid w:val="5F8E5E24"/>
    <w:rsid w:val="5FAA23A3"/>
    <w:rsid w:val="5FB55B8B"/>
    <w:rsid w:val="5FD82C61"/>
    <w:rsid w:val="5FF4730D"/>
    <w:rsid w:val="5FFA1614"/>
    <w:rsid w:val="5FFE63DD"/>
    <w:rsid w:val="60025ECE"/>
    <w:rsid w:val="600E3E55"/>
    <w:rsid w:val="601C6864"/>
    <w:rsid w:val="6028345A"/>
    <w:rsid w:val="603242D9"/>
    <w:rsid w:val="6041144F"/>
    <w:rsid w:val="60432042"/>
    <w:rsid w:val="60583D40"/>
    <w:rsid w:val="60681AA9"/>
    <w:rsid w:val="606C1599"/>
    <w:rsid w:val="6074044E"/>
    <w:rsid w:val="60786190"/>
    <w:rsid w:val="607E307A"/>
    <w:rsid w:val="60940AF0"/>
    <w:rsid w:val="609B0D24"/>
    <w:rsid w:val="60A823BF"/>
    <w:rsid w:val="60A83445"/>
    <w:rsid w:val="60B82A30"/>
    <w:rsid w:val="60C6562D"/>
    <w:rsid w:val="60D10B35"/>
    <w:rsid w:val="612F2105"/>
    <w:rsid w:val="61354081"/>
    <w:rsid w:val="615F4C5A"/>
    <w:rsid w:val="61677FB2"/>
    <w:rsid w:val="616F002F"/>
    <w:rsid w:val="61730705"/>
    <w:rsid w:val="617F354E"/>
    <w:rsid w:val="61970898"/>
    <w:rsid w:val="61C15914"/>
    <w:rsid w:val="61ED04B8"/>
    <w:rsid w:val="61EF4230"/>
    <w:rsid w:val="61F44302"/>
    <w:rsid w:val="61F71336"/>
    <w:rsid w:val="61F73A35"/>
    <w:rsid w:val="62022F83"/>
    <w:rsid w:val="62175534"/>
    <w:rsid w:val="621E4B15"/>
    <w:rsid w:val="624E4BA2"/>
    <w:rsid w:val="625C563D"/>
    <w:rsid w:val="625C786C"/>
    <w:rsid w:val="62773F76"/>
    <w:rsid w:val="627E15CF"/>
    <w:rsid w:val="6283706E"/>
    <w:rsid w:val="628801E0"/>
    <w:rsid w:val="62BD432E"/>
    <w:rsid w:val="62D804DD"/>
    <w:rsid w:val="62DE2463"/>
    <w:rsid w:val="62E53885"/>
    <w:rsid w:val="63190646"/>
    <w:rsid w:val="63190B09"/>
    <w:rsid w:val="63471E49"/>
    <w:rsid w:val="637114CE"/>
    <w:rsid w:val="638B61DA"/>
    <w:rsid w:val="638E67FA"/>
    <w:rsid w:val="63AB687C"/>
    <w:rsid w:val="644F5459"/>
    <w:rsid w:val="645667E8"/>
    <w:rsid w:val="64866BD9"/>
    <w:rsid w:val="64A37118"/>
    <w:rsid w:val="64AA4AE5"/>
    <w:rsid w:val="64B81251"/>
    <w:rsid w:val="64D12F7E"/>
    <w:rsid w:val="64DC78B8"/>
    <w:rsid w:val="64E2007C"/>
    <w:rsid w:val="64E35BA2"/>
    <w:rsid w:val="650D376B"/>
    <w:rsid w:val="654F4FE5"/>
    <w:rsid w:val="65A417D5"/>
    <w:rsid w:val="65AC068A"/>
    <w:rsid w:val="65D57BE0"/>
    <w:rsid w:val="65E25E59"/>
    <w:rsid w:val="66014531"/>
    <w:rsid w:val="661A1A97"/>
    <w:rsid w:val="66212E26"/>
    <w:rsid w:val="662B15AE"/>
    <w:rsid w:val="6632293D"/>
    <w:rsid w:val="66342B59"/>
    <w:rsid w:val="6635067F"/>
    <w:rsid w:val="663C52CC"/>
    <w:rsid w:val="663D0055"/>
    <w:rsid w:val="66521231"/>
    <w:rsid w:val="66693888"/>
    <w:rsid w:val="666A0329"/>
    <w:rsid w:val="66707909"/>
    <w:rsid w:val="66DC0AFB"/>
    <w:rsid w:val="66E3632D"/>
    <w:rsid w:val="66F72064"/>
    <w:rsid w:val="67136C12"/>
    <w:rsid w:val="67183312"/>
    <w:rsid w:val="673426E5"/>
    <w:rsid w:val="67535261"/>
    <w:rsid w:val="675608AD"/>
    <w:rsid w:val="676A3084"/>
    <w:rsid w:val="677A27ED"/>
    <w:rsid w:val="67AA29A7"/>
    <w:rsid w:val="67C670CB"/>
    <w:rsid w:val="67DE774C"/>
    <w:rsid w:val="680718E8"/>
    <w:rsid w:val="68093B71"/>
    <w:rsid w:val="683055A2"/>
    <w:rsid w:val="6846007D"/>
    <w:rsid w:val="6848469A"/>
    <w:rsid w:val="686A4F9A"/>
    <w:rsid w:val="68A8782A"/>
    <w:rsid w:val="68BC6E36"/>
    <w:rsid w:val="68F22857"/>
    <w:rsid w:val="68F44821"/>
    <w:rsid w:val="68F91E38"/>
    <w:rsid w:val="69515C1F"/>
    <w:rsid w:val="69664A0F"/>
    <w:rsid w:val="69841BF6"/>
    <w:rsid w:val="69857DCB"/>
    <w:rsid w:val="698F00A6"/>
    <w:rsid w:val="69A74526"/>
    <w:rsid w:val="69CE5072"/>
    <w:rsid w:val="69D331BE"/>
    <w:rsid w:val="69D60BF7"/>
    <w:rsid w:val="69EB1FDC"/>
    <w:rsid w:val="69FA3354"/>
    <w:rsid w:val="69FA5E67"/>
    <w:rsid w:val="69FE4B1A"/>
    <w:rsid w:val="6A015735"/>
    <w:rsid w:val="6A017105"/>
    <w:rsid w:val="6A165180"/>
    <w:rsid w:val="6A1F767C"/>
    <w:rsid w:val="6A4E4A0A"/>
    <w:rsid w:val="6A6B466F"/>
    <w:rsid w:val="6A9516EC"/>
    <w:rsid w:val="6AB42873"/>
    <w:rsid w:val="6AC33F7B"/>
    <w:rsid w:val="6AC81AC2"/>
    <w:rsid w:val="6AD064F1"/>
    <w:rsid w:val="6AD62431"/>
    <w:rsid w:val="6AEA7C8A"/>
    <w:rsid w:val="6AF705F9"/>
    <w:rsid w:val="6AFB3C45"/>
    <w:rsid w:val="6B317667"/>
    <w:rsid w:val="6B5A6D4C"/>
    <w:rsid w:val="6B760662"/>
    <w:rsid w:val="6B8A60F8"/>
    <w:rsid w:val="6BA8544F"/>
    <w:rsid w:val="6BD3071E"/>
    <w:rsid w:val="6BD56BBF"/>
    <w:rsid w:val="6BDF3567"/>
    <w:rsid w:val="6BED613A"/>
    <w:rsid w:val="6BEE00B5"/>
    <w:rsid w:val="6C2027AD"/>
    <w:rsid w:val="6C3D64DF"/>
    <w:rsid w:val="6C3E7464"/>
    <w:rsid w:val="6C4258A4"/>
    <w:rsid w:val="6C452082"/>
    <w:rsid w:val="6C5337CF"/>
    <w:rsid w:val="6C5506F2"/>
    <w:rsid w:val="6C5C0714"/>
    <w:rsid w:val="6C6876D9"/>
    <w:rsid w:val="6C895281"/>
    <w:rsid w:val="6C8B2992"/>
    <w:rsid w:val="6CA65E33"/>
    <w:rsid w:val="6CAD73D6"/>
    <w:rsid w:val="6CAE6A95"/>
    <w:rsid w:val="6CB73B9C"/>
    <w:rsid w:val="6CDF7BCE"/>
    <w:rsid w:val="6CE93F71"/>
    <w:rsid w:val="6CEA1EDF"/>
    <w:rsid w:val="6D0D43C1"/>
    <w:rsid w:val="6D0E31A9"/>
    <w:rsid w:val="6D166FC6"/>
    <w:rsid w:val="6D260D22"/>
    <w:rsid w:val="6D2A0812"/>
    <w:rsid w:val="6D34343E"/>
    <w:rsid w:val="6D544E73"/>
    <w:rsid w:val="6D5C102A"/>
    <w:rsid w:val="6D5E04BB"/>
    <w:rsid w:val="6D633D24"/>
    <w:rsid w:val="6D7221B9"/>
    <w:rsid w:val="6D7D3037"/>
    <w:rsid w:val="6DB36A59"/>
    <w:rsid w:val="6E076DA5"/>
    <w:rsid w:val="6E0F4F8D"/>
    <w:rsid w:val="6E2830B5"/>
    <w:rsid w:val="6E423939"/>
    <w:rsid w:val="6E427879"/>
    <w:rsid w:val="6E533D98"/>
    <w:rsid w:val="6E7837FF"/>
    <w:rsid w:val="6E7A034A"/>
    <w:rsid w:val="6E7D2BC3"/>
    <w:rsid w:val="6E85086A"/>
    <w:rsid w:val="6E9F59DB"/>
    <w:rsid w:val="6EB8009F"/>
    <w:rsid w:val="6EE80984"/>
    <w:rsid w:val="6F143527"/>
    <w:rsid w:val="6F5D2C01"/>
    <w:rsid w:val="6F5D68FC"/>
    <w:rsid w:val="6F7E6BF3"/>
    <w:rsid w:val="6F831E19"/>
    <w:rsid w:val="6F854425"/>
    <w:rsid w:val="6F875336"/>
    <w:rsid w:val="6F8E1600"/>
    <w:rsid w:val="6FA10B33"/>
    <w:rsid w:val="6FAC7C04"/>
    <w:rsid w:val="6FCA62DC"/>
    <w:rsid w:val="6FDE58E3"/>
    <w:rsid w:val="6FE50A20"/>
    <w:rsid w:val="6FEE1FCA"/>
    <w:rsid w:val="6FEF189F"/>
    <w:rsid w:val="6FEF5D43"/>
    <w:rsid w:val="6FEF7AF1"/>
    <w:rsid w:val="6FFD40FB"/>
    <w:rsid w:val="700C2451"/>
    <w:rsid w:val="70131A31"/>
    <w:rsid w:val="70221C74"/>
    <w:rsid w:val="702A28D7"/>
    <w:rsid w:val="702B1782"/>
    <w:rsid w:val="702E23C7"/>
    <w:rsid w:val="704A7F86"/>
    <w:rsid w:val="705645D9"/>
    <w:rsid w:val="709B37D5"/>
    <w:rsid w:val="70A628A5"/>
    <w:rsid w:val="70A95AA7"/>
    <w:rsid w:val="70B4218C"/>
    <w:rsid w:val="70BE1584"/>
    <w:rsid w:val="70C07837"/>
    <w:rsid w:val="70E1568B"/>
    <w:rsid w:val="70E46F2A"/>
    <w:rsid w:val="70ED4030"/>
    <w:rsid w:val="71436346"/>
    <w:rsid w:val="71512697"/>
    <w:rsid w:val="7162370E"/>
    <w:rsid w:val="716A484E"/>
    <w:rsid w:val="71703B38"/>
    <w:rsid w:val="71A50F85"/>
    <w:rsid w:val="71AD67BC"/>
    <w:rsid w:val="71C07997"/>
    <w:rsid w:val="71C12C62"/>
    <w:rsid w:val="71D1496D"/>
    <w:rsid w:val="71D74828"/>
    <w:rsid w:val="71D90A58"/>
    <w:rsid w:val="71E74120"/>
    <w:rsid w:val="72025473"/>
    <w:rsid w:val="721101F2"/>
    <w:rsid w:val="7218332F"/>
    <w:rsid w:val="72440D47"/>
    <w:rsid w:val="727644F9"/>
    <w:rsid w:val="729F603C"/>
    <w:rsid w:val="72AC2792"/>
    <w:rsid w:val="72AE1098"/>
    <w:rsid w:val="72B1108D"/>
    <w:rsid w:val="72B8241C"/>
    <w:rsid w:val="72BA43E6"/>
    <w:rsid w:val="72BC798D"/>
    <w:rsid w:val="72E27499"/>
    <w:rsid w:val="72F378F8"/>
    <w:rsid w:val="73075151"/>
    <w:rsid w:val="730B63E9"/>
    <w:rsid w:val="731D4975"/>
    <w:rsid w:val="731F06ED"/>
    <w:rsid w:val="73231373"/>
    <w:rsid w:val="73261A7B"/>
    <w:rsid w:val="732955BF"/>
    <w:rsid w:val="73426189"/>
    <w:rsid w:val="737C5B3F"/>
    <w:rsid w:val="73825D4D"/>
    <w:rsid w:val="73966C01"/>
    <w:rsid w:val="73A11102"/>
    <w:rsid w:val="73D10850"/>
    <w:rsid w:val="73FD3E81"/>
    <w:rsid w:val="74250B2B"/>
    <w:rsid w:val="743106D8"/>
    <w:rsid w:val="747800B5"/>
    <w:rsid w:val="747F58E7"/>
    <w:rsid w:val="74890514"/>
    <w:rsid w:val="74921493"/>
    <w:rsid w:val="749D7B1B"/>
    <w:rsid w:val="74A27930"/>
    <w:rsid w:val="74C257D9"/>
    <w:rsid w:val="74C7103C"/>
    <w:rsid w:val="74F3249B"/>
    <w:rsid w:val="751678CE"/>
    <w:rsid w:val="75175143"/>
    <w:rsid w:val="754932A6"/>
    <w:rsid w:val="755A3C5E"/>
    <w:rsid w:val="75703482"/>
    <w:rsid w:val="75825591"/>
    <w:rsid w:val="7596078E"/>
    <w:rsid w:val="759F0683"/>
    <w:rsid w:val="75E63744"/>
    <w:rsid w:val="75EB6D06"/>
    <w:rsid w:val="75F666E8"/>
    <w:rsid w:val="75FC2822"/>
    <w:rsid w:val="76085468"/>
    <w:rsid w:val="761171BF"/>
    <w:rsid w:val="76124539"/>
    <w:rsid w:val="7614104F"/>
    <w:rsid w:val="76595CC4"/>
    <w:rsid w:val="76676633"/>
    <w:rsid w:val="76A315AA"/>
    <w:rsid w:val="76BB697E"/>
    <w:rsid w:val="76E11E70"/>
    <w:rsid w:val="76E9529A"/>
    <w:rsid w:val="770B220C"/>
    <w:rsid w:val="77405252"/>
    <w:rsid w:val="774D4D14"/>
    <w:rsid w:val="77514BED"/>
    <w:rsid w:val="776310AF"/>
    <w:rsid w:val="77666821"/>
    <w:rsid w:val="779D6084"/>
    <w:rsid w:val="77B75398"/>
    <w:rsid w:val="77CB0E43"/>
    <w:rsid w:val="77D62D81"/>
    <w:rsid w:val="77DE0B76"/>
    <w:rsid w:val="77EB6E04"/>
    <w:rsid w:val="77F24622"/>
    <w:rsid w:val="77F9775E"/>
    <w:rsid w:val="780A196C"/>
    <w:rsid w:val="78342545"/>
    <w:rsid w:val="785710BA"/>
    <w:rsid w:val="78CC4E73"/>
    <w:rsid w:val="78E1046A"/>
    <w:rsid w:val="78F26496"/>
    <w:rsid w:val="79077C59"/>
    <w:rsid w:val="79184530"/>
    <w:rsid w:val="792870F3"/>
    <w:rsid w:val="793A6280"/>
    <w:rsid w:val="79420C91"/>
    <w:rsid w:val="794732B8"/>
    <w:rsid w:val="79B25E17"/>
    <w:rsid w:val="79B85ED4"/>
    <w:rsid w:val="79B92E6D"/>
    <w:rsid w:val="79F0693F"/>
    <w:rsid w:val="7A0349D5"/>
    <w:rsid w:val="7A08012D"/>
    <w:rsid w:val="7A1963AB"/>
    <w:rsid w:val="7A263449"/>
    <w:rsid w:val="7A3902E6"/>
    <w:rsid w:val="7A3A405E"/>
    <w:rsid w:val="7A435E4B"/>
    <w:rsid w:val="7A460C55"/>
    <w:rsid w:val="7A524009"/>
    <w:rsid w:val="7A644563"/>
    <w:rsid w:val="7A7C4EC2"/>
    <w:rsid w:val="7A7F1A71"/>
    <w:rsid w:val="7A903C7E"/>
    <w:rsid w:val="7A996FD7"/>
    <w:rsid w:val="7AA634A2"/>
    <w:rsid w:val="7AA80071"/>
    <w:rsid w:val="7ABD0F17"/>
    <w:rsid w:val="7ACD0A2E"/>
    <w:rsid w:val="7AD63D87"/>
    <w:rsid w:val="7AFF3BA5"/>
    <w:rsid w:val="7B1F65CA"/>
    <w:rsid w:val="7B493A62"/>
    <w:rsid w:val="7B6E3FBF"/>
    <w:rsid w:val="7B6E5D6D"/>
    <w:rsid w:val="7B875081"/>
    <w:rsid w:val="7B9B2B4C"/>
    <w:rsid w:val="7BAD5E8E"/>
    <w:rsid w:val="7BB11EB4"/>
    <w:rsid w:val="7BB120FE"/>
    <w:rsid w:val="7BCE76B2"/>
    <w:rsid w:val="7BE349AD"/>
    <w:rsid w:val="7BF9373B"/>
    <w:rsid w:val="7C064A88"/>
    <w:rsid w:val="7C093CE8"/>
    <w:rsid w:val="7C490611"/>
    <w:rsid w:val="7C66113B"/>
    <w:rsid w:val="7C6B73A1"/>
    <w:rsid w:val="7C745605"/>
    <w:rsid w:val="7C7C1156"/>
    <w:rsid w:val="7C961804"/>
    <w:rsid w:val="7CAF4890"/>
    <w:rsid w:val="7CB9570E"/>
    <w:rsid w:val="7CD442F6"/>
    <w:rsid w:val="7CF14EA8"/>
    <w:rsid w:val="7D1C3DD9"/>
    <w:rsid w:val="7D2708CA"/>
    <w:rsid w:val="7D44147C"/>
    <w:rsid w:val="7D5C0394"/>
    <w:rsid w:val="7D781125"/>
    <w:rsid w:val="7D9615AC"/>
    <w:rsid w:val="7D9677FD"/>
    <w:rsid w:val="7D9A08D8"/>
    <w:rsid w:val="7D9D1678"/>
    <w:rsid w:val="7DA5421F"/>
    <w:rsid w:val="7DC4436B"/>
    <w:rsid w:val="7DCC7E3B"/>
    <w:rsid w:val="7DD00F61"/>
    <w:rsid w:val="7DD81BC4"/>
    <w:rsid w:val="7DE55306"/>
    <w:rsid w:val="7DFA5FDE"/>
    <w:rsid w:val="7E3A63DB"/>
    <w:rsid w:val="7E745D91"/>
    <w:rsid w:val="7E97053E"/>
    <w:rsid w:val="7EAD4DFF"/>
    <w:rsid w:val="7EB025C7"/>
    <w:rsid w:val="7EB02B41"/>
    <w:rsid w:val="7EC5039A"/>
    <w:rsid w:val="7EE55C2F"/>
    <w:rsid w:val="7EE76EDF"/>
    <w:rsid w:val="7EEF5417"/>
    <w:rsid w:val="7F1B4387"/>
    <w:rsid w:val="7F2C15B3"/>
    <w:rsid w:val="7F2F7F0A"/>
    <w:rsid w:val="7F313C82"/>
    <w:rsid w:val="7F470F98"/>
    <w:rsid w:val="7F983D01"/>
    <w:rsid w:val="7FA06711"/>
    <w:rsid w:val="7FAA557E"/>
    <w:rsid w:val="7FE72592"/>
    <w:rsid w:val="7FE81CA9"/>
    <w:rsid w:val="7FF66D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33"/>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6"/>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4">
    <w:name w:val="Default Paragraph Font"/>
    <w:autoRedefine/>
    <w:semiHidden/>
    <w:qFormat/>
    <w:uiPriority w:val="0"/>
  </w:style>
  <w:style w:type="table" w:default="1" w:styleId="22">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index 6"/>
    <w:basedOn w:val="1"/>
    <w:next w:val="1"/>
    <w:autoRedefine/>
    <w:qFormat/>
    <w:uiPriority w:val="0"/>
    <w:pPr>
      <w:ind w:left="1000" w:leftChars="1000"/>
    </w:pPr>
    <w:rPr>
      <w:rFonts w:ascii="Calibri" w:hAnsi="Calibri" w:eastAsia="宋体" w:cs="Times New Roman"/>
    </w:rPr>
  </w:style>
  <w:style w:type="paragraph" w:styleId="9">
    <w:name w:val="Body Text"/>
    <w:basedOn w:val="1"/>
    <w:next w:val="1"/>
    <w:autoRedefine/>
    <w:qFormat/>
    <w:uiPriority w:val="0"/>
  </w:style>
  <w:style w:type="paragraph" w:styleId="10">
    <w:name w:val="Body Text Indent"/>
    <w:basedOn w:val="1"/>
    <w:autoRedefine/>
    <w:qFormat/>
    <w:uiPriority w:val="0"/>
    <w:pPr>
      <w:ind w:firstLine="830" w:firstLineChars="352"/>
    </w:pPr>
    <w:rPr>
      <w:rFonts w:ascii="仿宋_GB2312" w:eastAsia="仿宋_GB2312"/>
      <w:sz w:val="32"/>
    </w:rPr>
  </w:style>
  <w:style w:type="paragraph" w:styleId="11">
    <w:name w:val="Plain Text"/>
    <w:basedOn w:val="1"/>
    <w:autoRedefine/>
    <w:qFormat/>
    <w:uiPriority w:val="0"/>
    <w:rPr>
      <w:rFonts w:ascii="宋体" w:hAnsi="Courier New" w:cs="Courier New"/>
      <w:szCs w:val="21"/>
    </w:rPr>
  </w:style>
  <w:style w:type="paragraph" w:styleId="12">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autoRedefine/>
    <w:qFormat/>
    <w:uiPriority w:val="39"/>
  </w:style>
  <w:style w:type="paragraph" w:styleId="15">
    <w:name w:val="toc 4"/>
    <w:basedOn w:val="1"/>
    <w:next w:val="1"/>
    <w:qFormat/>
    <w:uiPriority w:val="0"/>
    <w:pPr>
      <w:spacing w:line="360" w:lineRule="auto"/>
      <w:ind w:left="630" w:firstLine="425"/>
      <w:jc w:val="left"/>
    </w:pPr>
    <w:rPr>
      <w:sz w:val="18"/>
      <w:szCs w:val="18"/>
    </w:rPr>
  </w:style>
  <w:style w:type="paragraph" w:styleId="16">
    <w:name w:val="toc 2"/>
    <w:basedOn w:val="1"/>
    <w:next w:val="1"/>
    <w:autoRedefine/>
    <w:unhideWhenUsed/>
    <w:qFormat/>
    <w:uiPriority w:val="39"/>
    <w:pPr>
      <w:ind w:left="420" w:leftChars="200"/>
    </w:pPr>
  </w:style>
  <w:style w:type="paragraph" w:styleId="17">
    <w:name w:val="Body Text 2"/>
    <w:basedOn w:val="1"/>
    <w:qFormat/>
    <w:uiPriority w:val="0"/>
    <w:pPr>
      <w:spacing w:line="360" w:lineRule="auto"/>
    </w:pPr>
    <w:rPr>
      <w:rFonts w:ascii="幼圆" w:eastAsia="幼圆"/>
      <w:u w:val="single"/>
    </w:rPr>
  </w:style>
  <w:style w:type="paragraph" w:styleId="18">
    <w:name w:val="HTML Preformatted"/>
    <w:basedOn w:val="1"/>
    <w:next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9">
    <w:name w:val="Normal (Web)"/>
    <w:basedOn w:val="1"/>
    <w:autoRedefine/>
    <w:qFormat/>
    <w:uiPriority w:val="99"/>
    <w:pPr>
      <w:spacing w:beforeAutospacing="1" w:afterAutospacing="1"/>
      <w:jc w:val="left"/>
    </w:pPr>
    <w:rPr>
      <w:rFonts w:cs="Times New Roman"/>
      <w:kern w:val="0"/>
      <w:sz w:val="24"/>
    </w:rPr>
  </w:style>
  <w:style w:type="paragraph" w:styleId="20">
    <w:name w:val="Body Text First Indent"/>
    <w:basedOn w:val="9"/>
    <w:next w:val="21"/>
    <w:autoRedefine/>
    <w:unhideWhenUsed/>
    <w:qFormat/>
    <w:uiPriority w:val="0"/>
    <w:pPr>
      <w:spacing w:line="240" w:lineRule="auto"/>
      <w:ind w:firstLine="420" w:firstLineChars="100"/>
    </w:pPr>
    <w:rPr>
      <w:rFonts w:ascii="Times New Roman" w:hAnsi="Times New Roman"/>
      <w:sz w:val="18"/>
      <w:szCs w:val="18"/>
    </w:rPr>
  </w:style>
  <w:style w:type="paragraph" w:styleId="21">
    <w:name w:val="Body Text First Indent 2"/>
    <w:basedOn w:val="10"/>
    <w:next w:val="1"/>
    <w:autoRedefine/>
    <w:qFormat/>
    <w:uiPriority w:val="0"/>
    <w:pPr>
      <w:spacing w:line="240" w:lineRule="auto"/>
      <w:ind w:firstLine="420" w:firstLineChars="200"/>
    </w:pPr>
    <w:rPr>
      <w:rFonts w:eastAsia="楷体_GB2312"/>
      <w:b/>
      <w:szCs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autoRedefine/>
    <w:qFormat/>
    <w:uiPriority w:val="99"/>
    <w:rPr>
      <w:color w:val="000000"/>
      <w:sz w:val="18"/>
      <w:szCs w:val="18"/>
      <w:u w:val="none"/>
    </w:rPr>
  </w:style>
  <w:style w:type="paragraph" w:customStyle="1" w:styleId="26">
    <w:name w:val="BodyText"/>
    <w:basedOn w:val="1"/>
    <w:qFormat/>
    <w:uiPriority w:val="0"/>
    <w:pPr>
      <w:spacing w:after="120"/>
      <w:jc w:val="both"/>
      <w:textAlignment w:val="baseline"/>
    </w:pPr>
  </w:style>
  <w:style w:type="paragraph" w:customStyle="1" w:styleId="27">
    <w:name w:val="No Spacing"/>
    <w:next w:val="28"/>
    <w:qFormat/>
    <w:uiPriority w:val="0"/>
    <w:pPr>
      <w:widowControl/>
      <w:autoSpaceDE/>
      <w:autoSpaceDN/>
      <w:spacing w:before="0" w:after="0" w:line="240" w:lineRule="auto"/>
      <w:ind w:left="0" w:firstLine="0"/>
    </w:pPr>
    <w:rPr>
      <w:rFonts w:ascii="Calibri" w:hAnsi="Calibri" w:eastAsia="宋体" w:cs="Times New Roman"/>
      <w:sz w:val="22"/>
    </w:rPr>
  </w:style>
  <w:style w:type="paragraph" w:customStyle="1" w:styleId="28">
    <w:name w:val="标准称谓"/>
    <w:next w:val="1"/>
    <w:qFormat/>
    <w:uiPriority w:val="0"/>
    <w:pPr>
      <w:widowControl w:val="0"/>
      <w:autoSpaceDE w:val="0"/>
      <w:autoSpaceDN w:val="0"/>
      <w:spacing w:before="0" w:after="0" w:line="240" w:lineRule="atLeast"/>
      <w:ind w:left="0" w:firstLine="0"/>
    </w:pPr>
    <w:rPr>
      <w:rFonts w:ascii="宋体" w:hAnsi="Calibri" w:eastAsia="宋体" w:cs="Times New Roman"/>
      <w:b/>
      <w:sz w:val="52"/>
    </w:rPr>
  </w:style>
  <w:style w:type="paragraph" w:customStyle="1" w:styleId="29">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正文缩进1"/>
    <w:basedOn w:val="1"/>
    <w:autoRedefine/>
    <w:qFormat/>
    <w:uiPriority w:val="0"/>
    <w:pPr>
      <w:ind w:firstLine="420" w:firstLineChars="200"/>
    </w:pPr>
  </w:style>
  <w:style w:type="paragraph" w:customStyle="1" w:styleId="31">
    <w:name w:val="正文（缩进 2 字符）"/>
    <w:basedOn w:val="1"/>
    <w:autoRedefine/>
    <w:qFormat/>
    <w:uiPriority w:val="0"/>
    <w:pPr>
      <w:ind w:firstLine="200" w:firstLineChars="200"/>
    </w:pPr>
  </w:style>
  <w:style w:type="paragraph" w:customStyle="1" w:styleId="32">
    <w:name w:val="正文（缩进 4 字符）"/>
    <w:basedOn w:val="1"/>
    <w:autoRedefine/>
    <w:qFormat/>
    <w:uiPriority w:val="0"/>
    <w:pPr>
      <w:ind w:firstLine="1134" w:firstLineChars="400"/>
    </w:pPr>
  </w:style>
  <w:style w:type="character" w:customStyle="1" w:styleId="33">
    <w:name w:val="标题 1 Char1"/>
    <w:link w:val="2"/>
    <w:autoRedefine/>
    <w:qFormat/>
    <w:uiPriority w:val="9"/>
    <w:rPr>
      <w:rFonts w:eastAsia="黑体"/>
      <w:b/>
      <w:bCs/>
      <w:color w:val="000000"/>
      <w:kern w:val="44"/>
      <w:sz w:val="32"/>
      <w:szCs w:val="36"/>
    </w:rPr>
  </w:style>
  <w:style w:type="paragraph" w:customStyle="1" w:styleId="34">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5">
    <w:name w:val="标题 2（投标文件）"/>
    <w:basedOn w:val="3"/>
    <w:autoRedefine/>
    <w:qFormat/>
    <w:uiPriority w:val="0"/>
    <w:pPr>
      <w:jc w:val="center"/>
    </w:pPr>
  </w:style>
  <w:style w:type="character" w:customStyle="1" w:styleId="36">
    <w:name w:val="标题 2 Char"/>
    <w:link w:val="3"/>
    <w:autoRedefine/>
    <w:qFormat/>
    <w:uiPriority w:val="9"/>
    <w:rPr>
      <w:rFonts w:ascii="Calibri" w:hAnsi="Calibri" w:cs="Calibri"/>
      <w:b/>
      <w:bCs/>
      <w:sz w:val="30"/>
      <w:szCs w:val="32"/>
    </w:rPr>
  </w:style>
  <w:style w:type="paragraph" w:customStyle="1" w:styleId="37">
    <w:name w:val="标题 3（投标文件）"/>
    <w:basedOn w:val="4"/>
    <w:autoRedefine/>
    <w:qFormat/>
    <w:uiPriority w:val="0"/>
    <w:pPr>
      <w:jc w:val="left"/>
    </w:pPr>
  </w:style>
  <w:style w:type="paragraph" w:customStyle="1" w:styleId="38">
    <w:name w:val="正文文本 31"/>
    <w:basedOn w:val="1"/>
    <w:autoRedefine/>
    <w:qFormat/>
    <w:uiPriority w:val="0"/>
    <w:rPr>
      <w:sz w:val="16"/>
      <w:szCs w:val="16"/>
    </w:rPr>
  </w:style>
  <w:style w:type="character" w:customStyle="1" w:styleId="39">
    <w:name w:val="NormalCharacter"/>
    <w:autoRedefine/>
    <w:qFormat/>
    <w:uiPriority w:val="0"/>
    <w:rPr>
      <w:kern w:val="2"/>
      <w:sz w:val="21"/>
      <w:szCs w:val="22"/>
      <w:lang w:val="en-US" w:eastAsia="zh-CN" w:bidi="ar-SA"/>
    </w:rPr>
  </w:style>
  <w:style w:type="character" w:customStyle="1" w:styleId="40">
    <w:name w:val="UserStyle_0"/>
    <w:autoRedefine/>
    <w:semiHidden/>
    <w:qFormat/>
    <w:uiPriority w:val="0"/>
  </w:style>
  <w:style w:type="paragraph" w:customStyle="1" w:styleId="41">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42">
    <w:name w:val="Table Normal"/>
    <w:autoRedefine/>
    <w:qFormat/>
    <w:uiPriority w:val="0"/>
    <w:tblPr>
      <w:tblCellMar>
        <w:top w:w="0" w:type="dxa"/>
        <w:left w:w="0" w:type="dxa"/>
        <w:bottom w:w="0" w:type="dxa"/>
        <w:right w:w="0" w:type="dxa"/>
      </w:tblCellMar>
    </w:tblPr>
  </w:style>
  <w:style w:type="character" w:customStyle="1" w:styleId="43">
    <w:name w:val="15"/>
    <w:basedOn w:val="24"/>
    <w:qFormat/>
    <w:uiPriority w:val="0"/>
    <w:rPr>
      <w:rFonts w:hint="eastAsia" w:ascii="宋体" w:hAnsi="宋体" w:eastAsia="宋体"/>
      <w:color w:val="000000"/>
      <w:sz w:val="22"/>
      <w:szCs w:val="22"/>
    </w:rPr>
  </w:style>
  <w:style w:type="paragraph" w:customStyle="1" w:styleId="4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5">
    <w:name w:val="正文1"/>
    <w:next w:val="1"/>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6">
    <w:name w:val="※正文"/>
    <w:basedOn w:val="1"/>
    <w:next w:val="1"/>
    <w:qFormat/>
    <w:uiPriority w:val="0"/>
    <w:pPr>
      <w:widowControl/>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71</Pages>
  <Words>22449</Words>
  <Characters>23365</Characters>
  <Lines>0</Lines>
  <Paragraphs>0</Paragraphs>
  <TotalTime>29</TotalTime>
  <ScaleCrop>false</ScaleCrop>
  <LinksUpToDate>false</LinksUpToDate>
  <CharactersWithSpaces>23445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祈如初</cp:lastModifiedBy>
  <cp:lastPrinted>2026-08-31T08:06:00Z</cp:lastPrinted>
  <dcterms:modified xsi:type="dcterms:W3CDTF">2026-10-13T02:50:09Z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57564B1FD8F74468BB30EF871D83CAE9_13</vt:lpwstr>
  </property>
  <property fmtid="{D5CDD505-2E9C-101B-9397-08002B2CF9AE}" pid="4" name="KSOTemplateDocerSaveRecord">
    <vt:lpwstr>eyJoZGlkIjoiNmRmMDE3MjZkNzUzM2NhYTc5YjY5Y2Q5MjlhZTkyNGQiLCJ1c2VySWQiOiIxNzMyNTM1MjczIn0=</vt:lpwstr>
  </property>
</Properties>
</file>