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版本号：BCJ2026-017.1B120260831001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保安服务(二次)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BCJ2026-017.1B1</w:t>
      </w:r>
      <w:r>
        <w:br/>
      </w:r>
      <w:r>
        <w:br/>
      </w:r>
      <w:r>
        <w:br/>
      </w:r>
    </w:p>
    <w:p>
      <w:pPr>
        <w:pStyle w:val="null3"/>
        <w:jc w:val="center"/>
        <w:outlineLvl w:val="2"/>
      </w:pPr>
      <w:r>
        <w:rPr>
          <w:rFonts w:ascii="仿宋_GB2312" w:hAnsi="仿宋_GB2312" w:cs="仿宋_GB2312" w:eastAsia="仿宋_GB2312"/>
          <w:sz w:val="28"/>
          <w:b/>
        </w:rPr>
        <w:t>宝鸡市康复医院</w:t>
      </w:r>
    </w:p>
    <w:p>
      <w:pPr>
        <w:pStyle w:val="null3"/>
        <w:jc w:val="center"/>
        <w:outlineLvl w:val="2"/>
      </w:pPr>
      <w:r>
        <w:rPr>
          <w:rFonts w:ascii="仿宋_GB2312" w:hAnsi="仿宋_GB2312" w:cs="仿宋_GB2312" w:eastAsia="仿宋_GB2312"/>
          <w:sz w:val="28"/>
          <w:b/>
        </w:rPr>
        <w:t>宝鸡市政府采购中心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宝鸡市政府采购中心</w:t>
      </w:r>
      <w:r>
        <w:rPr>
          <w:rFonts w:ascii="仿宋_GB2312" w:hAnsi="仿宋_GB2312" w:cs="仿宋_GB2312" w:eastAsia="仿宋_GB2312"/>
        </w:rPr>
        <w:t>（以下简称“代理机构”）受</w:t>
      </w:r>
      <w:r>
        <w:rPr>
          <w:rFonts w:ascii="仿宋_GB2312" w:hAnsi="仿宋_GB2312" w:cs="仿宋_GB2312" w:eastAsia="仿宋_GB2312"/>
        </w:rPr>
        <w:t>宝鸡市康复医院</w:t>
      </w:r>
      <w:r>
        <w:rPr>
          <w:rFonts w:ascii="仿宋_GB2312" w:hAnsi="仿宋_GB2312" w:cs="仿宋_GB2312" w:eastAsia="仿宋_GB2312"/>
        </w:rPr>
        <w:t>委托，拟对</w:t>
      </w:r>
      <w:r>
        <w:rPr>
          <w:rFonts w:ascii="仿宋_GB2312" w:hAnsi="仿宋_GB2312" w:cs="仿宋_GB2312" w:eastAsia="仿宋_GB2312"/>
        </w:rPr>
        <w:t>保安服务(二次)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BCJ2026-017.1B1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保安服务(二次)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 xml:space="preserve"> 一、医院基本情况 宝鸡市康复医院、宝鸡市精神卫生中心是一所集预防、医疗、科研、教学、康复为一体的二级甲等精神病专科医院，是西北地区首家通过评审的地市级专科医院。医院实行“一院两址”运行模式，西区位于宝鸡市群众路241号，以收治老年精神障碍、强制医疗和危险度评定三级及以上精神障碍患者为主；东区位于陕西省宝鸡市千河镇底县路068号，以收治焦虑、抑郁、失眠、康复等轻型精神障碍患者为主，注册床位490张。 二、服务内容 按要求配置标准、规范、合格的安保人员，为我院东、西两院区提供专业优质的安保服务，负责做好区域内秩序维护、治安防范、消防安全等工作，预防和制止侵害我院工作人员安全的行为以及群体性事件的应急处置；同时按照门卫治安岗、门诊治安岗、监控岗、治安巡逻岗要求，做好车辆出入管理、流动可疑人员盘查、消防治安巡查等全院秩序维护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采购包1（宝鸡市康复医院保安服务采购）：属于专门面向中小企业采购。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保安服务许可证：供应商必须具有公安机关核发的，且在有效期内的《保安服务许可证》，如果投标供应商为陕西省外注册的企业，须出具承诺书，承诺自承接本项目之日起30日内向采购人所在地（宝鸡市）社区的人民政府公安机关备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只需校验证书及签章的有效性后，即可按照系统操作要求进行身份信息绑定、权限设置和系统操作；未办理互认的证书及签章的供应商，应当按要求办理互认的证书及签章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（三）供应商应当自行准备适应电子化采购所需的计算机终端、软硬件及网络环境，承担因准备不足产生的不利后果。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ind w:firstLine="480"/>
        <w:jc w:val="left"/>
      </w:pPr>
      <w:r>
        <w:rPr>
          <w:rFonts w:ascii="仿宋_GB2312" w:hAnsi="仿宋_GB2312" w:cs="仿宋_GB2312" w:eastAsia="仿宋_GB2312"/>
        </w:rPr>
        <w:t xml:space="preserve"> 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宝鸡市康复医院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宝鸡市群众路241号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宝鸡市康复医院经办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17392651216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宝鸡市政府采购中心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陕西省宝鸡市金台区宝鸡市行政大道8号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宝鸡市政府采购中心田玉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0917-3262179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宝鸡市财政局政府采购管理科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 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0917-3262072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采购包1：596,400.00元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产品属于节能产品政府采购品目清单中应强制采购的产品范围，供应商应当按照第七章强制、优先采购产品承诺函格式进行承诺，否则作无效响应处理。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产品属于环境标志产品政府采购品目清单中应优先采购的产品范围，供应商可根据第七章强制、优先采购产品承诺函格式要求承诺提供经认证的节能、环境标志产品。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谈判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应当加盖供应商公章，在谈判小组要求的时间内通过项目电子化交易系统进行提交，否则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成交通知书领取</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 xml:space="preserve"> 二、本竞争性谈判文件的最终解释权由</w:t>
      </w:r>
      <w:r>
        <w:rPr>
          <w:rFonts w:ascii="仿宋_GB2312" w:hAnsi="仿宋_GB2312" w:cs="仿宋_GB2312" w:eastAsia="仿宋_GB2312"/>
        </w:rPr>
        <w:t>宝鸡市康复医院</w:t>
      </w:r>
      <w:r>
        <w:rPr>
          <w:rFonts w:ascii="仿宋_GB2312" w:hAnsi="仿宋_GB2312" w:cs="仿宋_GB2312" w:eastAsia="仿宋_GB2312"/>
        </w:rPr>
        <w:t>和</w:t>
      </w:r>
      <w:r>
        <w:rPr>
          <w:rFonts w:ascii="仿宋_GB2312" w:hAnsi="仿宋_GB2312" w:cs="仿宋_GB2312" w:eastAsia="仿宋_GB2312"/>
        </w:rPr>
        <w:t>宝鸡市政府采购中心</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宝鸡市康复医院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宝鸡市政府采购中心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宝鸡市康复医院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宝鸡市政府采购中心</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pPr>
      <w:r>
        <w:rPr>
          <w:rFonts w:ascii="仿宋_GB2312" w:hAnsi="仿宋_GB2312" w:cs="仿宋_GB2312" w:eastAsia="仿宋_GB2312"/>
        </w:rPr>
        <w:t xml:space="preserve"> 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一、供应商的报价是供应商响应谈判项目要求的全部工作内容的价格体现，包括供应商完成本项目所需的一切费用。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2.4.8响应文件有效期</w:t>
      </w:r>
    </w:p>
    <w:p>
      <w:pPr>
        <w:pStyle w:val="null3"/>
        <w:ind w:firstLine="480"/>
      </w:pPr>
      <w:r>
        <w:rPr>
          <w:rFonts w:ascii="仿宋_GB2312" w:hAnsi="仿宋_GB2312" w:cs="仿宋_GB2312" w:eastAsia="仿宋_GB2312"/>
        </w:rPr>
        <w:t>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1、整体服务符合《保安服务管理条例》及公安、消防行业规范，完全满足本采购需求全部条款。 2、人员足额在岗、资质齐全有效、装备配齐完好、执勤规范到位。 3、月度考核资料齐全、培训台账完整、隐患整改闭环到位。 4、服务期内无责任安全事故、无重大投诉、无履职失职问题，服务满意度达标。 5、日常值守、巡逻、消防、应急、秩序管理等全部工作满足医院安全生产及治安保卫工作管理要求。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（1）参加采购活动前3年内与供应商存在劳动关系；</w:t>
      </w:r>
    </w:p>
    <w:p>
      <w:pPr>
        <w:pStyle w:val="null3"/>
        <w:ind w:firstLine="480"/>
      </w:pPr>
      <w:r>
        <w:rPr>
          <w:rFonts w:ascii="仿宋_GB2312" w:hAnsi="仿宋_GB2312" w:cs="仿宋_GB2312" w:eastAsia="仿宋_GB2312"/>
        </w:rPr>
        <w:t>（2）参加采购活动前3年内担任供应商的董事、监事；</w:t>
      </w:r>
    </w:p>
    <w:p>
      <w:pPr>
        <w:pStyle w:val="null3"/>
        <w:ind w:firstLine="480"/>
      </w:pPr>
      <w:r>
        <w:rPr>
          <w:rFonts w:ascii="仿宋_GB2312" w:hAnsi="仿宋_GB2312" w:cs="仿宋_GB2312" w:eastAsia="仿宋_GB2312"/>
        </w:rPr>
        <w:t>（3）参加采购活动前3年内是供应商的控股股东或者实际控制人；</w:t>
      </w:r>
    </w:p>
    <w:p>
      <w:pPr>
        <w:pStyle w:val="null3"/>
        <w:ind w:firstLine="480"/>
      </w:pPr>
      <w:r>
        <w:rPr>
          <w:rFonts w:ascii="仿宋_GB2312" w:hAnsi="仿宋_GB2312" w:cs="仿宋_GB2312" w:eastAsia="仿宋_GB2312"/>
        </w:rPr>
        <w:t>（4）与供应商的法定代表人或者负责人有夫妻、直系血亲、三代以内旁系血亲或者近姻亲关系；</w:t>
      </w:r>
    </w:p>
    <w:p>
      <w:pPr>
        <w:pStyle w:val="null3"/>
        <w:ind w:firstLine="480"/>
      </w:pPr>
      <w:r>
        <w:rPr>
          <w:rFonts w:ascii="仿宋_GB2312" w:hAnsi="仿宋_GB2312" w:cs="仿宋_GB2312" w:eastAsia="仿宋_GB2312"/>
        </w:rPr>
        <w:t>（5）与供应商有其他可能影响政府采购活动公平、公正进行的关系。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宝鸡市康复医院</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宝鸡市政府采购中心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宝鸡市政府采购中心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联系人：宝鸡市政府采购中心</w:t>
      </w:r>
    </w:p>
    <w:p>
      <w:pPr>
        <w:pStyle w:val="null3"/>
      </w:pPr>
      <w:r>
        <w:rPr>
          <w:rFonts w:ascii="仿宋_GB2312" w:hAnsi="仿宋_GB2312" w:cs="仿宋_GB2312" w:eastAsia="仿宋_GB2312"/>
        </w:rPr>
        <w:t>联系电话：0917—3262177</w:t>
      </w:r>
    </w:p>
    <w:p>
      <w:pPr>
        <w:pStyle w:val="null3"/>
      </w:pPr>
      <w:r>
        <w:rPr>
          <w:rFonts w:ascii="仿宋_GB2312" w:hAnsi="仿宋_GB2312" w:cs="仿宋_GB2312" w:eastAsia="仿宋_GB2312"/>
        </w:rPr>
        <w:t>地址：宝鸡市行政大道8号海棠风尚6楼综合科（624室）</w:t>
      </w:r>
    </w:p>
    <w:p>
      <w:pPr>
        <w:pStyle w:val="null3"/>
      </w:pPr>
      <w:r>
        <w:rPr>
          <w:rFonts w:ascii="仿宋_GB2312" w:hAnsi="仿宋_GB2312" w:cs="仿宋_GB2312" w:eastAsia="仿宋_GB2312"/>
        </w:rPr>
        <w:t>邮编：721000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宝鸡市康复医院（宝鸡市精神卫生中心）是一所集预防、医疗、科研、教学、康复为一体的二级甲等精神病专科医院。医院实行“一院两址”运行模式，西区位于宝鸡市群众路241号，以收治老年精神障碍、强制医疗和危险度评定三级及以上精神障碍患者为主；东区位于陕西省宝鸡市千河镇底县路068号，以收治焦虑、抑郁、失眠、康复等轻型精神障碍患者为主。全院注册床位490张。 本项目按照《保安服务管理条例》《公安机关实施保安服务管理条例办法》及医院治安、消防管理制度，派驻标准、规范、合格的安保人员，服务宝鸡市康复医院东、西两院区安保值守、秩序维护、治安防范、消防安全巡查、应急处置、医患秩序管理、院区安全管控等全部安保工作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596,400.00</w:t>
      </w:r>
    </w:p>
    <w:p>
      <w:pPr>
        <w:pStyle w:val="null3"/>
      </w:pPr>
      <w:r>
        <w:rPr>
          <w:rFonts w:ascii="仿宋_GB2312" w:hAnsi="仿宋_GB2312" w:cs="仿宋_GB2312" w:eastAsia="仿宋_GB2312"/>
        </w:rPr>
        <w:t>采购包最高限价（元）: 596,400.00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596,400.00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center"/>
            </w:pPr>
            <w:r>
              <w:rPr>
                <w:rFonts w:ascii="仿宋_GB2312" w:hAnsi="仿宋_GB2312" w:cs="仿宋_GB2312" w:eastAsia="仿宋_GB2312"/>
                <w:sz w:val="36"/>
                <w:b/>
              </w:rPr>
              <w:t>采购项目简介</w:t>
            </w:r>
          </w:p>
          <w:p>
            <w:pPr>
              <w:pStyle w:val="null3"/>
              <w:numPr>
                <w:ilvl w:val="0"/>
                <w:numId w:val="1"/>
              </w:numPr>
              <w:ind w:firstLine="562"/>
              <w:jc w:val="both"/>
            </w:pPr>
            <w:r>
              <w:rPr>
                <w:rFonts w:ascii="仿宋_GB2312" w:hAnsi="仿宋_GB2312" w:cs="仿宋_GB2312" w:eastAsia="仿宋_GB2312"/>
                <w:sz w:val="28"/>
                <w:b/>
              </w:rPr>
              <w:t>采购内容：</w:t>
            </w:r>
            <w:r>
              <w:rPr>
                <w:rFonts w:ascii="仿宋_GB2312" w:hAnsi="仿宋_GB2312" w:cs="仿宋_GB2312" w:eastAsia="仿宋_GB2312"/>
                <w:sz w:val="28"/>
              </w:rPr>
              <w:t>保安服务1项</w:t>
            </w:r>
          </w:p>
          <w:p>
            <w:pPr>
              <w:pStyle w:val="null3"/>
              <w:ind w:firstLine="562"/>
              <w:jc w:val="both"/>
            </w:pPr>
            <w:r>
              <w:rPr>
                <w:rFonts w:ascii="仿宋_GB2312" w:hAnsi="仿宋_GB2312" w:cs="仿宋_GB2312" w:eastAsia="仿宋_GB2312"/>
                <w:sz w:val="28"/>
                <w:b/>
              </w:rPr>
              <w:t>二、项目基本内容及要求</w:t>
            </w:r>
          </w:p>
          <w:p>
            <w:pPr>
              <w:pStyle w:val="null3"/>
              <w:ind w:firstLine="562"/>
              <w:jc w:val="both"/>
            </w:pPr>
            <w:r>
              <w:rPr>
                <w:rFonts w:ascii="仿宋_GB2312" w:hAnsi="仿宋_GB2312" w:cs="仿宋_GB2312" w:eastAsia="仿宋_GB2312"/>
                <w:sz w:val="28"/>
                <w:b/>
              </w:rPr>
              <w:t>（一）基本情况</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、基本情况：</w:t>
            </w:r>
            <w:r>
              <w:rPr>
                <w:rFonts w:ascii="仿宋_GB2312" w:hAnsi="仿宋_GB2312" w:cs="仿宋_GB2312" w:eastAsia="仿宋_GB2312"/>
                <w:sz w:val="28"/>
              </w:rPr>
              <w:t>宝鸡市康复医院（宝鸡市精神卫生中心）是一所集预防、医疗、科研、教学、康复为一体的二级甲等精神病专科医院。医院实行“一院两址”运行模式，西区位于宝鸡市群众路</w:t>
            </w:r>
            <w:r>
              <w:rPr>
                <w:rFonts w:ascii="仿宋_GB2312" w:hAnsi="仿宋_GB2312" w:cs="仿宋_GB2312" w:eastAsia="仿宋_GB2312"/>
                <w:sz w:val="28"/>
              </w:rPr>
              <w:t>241</w:t>
            </w:r>
            <w:r>
              <w:rPr>
                <w:rFonts w:ascii="仿宋_GB2312" w:hAnsi="仿宋_GB2312" w:cs="仿宋_GB2312" w:eastAsia="仿宋_GB2312"/>
                <w:sz w:val="28"/>
              </w:rPr>
              <w:t>号，以收治老年精神障碍、强制医疗和危险度评定三级及以上精神障碍患者为主；东区位于陕西省宝鸡市千河镇底县路</w:t>
            </w:r>
            <w:r>
              <w:rPr>
                <w:rFonts w:ascii="仿宋_GB2312" w:hAnsi="仿宋_GB2312" w:cs="仿宋_GB2312" w:eastAsia="仿宋_GB2312"/>
                <w:sz w:val="28"/>
              </w:rPr>
              <w:t>068</w:t>
            </w:r>
            <w:r>
              <w:rPr>
                <w:rFonts w:ascii="仿宋_GB2312" w:hAnsi="仿宋_GB2312" w:cs="仿宋_GB2312" w:eastAsia="仿宋_GB2312"/>
                <w:sz w:val="28"/>
              </w:rPr>
              <w:t>号，以收治焦虑、抑郁、失眠、康复等轻型精神障碍患者为主。全院注册床位</w:t>
            </w:r>
            <w:r>
              <w:rPr>
                <w:rFonts w:ascii="仿宋_GB2312" w:hAnsi="仿宋_GB2312" w:cs="仿宋_GB2312" w:eastAsia="仿宋_GB2312"/>
                <w:sz w:val="28"/>
              </w:rPr>
              <w:t>490</w:t>
            </w:r>
            <w:r>
              <w:rPr>
                <w:rFonts w:ascii="仿宋_GB2312" w:hAnsi="仿宋_GB2312" w:cs="仿宋_GB2312" w:eastAsia="仿宋_GB2312"/>
                <w:sz w:val="28"/>
              </w:rPr>
              <w:t>张。</w:t>
            </w:r>
          </w:p>
          <w:p>
            <w:pPr>
              <w:pStyle w:val="null3"/>
              <w:ind w:firstLine="420"/>
              <w:jc w:val="both"/>
            </w:pPr>
            <w:r>
              <w:rPr>
                <w:rFonts w:ascii="仿宋_GB2312" w:hAnsi="仿宋_GB2312" w:cs="仿宋_GB2312" w:eastAsia="仿宋_GB2312"/>
                <w:sz w:val="28"/>
              </w:rPr>
              <w:t>2</w:t>
            </w:r>
            <w:r>
              <w:rPr>
                <w:rFonts w:ascii="仿宋_GB2312" w:hAnsi="仿宋_GB2312" w:cs="仿宋_GB2312" w:eastAsia="仿宋_GB2312"/>
                <w:sz w:val="28"/>
              </w:rPr>
              <w:t>、服务内容：</w:t>
            </w:r>
            <w:r>
              <w:rPr>
                <w:rFonts w:ascii="仿宋_GB2312" w:hAnsi="仿宋_GB2312" w:cs="仿宋_GB2312" w:eastAsia="仿宋_GB2312"/>
                <w:sz w:val="28"/>
              </w:rPr>
              <w:t>按照《保安服务管理条例》《公安机关实施保安服务管理条例办法》及医院治安、消防管理制度，</w:t>
            </w:r>
            <w:r>
              <w:rPr>
                <w:rFonts w:ascii="仿宋_GB2312" w:hAnsi="仿宋_GB2312" w:cs="仿宋_GB2312" w:eastAsia="仿宋_GB2312"/>
                <w:sz w:val="28"/>
              </w:rPr>
              <w:t>派驻标准、规范、合格的安保人员，</w:t>
            </w:r>
            <w:r>
              <w:rPr>
                <w:rFonts w:ascii="仿宋_GB2312" w:hAnsi="仿宋_GB2312" w:cs="仿宋_GB2312" w:eastAsia="仿宋_GB2312"/>
                <w:sz w:val="28"/>
              </w:rPr>
              <w:t>服务宝鸡市康复医院东、西两院区安保值守、秩序维护、治安防范、消防安全巡查、应急处置、医患秩序管理、院区安全管控等全部安保工作内容。</w:t>
            </w:r>
          </w:p>
          <w:p>
            <w:pPr>
              <w:pStyle w:val="null3"/>
              <w:ind w:firstLine="562"/>
              <w:jc w:val="both"/>
            </w:pPr>
            <w:r>
              <w:rPr>
                <w:rFonts w:ascii="仿宋_GB2312" w:hAnsi="仿宋_GB2312" w:cs="仿宋_GB2312" w:eastAsia="仿宋_GB2312"/>
                <w:sz w:val="28"/>
                <w:b/>
              </w:rPr>
              <w:t>（二）基本要求</w:t>
            </w:r>
          </w:p>
          <w:p>
            <w:pPr>
              <w:pStyle w:val="null3"/>
              <w:spacing w:after="120"/>
              <w:ind w:firstLine="562"/>
              <w:jc w:val="both"/>
            </w:pPr>
            <w:r>
              <w:rPr>
                <w:rFonts w:ascii="仿宋_GB2312" w:hAnsi="仿宋_GB2312" w:cs="仿宋_GB2312" w:eastAsia="仿宋_GB2312"/>
                <w:sz w:val="28"/>
                <w:b/>
              </w:rPr>
              <w:t>1</w:t>
            </w:r>
            <w:r>
              <w:rPr>
                <w:rFonts w:ascii="仿宋_GB2312" w:hAnsi="仿宋_GB2312" w:cs="仿宋_GB2312" w:eastAsia="仿宋_GB2312"/>
                <w:sz w:val="28"/>
                <w:b/>
              </w:rPr>
              <w:t>、服务标准及要求</w:t>
            </w:r>
          </w:p>
          <w:p>
            <w:pPr>
              <w:pStyle w:val="null3"/>
              <w:spacing w:after="120"/>
              <w:ind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）须结合精神卫生医疗机构特殊性，制定院区安保管理制度、岗位细则、巡逻制度、消防巡查制度、突发事件应急预案、群体性事件处置预案、医患纠纷处置预案，制度齐全、流程规范、响应迅速。</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）依法文明执勤、规范履职，保障全院医患人身安全及医院财产安全，维护正常诊疗秩序。</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）服务期内无责任治安案件、无责任消防事故、无重大安保失职事件，全院安保服务综合满意率≥</w:t>
            </w:r>
            <w:r>
              <w:rPr>
                <w:rFonts w:ascii="仿宋_GB2312" w:hAnsi="仿宋_GB2312" w:cs="仿宋_GB2312" w:eastAsia="仿宋_GB2312"/>
                <w:sz w:val="28"/>
              </w:rPr>
              <w:t>85%</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）严格落实院区日常巡逻、出入口管控、访客登记、车辆秩序管理、消防设施巡查、隐患排查整改、夜间值守等工作。</w:t>
            </w:r>
          </w:p>
          <w:p>
            <w:pPr>
              <w:pStyle w:val="null3"/>
              <w:ind w:firstLine="562"/>
              <w:jc w:val="both"/>
            </w:pPr>
            <w:r>
              <w:rPr>
                <w:rFonts w:ascii="仿宋_GB2312" w:hAnsi="仿宋_GB2312" w:cs="仿宋_GB2312" w:eastAsia="仿宋_GB2312"/>
                <w:sz w:val="28"/>
                <w:b/>
              </w:rPr>
              <w:t>2</w:t>
            </w:r>
            <w:r>
              <w:rPr>
                <w:rFonts w:ascii="仿宋_GB2312" w:hAnsi="仿宋_GB2312" w:cs="仿宋_GB2312" w:eastAsia="仿宋_GB2312"/>
                <w:sz w:val="28"/>
                <w:b/>
              </w:rPr>
              <w:t>、</w:t>
            </w:r>
            <w:r>
              <w:rPr>
                <w:rFonts w:ascii="仿宋_GB2312" w:hAnsi="仿宋_GB2312" w:cs="仿宋_GB2312" w:eastAsia="仿宋_GB2312"/>
                <w:sz w:val="20"/>
                <w:color w:val="000000"/>
                <w:shd w:fill="FFF5EC" w:val="clear"/>
              </w:rPr>
              <w:t>★</w:t>
            </w:r>
            <w:r>
              <w:rPr>
                <w:rFonts w:ascii="仿宋_GB2312" w:hAnsi="仿宋_GB2312" w:cs="仿宋_GB2312" w:eastAsia="仿宋_GB2312"/>
                <w:sz w:val="28"/>
                <w:b/>
              </w:rPr>
              <w:t>质量技术标准要求</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）所有派驻人员为</w:t>
            </w:r>
            <w:r>
              <w:rPr>
                <w:rFonts w:ascii="仿宋_GB2312" w:hAnsi="仿宋_GB2312" w:cs="仿宋_GB2312" w:eastAsia="仿宋_GB2312"/>
                <w:sz w:val="28"/>
              </w:rPr>
              <w:t>18</w:t>
            </w:r>
            <w:r>
              <w:rPr>
                <w:rFonts w:ascii="仿宋_GB2312" w:hAnsi="仿宋_GB2312" w:cs="仿宋_GB2312" w:eastAsia="仿宋_GB2312"/>
                <w:sz w:val="28"/>
              </w:rPr>
              <w:t>–</w:t>
            </w:r>
            <w:r>
              <w:rPr>
                <w:rFonts w:ascii="仿宋_GB2312" w:hAnsi="仿宋_GB2312" w:cs="仿宋_GB2312" w:eastAsia="仿宋_GB2312"/>
                <w:sz w:val="28"/>
              </w:rPr>
              <w:t>55</w:t>
            </w:r>
            <w:r>
              <w:rPr>
                <w:rFonts w:ascii="仿宋_GB2312" w:hAnsi="仿宋_GB2312" w:cs="仿宋_GB2312" w:eastAsia="仿宋_GB2312"/>
                <w:sz w:val="28"/>
              </w:rPr>
              <w:t>周岁男性，身高</w:t>
            </w:r>
            <w:r>
              <w:rPr>
                <w:rFonts w:ascii="仿宋_GB2312" w:hAnsi="仿宋_GB2312" w:cs="仿宋_GB2312" w:eastAsia="仿宋_GB2312"/>
                <w:sz w:val="28"/>
              </w:rPr>
              <w:t>165cm</w:t>
            </w:r>
            <w:r>
              <w:rPr>
                <w:rFonts w:ascii="仿宋_GB2312" w:hAnsi="仿宋_GB2312" w:cs="仿宋_GB2312" w:eastAsia="仿宋_GB2312"/>
                <w:sz w:val="28"/>
              </w:rPr>
              <w:t>及以上，身体健康、无传染病、无残疾、无不良嗜好。</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）无违法犯罪记录、无征信重大不良记录，政治面貌良好、服从管理、爱岗敬业。</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）保安人员持《保安员证》上岗；消防控制室人员必须持中级消防设施操作员证，并具备基础文字录入、台账登记能力。</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）熟悉治安、消防法律法规，具备院区安防处置、医患矛盾劝导、突发事件初步处置、消防隐患排查能力，礼仪规范、文明执勤。</w:t>
            </w:r>
          </w:p>
          <w:p>
            <w:pPr>
              <w:pStyle w:val="null3"/>
              <w:ind w:firstLine="562"/>
              <w:jc w:val="both"/>
            </w:pPr>
            <w:r>
              <w:rPr>
                <w:rFonts w:ascii="仿宋_GB2312" w:hAnsi="仿宋_GB2312" w:cs="仿宋_GB2312" w:eastAsia="仿宋_GB2312"/>
                <w:sz w:val="28"/>
                <w:b/>
              </w:rPr>
              <w:t>3</w:t>
            </w:r>
            <w:r>
              <w:rPr>
                <w:rFonts w:ascii="仿宋_GB2312" w:hAnsi="仿宋_GB2312" w:cs="仿宋_GB2312" w:eastAsia="仿宋_GB2312"/>
                <w:sz w:val="28"/>
                <w:b/>
              </w:rPr>
              <w:t>、</w:t>
            </w:r>
            <w:r>
              <w:rPr>
                <w:rFonts w:ascii="仿宋_GB2312" w:hAnsi="仿宋_GB2312" w:cs="仿宋_GB2312" w:eastAsia="仿宋_GB2312"/>
                <w:sz w:val="20"/>
                <w:color w:val="000000"/>
                <w:shd w:fill="FFF5EC" w:val="clear"/>
              </w:rPr>
              <w:t>★</w:t>
            </w:r>
            <w:r>
              <w:rPr>
                <w:rFonts w:ascii="仿宋_GB2312" w:hAnsi="仿宋_GB2312" w:cs="仿宋_GB2312" w:eastAsia="仿宋_GB2312"/>
                <w:sz w:val="28"/>
                <w:b/>
              </w:rPr>
              <w:t>人员配置</w:t>
            </w:r>
          </w:p>
          <w:p>
            <w:pPr>
              <w:pStyle w:val="null3"/>
              <w:ind w:firstLine="560"/>
            </w:pPr>
            <w:r>
              <w:rPr>
                <w:rFonts w:ascii="仿宋_GB2312" w:hAnsi="仿宋_GB2312" w:cs="仿宋_GB2312" w:eastAsia="仿宋_GB2312"/>
                <w:sz w:val="28"/>
                <w:color w:val="000000"/>
              </w:rPr>
              <w:t>（1）东区：配置10名保安员和2名消防控制室值班人员</w:t>
            </w:r>
            <w:r>
              <w:rPr>
                <w:rFonts w:ascii="仿宋_GB2312" w:hAnsi="仿宋_GB2312" w:cs="仿宋_GB2312" w:eastAsia="仿宋_GB2312"/>
                <w:sz w:val="28"/>
              </w:rPr>
              <w:t>，共12人。岗位分为东门岗、南门岗、门诊岗（机动）、消防控制室共4</w:t>
            </w:r>
            <w:r>
              <w:rPr>
                <w:rFonts w:ascii="仿宋_GB2312" w:hAnsi="仿宋_GB2312" w:cs="仿宋_GB2312" w:eastAsia="仿宋_GB2312"/>
                <w:sz w:val="28"/>
                <w:color w:val="000000"/>
              </w:rPr>
              <w:t>个岗位；班次分为早、中、晚三个班次24小时值班制，每班8小时，可根据实际情况调整班制。</w:t>
            </w:r>
          </w:p>
          <w:p>
            <w:pPr>
              <w:pStyle w:val="null3"/>
              <w:ind w:firstLine="560"/>
            </w:pPr>
            <w:r>
              <w:rPr>
                <w:rFonts w:ascii="仿宋_GB2312" w:hAnsi="仿宋_GB2312" w:cs="仿宋_GB2312" w:eastAsia="仿宋_GB2312"/>
                <w:sz w:val="28"/>
                <w:color w:val="000000"/>
              </w:rPr>
              <w:t>（2）西区：配置7名保安员，岗位分为</w:t>
            </w:r>
            <w:r>
              <w:rPr>
                <w:rFonts w:ascii="仿宋_GB2312" w:hAnsi="仿宋_GB2312" w:cs="仿宋_GB2312" w:eastAsia="仿宋_GB2312"/>
                <w:sz w:val="28"/>
              </w:rPr>
              <w:t>门卫岗、门诊岗、机动岗亭，门诊岗实行白班值守，其余岗位</w:t>
            </w:r>
            <w:r>
              <w:rPr>
                <w:rFonts w:ascii="仿宋_GB2312" w:hAnsi="仿宋_GB2312" w:cs="仿宋_GB2312" w:eastAsia="仿宋_GB2312"/>
                <w:sz w:val="28"/>
                <w:color w:val="000000"/>
              </w:rPr>
              <w:t>分为早、中、晚三个班次24小时值班制</w:t>
            </w:r>
            <w:r>
              <w:rPr>
                <w:rFonts w:ascii="仿宋_GB2312" w:hAnsi="仿宋_GB2312" w:cs="仿宋_GB2312" w:eastAsia="仿宋_GB2312"/>
                <w:sz w:val="28"/>
              </w:rPr>
              <w:t>，</w:t>
            </w:r>
            <w:r>
              <w:rPr>
                <w:rFonts w:ascii="仿宋_GB2312" w:hAnsi="仿宋_GB2312" w:cs="仿宋_GB2312" w:eastAsia="仿宋_GB2312"/>
                <w:sz w:val="28"/>
                <w:color w:val="000000"/>
              </w:rPr>
              <w:t>每班8小时，可根据实际情况调整班制。</w:t>
            </w:r>
          </w:p>
          <w:p>
            <w:pPr>
              <w:pStyle w:val="null3"/>
              <w:ind w:firstLine="562"/>
            </w:pPr>
            <w:r>
              <w:rPr>
                <w:rFonts w:ascii="仿宋_GB2312" w:hAnsi="仿宋_GB2312" w:cs="仿宋_GB2312" w:eastAsia="仿宋_GB2312"/>
                <w:sz w:val="28"/>
                <w:b/>
              </w:rPr>
              <w:t>4</w:t>
            </w:r>
            <w:r>
              <w:rPr>
                <w:rFonts w:ascii="仿宋_GB2312" w:hAnsi="仿宋_GB2312" w:cs="仿宋_GB2312" w:eastAsia="仿宋_GB2312"/>
                <w:sz w:val="28"/>
                <w:b/>
              </w:rPr>
              <w:t>、</w:t>
            </w:r>
            <w:r>
              <w:rPr>
                <w:rFonts w:ascii="仿宋_GB2312" w:hAnsi="仿宋_GB2312" w:cs="仿宋_GB2312" w:eastAsia="仿宋_GB2312"/>
                <w:sz w:val="20"/>
                <w:color w:val="000000"/>
                <w:shd w:fill="FFF5EC" w:val="clear"/>
              </w:rPr>
              <w:t>★</w:t>
            </w:r>
            <w:r>
              <w:rPr>
                <w:rFonts w:ascii="仿宋_GB2312" w:hAnsi="仿宋_GB2312" w:cs="仿宋_GB2312" w:eastAsia="仿宋_GB2312"/>
                <w:sz w:val="28"/>
                <w:b/>
              </w:rPr>
              <w:t>设备配备</w:t>
            </w:r>
          </w:p>
          <w:p>
            <w:pPr>
              <w:pStyle w:val="null3"/>
              <w:ind w:firstLine="560"/>
              <w:jc w:val="both"/>
            </w:pPr>
            <w:r>
              <w:rPr>
                <w:rFonts w:ascii="仿宋_GB2312" w:hAnsi="仿宋_GB2312" w:cs="仿宋_GB2312" w:eastAsia="仿宋_GB2312"/>
                <w:sz w:val="28"/>
              </w:rPr>
              <w:t>须为所有在岗安保人员全员配齐符合国标的安防器材，且器材完好、定期更换、随时可用，包含：防暴盾牌、防暴腰叉、防暴脚叉、防护头盔、橡胶警棍、武装带、对讲通讯设备、防割手套、防刺背心、执法记录仪等全套安防装备，保障日常执勤及应急处突需求。</w:t>
            </w:r>
          </w:p>
          <w:p>
            <w:pPr>
              <w:pStyle w:val="null3"/>
              <w:ind w:firstLine="562"/>
              <w:jc w:val="both"/>
            </w:pPr>
            <w:r>
              <w:rPr>
                <w:rFonts w:ascii="仿宋_GB2312" w:hAnsi="仿宋_GB2312" w:cs="仿宋_GB2312" w:eastAsia="仿宋_GB2312"/>
                <w:sz w:val="28"/>
                <w:b/>
              </w:rPr>
              <w:t>5</w:t>
            </w:r>
            <w:r>
              <w:rPr>
                <w:rFonts w:ascii="仿宋_GB2312" w:hAnsi="仿宋_GB2312" w:cs="仿宋_GB2312" w:eastAsia="仿宋_GB2312"/>
                <w:sz w:val="28"/>
                <w:b/>
              </w:rPr>
              <w:t>、</w:t>
            </w:r>
            <w:r>
              <w:rPr>
                <w:rFonts w:ascii="仿宋_GB2312" w:hAnsi="仿宋_GB2312" w:cs="仿宋_GB2312" w:eastAsia="仿宋_GB2312"/>
                <w:sz w:val="20"/>
                <w:color w:val="000000"/>
                <w:shd w:fill="FFF5EC" w:val="clear"/>
              </w:rPr>
              <w:t>★</w:t>
            </w:r>
            <w:r>
              <w:rPr>
                <w:rFonts w:ascii="仿宋_GB2312" w:hAnsi="仿宋_GB2312" w:cs="仿宋_GB2312" w:eastAsia="仿宋_GB2312"/>
                <w:sz w:val="28"/>
                <w:b/>
              </w:rPr>
              <w:t>考核管理</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未按要求足额配置岗位人员、未配齐安防器材、派驻人员资质不全或不符合岗位标准，医院有权限期整改，整改逾期不到位的，有权按比例扣减当月服务费用；情节严重、多次整改无效的，医院有权单方面解除合同，不予履约补偿。</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）医院每月开展服务质量综合测评，月度考核得分低于</w:t>
            </w:r>
            <w:r>
              <w:rPr>
                <w:rFonts w:ascii="仿宋_GB2312" w:hAnsi="仿宋_GB2312" w:cs="仿宋_GB2312" w:eastAsia="仿宋_GB2312"/>
                <w:sz w:val="28"/>
              </w:rPr>
              <w:t>80</w:t>
            </w:r>
            <w:r>
              <w:rPr>
                <w:rFonts w:ascii="仿宋_GB2312" w:hAnsi="仿宋_GB2312" w:cs="仿宋_GB2312" w:eastAsia="仿宋_GB2312"/>
                <w:sz w:val="28"/>
              </w:rPr>
              <w:t>分的，扣除当月服务费</w:t>
            </w:r>
            <w:r>
              <w:rPr>
                <w:rFonts w:ascii="仿宋_GB2312" w:hAnsi="仿宋_GB2312" w:cs="仿宋_GB2312" w:eastAsia="仿宋_GB2312"/>
                <w:sz w:val="28"/>
              </w:rPr>
              <w:t>0.3%</w:t>
            </w:r>
            <w:r>
              <w:rPr>
                <w:rFonts w:ascii="仿宋_GB2312" w:hAnsi="仿宋_GB2312" w:cs="仿宋_GB2312" w:eastAsia="仿宋_GB2312"/>
                <w:sz w:val="28"/>
              </w:rPr>
              <w:t>；次月整改后考核仍低于</w:t>
            </w:r>
            <w:r>
              <w:rPr>
                <w:rFonts w:ascii="仿宋_GB2312" w:hAnsi="仿宋_GB2312" w:cs="仿宋_GB2312" w:eastAsia="仿宋_GB2312"/>
                <w:sz w:val="28"/>
              </w:rPr>
              <w:t>80</w:t>
            </w:r>
            <w:r>
              <w:rPr>
                <w:rFonts w:ascii="仿宋_GB2312" w:hAnsi="仿宋_GB2312" w:cs="仿宋_GB2312" w:eastAsia="仿宋_GB2312"/>
                <w:sz w:val="28"/>
              </w:rPr>
              <w:t>分的，扣除当月服务费</w:t>
            </w:r>
            <w:r>
              <w:rPr>
                <w:rFonts w:ascii="仿宋_GB2312" w:hAnsi="仿宋_GB2312" w:cs="仿宋_GB2312" w:eastAsia="仿宋_GB2312"/>
                <w:sz w:val="28"/>
              </w:rPr>
              <w:t>0.5%</w:t>
            </w:r>
            <w:r>
              <w:rPr>
                <w:rFonts w:ascii="仿宋_GB2312" w:hAnsi="仿宋_GB2312" w:cs="仿宋_GB2312" w:eastAsia="仿宋_GB2312"/>
                <w:sz w:val="28"/>
              </w:rPr>
              <w:t>；连续两个月及以上考核不合格，医院有权单方面解除服务合同。</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保安人员履职不到位、脱岗漏岗、处置不当、管理混乱，造成医院安全事故、医患纠纷升级、财产损失、上级督查通报问题的，由服务公司承担全部责任及经济损失，医院有权扣减服务费、终止合同并追究相关责任。</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）投标人擅自更换在岗人员、未落实培训制度、应急响应不及时、拒不配合医院安全管理工作的，医院可根据情节给予警告、扣款、限期整顿，情节严重直接解除合同。</w:t>
            </w:r>
          </w:p>
          <w:p>
            <w:pPr>
              <w:pStyle w:val="null3"/>
              <w:ind w:firstLine="562"/>
              <w:jc w:val="both"/>
            </w:pPr>
            <w:r>
              <w:rPr>
                <w:rFonts w:ascii="仿宋_GB2312" w:hAnsi="仿宋_GB2312" w:cs="仿宋_GB2312" w:eastAsia="仿宋_GB2312"/>
                <w:sz w:val="28"/>
                <w:b/>
              </w:rPr>
              <w:t>三、服务期限</w:t>
            </w:r>
          </w:p>
          <w:p>
            <w:pPr>
              <w:pStyle w:val="null3"/>
              <w:ind w:firstLine="560"/>
              <w:jc w:val="both"/>
            </w:pPr>
            <w:r>
              <w:rPr>
                <w:rFonts w:ascii="仿宋_GB2312" w:hAnsi="仿宋_GB2312" w:cs="仿宋_GB2312" w:eastAsia="仿宋_GB2312"/>
                <w:sz w:val="28"/>
              </w:rPr>
              <w:t>服务期限为</w:t>
            </w:r>
            <w:r>
              <w:rPr>
                <w:rFonts w:ascii="仿宋_GB2312" w:hAnsi="仿宋_GB2312" w:cs="仿宋_GB2312" w:eastAsia="仿宋_GB2312"/>
                <w:sz w:val="28"/>
              </w:rPr>
              <w:t>1</w:t>
            </w:r>
            <w:r>
              <w:rPr>
                <w:rFonts w:ascii="仿宋_GB2312" w:hAnsi="仿宋_GB2312" w:cs="仿宋_GB2312" w:eastAsia="仿宋_GB2312"/>
                <w:sz w:val="28"/>
              </w:rPr>
              <w:t>年。合同期满后，若服务公司全程履约优良、考核稳定达标、无违规违约记录，经医院考核通过可择优续签。</w:t>
            </w:r>
          </w:p>
          <w:p>
            <w:pPr>
              <w:pStyle w:val="null3"/>
              <w:ind w:firstLine="562"/>
              <w:jc w:val="both"/>
            </w:pPr>
            <w:r>
              <w:rPr>
                <w:rFonts w:ascii="仿宋_GB2312" w:hAnsi="仿宋_GB2312" w:cs="仿宋_GB2312" w:eastAsia="仿宋_GB2312"/>
                <w:sz w:val="28"/>
                <w:b/>
              </w:rPr>
              <w:t>四、验收标准</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、整体服务符合《保安服务管理条例》及公安、消防行业规范，完全满足本采购需求全部条款。</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、人员足额在岗、资质齐全有效、装备配齐完好、执勤规范到位。</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、月度考核资料齐全、培训台账完整、隐患整改闭环到位。</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、服务期内无责任安全事故、无重大投诉、无履职失职问题，服务满意度达标。</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、日常值守、巡逻、消防、应急、秩序管理等全部工作满足医院安全生产及治安保卫工作管理要求。</w:t>
            </w:r>
          </w:p>
          <w:p>
            <w:pPr>
              <w:pStyle w:val="null3"/>
              <w:ind w:firstLine="562"/>
              <w:jc w:val="both"/>
            </w:pPr>
            <w:r>
              <w:rPr>
                <w:rFonts w:ascii="仿宋_GB2312" w:hAnsi="仿宋_GB2312" w:cs="仿宋_GB2312" w:eastAsia="仿宋_GB2312"/>
                <w:sz w:val="28"/>
                <w:b/>
              </w:rPr>
              <w:t>五、付款方式</w:t>
            </w:r>
          </w:p>
          <w:p>
            <w:pPr>
              <w:pStyle w:val="null3"/>
              <w:ind w:firstLine="560"/>
              <w:jc w:val="both"/>
            </w:pPr>
            <w:r>
              <w:rPr>
                <w:rFonts w:ascii="仿宋_GB2312" w:hAnsi="仿宋_GB2312" w:cs="仿宋_GB2312" w:eastAsia="仿宋_GB2312"/>
                <w:sz w:val="28"/>
              </w:rPr>
              <w:t>按月支付。</w:t>
            </w:r>
          </w:p>
          <w:p>
            <w:pPr>
              <w:pStyle w:val="null3"/>
              <w:ind w:firstLine="562"/>
              <w:jc w:val="both"/>
            </w:pPr>
            <w:r>
              <w:rPr>
                <w:rFonts w:ascii="仿宋_GB2312" w:hAnsi="仿宋_GB2312" w:cs="仿宋_GB2312" w:eastAsia="仿宋_GB2312"/>
                <w:sz w:val="28"/>
                <w:b/>
              </w:rPr>
              <w:t>六、售后服务</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、人员稳定保障：服务期内保证岗位人员足额在岗，如需更换人员，须提前向医院保卫科报备并征得书面同意，新人员岗前培训、资质审核合格后方可上岗，严禁无证、不合格人员顶岗。</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、常态化培训保障：每月组织全员安保、消防、应急处置专项培训，持续提升服务标准化水平。</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24</w:t>
            </w:r>
            <w:r>
              <w:rPr>
                <w:rFonts w:ascii="仿宋_GB2312" w:hAnsi="仿宋_GB2312" w:cs="仿宋_GB2312" w:eastAsia="仿宋_GB2312"/>
                <w:sz w:val="28"/>
              </w:rPr>
              <w:t>小时应急响应：建立全年无休</w:t>
            </w:r>
            <w:r>
              <w:rPr>
                <w:rFonts w:ascii="仿宋_GB2312" w:hAnsi="仿宋_GB2312" w:cs="仿宋_GB2312" w:eastAsia="仿宋_GB2312"/>
                <w:sz w:val="28"/>
              </w:rPr>
              <w:t>24</w:t>
            </w:r>
            <w:r>
              <w:rPr>
                <w:rFonts w:ascii="仿宋_GB2312" w:hAnsi="仿宋_GB2312" w:cs="仿宋_GB2312" w:eastAsia="仿宋_GB2312"/>
                <w:sz w:val="28"/>
              </w:rPr>
              <w:t>小时服务响应机制，接到医院安保需求、突发事件、应急处置通知后，立即响应、快速到场、规范处置。</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、常态化配合工作：全程配合医院开展消防安全检查、治安隐患排查、应急演练、信访维稳、安全生产督查、院区秩序整治等各项安全管理工作，按需提供资料台账及工作支撑。</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、台账规范化服务：按月提交安保值守台账、巡逻记录、消防巡查台账、培训记录、问题整改台账，做到工作可查、可溯、可考核。</w:t>
            </w:r>
          </w:p>
          <w:p>
            <w:pPr>
              <w:pStyle w:val="null3"/>
              <w:ind w:firstLine="562"/>
              <w:jc w:val="both"/>
            </w:pPr>
            <w:r>
              <w:rPr>
                <w:rFonts w:ascii="仿宋_GB2312" w:hAnsi="仿宋_GB2312" w:cs="仿宋_GB2312" w:eastAsia="仿宋_GB2312"/>
                <w:sz w:val="28"/>
                <w:b/>
              </w:rPr>
              <w:t>七、其他补充条款（违约责任及解决争议方法）</w:t>
            </w:r>
          </w:p>
          <w:p>
            <w:pPr>
              <w:pStyle w:val="null3"/>
            </w:pPr>
            <w:r>
              <w:rPr>
                <w:rFonts w:ascii="仿宋_GB2312" w:hAnsi="仿宋_GB2312" w:cs="仿宋_GB2312" w:eastAsia="仿宋_GB2312"/>
                <w:sz w:val="28"/>
              </w:rPr>
              <w:t>本项目履约过程中产生的一切争议，双方优先友好协商解决；协商不成的，任何一方均有权向项目所在地人民法院提起诉讼。</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东区：拟定10名保安员和2名消防控制室值班人员，岗位分为东门岗、南门岗、门诊岗（机动）、消防控制室共4个岗位；班次分为早、中、晚三个班次24小时值班制，每个岗位3人，原则为每班8小时，实际运行可根据情况调整班制。部分岗位要求：控制室人员应具有中级消防设施操作员证书，同时具有一定的文字编辑能力。 （二）西区：拟定7名保安员，岗位分为门卫岗、监控室岗、岗亭（机动）三个岗位；班次分为早、中、晚三个班次24小时值班制，每个岗位3人，原则为每班8小时，实际运行可根据情况调整班制。部分岗位要求：监控室岗位人员应具有初级消防设施操作员证书，同时具有一定的文字编辑能力。</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须为所有在岗安保人员全员配齐符合国标的安防器材，且器材完好、定期更换、随时可用，包含：防暴盾牌、防暴腰叉、防暴脚叉、防护头盔、橡胶警棍、武装带、对讲通讯设备、防割手套、防刺背心、执法记录仪等全套安防装备，保障日常执勤及应急处突需求。</w:t>
      </w:r>
    </w:p>
    <w:p>
      <w:pPr>
        <w:pStyle w:val="null3"/>
        <w:outlineLvl w:val="3"/>
      </w:pPr>
      <w:r>
        <w:rPr>
          <w:rFonts w:ascii="仿宋_GB2312" w:hAnsi="仿宋_GB2312" w:cs="仿宋_GB2312" w:eastAsia="仿宋_GB2312"/>
          <w:sz w:val="24"/>
          <w:b/>
        </w:rPr>
        <w:t>3.2.5服务内容其他要求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服务期限为1年。合同期满后，若服务公司全程履约优良、考核稳定达标、无违规违约记录，经医院考核通过可择优续签。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宝鸡市康复医院</w:t>
      </w:r>
    </w:p>
    <w:p>
      <w:pPr>
        <w:pStyle w:val="null3"/>
        <w:outlineLvl w:val="3"/>
      </w:pPr>
      <w:r>
        <w:rPr>
          <w:rFonts w:ascii="仿宋_GB2312" w:hAnsi="仿宋_GB2312" w:cs="仿宋_GB2312" w:eastAsia="仿宋_GB2312"/>
          <w:sz w:val="24"/>
          <w:b/>
        </w:rPr>
        <w:t>3.3.3验收标准和方法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1、整体服务符合《保安服务管理条例》及公安、消防行业规范，完全满足本采购需求全部条款。 2、人员足额在岗、资质齐全有效、装备配齐完好、执勤规范到位。 3、月度考核资料齐全、培训台账完整、隐患整改闭环到位。 4、服务期内无责任安全事故、无重大投诉、无履职失职问题，服务满意度达标。 5、日常值守、巡逻、消防、应急、秩序管理等全部工作满足医院安全生产及治安保卫工作管理要求。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jc w:val="left"/>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进度款，按月支付，达到付款条件起15个工作日内，支付合同总金额的8.33%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进度款，按月支付，达到付款条件起15个工作日内，支付合同总金额的8.33%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进度款，按月支付，达到付款条件起15个工作日内，支付合同总金额的8.33%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进度款，按月支付，达到付款条件起15个工作日内，支付合同总金额的8.33%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进度款，按月支付，达到付款条件起15个工作日内，支付合同总金额的8.33%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进度款，按月支付，达到付款条件起15个工作日内，支付合同总金额的8.33%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进度款，按月支付，达到付款条件起15个工作日内，支付合同总金额的8.33%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进度款，按月支付，达到付款条件起15个工作日内，支付合同总金额的8.33%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进度款，按月支付，达到付款条件起15个工作日内，支付合同总金额的8.33%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进度款，按月支付，达到付款条件起15个工作日内，支付合同总金额的8.33%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进度款，按月支付，达到付款条件起15个工作日内，支付合同总金额的8.33%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进度款，按月支付，达到付款条件起15个工作日内，支付合同总金额的8.37%</w:t>
      </w:r>
    </w:p>
    <w:p>
      <w:pPr>
        <w:pStyle w:val="null3"/>
        <w:jc w:val="left"/>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本项目履约过程中产生的一切争议，双方优先友好协商解决；协商不成的，任何一方均有权向项目所在地人民法院提起诉讼。</w:t>
      </w:r>
    </w:p>
    <w:p>
      <w:pPr>
        <w:pStyle w:val="null3"/>
        <w:outlineLvl w:val="3"/>
      </w:pPr>
      <w:r>
        <w:rPr>
          <w:rFonts w:ascii="仿宋_GB2312" w:hAnsi="仿宋_GB2312" w:cs="仿宋_GB2312" w:eastAsia="仿宋_GB2312"/>
          <w:sz w:val="24"/>
          <w:b/>
        </w:rPr>
        <w:t>3.4 其它要求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供应商为企业（包括合伙企业）的，应提供有效的“营业执照”； 供应商为事业单位的，应提供有效的“事业单位法人证书”； 供应商是非企业机构的，应提供有效的“执业许可证”、“登记证书”等证明文件； 供应商是个体工商户的，应提供有效的“个体工商户营业执照”； 供应商是自然人的，应提供有效的自然人身份证明。 若本项目允许分支机构参加响应，则分支机构参加响应的，此处可提供该分支机构或其所属法人或其他组织的相应证明文件。</w:t>
            </w:r>
          </w:p>
        </w:tc>
        <w:tc>
          <w:tcPr>
            <w:tcW w:type="dxa" w:w="1661"/>
          </w:tcPr>
          <w:p>
            <w:pPr>
              <w:pStyle w:val="null3"/>
            </w:pPr>
            <w:r>
              <w:rPr>
                <w:rFonts w:ascii="仿宋_GB2312" w:hAnsi="仿宋_GB2312" w:cs="仿宋_GB2312" w:eastAsia="仿宋_GB2312"/>
              </w:rPr>
              <w:t>资格1、营业执照.docx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近两年任一年度经会计师事务所审计过的年度完整财务报表：财务审计报告应按《陕西省财政厅关于启用会计师事务所审计报告“二维码”赋码查验功能的通知》（陕财办会函［2022］55号）文件的要求具有“二维码”赋码查验功能、成立时间至提交响应文件截止时间不足一年的可提供成立后任意时段的资产负债表；或提供开标前六个月内其基本账户银行出具的资信证明（附开户许可证或基本账户证明）。</w:t>
            </w:r>
          </w:p>
        </w:tc>
        <w:tc>
          <w:tcPr>
            <w:tcW w:type="dxa" w:w="1661"/>
          </w:tcPr>
          <w:p>
            <w:pPr>
              <w:pStyle w:val="null3"/>
            </w:pPr>
            <w:r>
              <w:rPr>
                <w:rFonts w:ascii="仿宋_GB2312" w:hAnsi="仿宋_GB2312" w:cs="仿宋_GB2312" w:eastAsia="仿宋_GB2312"/>
              </w:rPr>
              <w:t>资格2、财务状况报告.docx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提供2026年7月至今任一个月的依法缴纳社会保障资金的缴款凭据：指社会保险登记证、缴纳社保的凭据（专用收据或社会保险缴纳清单）。依法不需要缴纳社会保障资金的供应商应提供相关证明文件。</w:t>
            </w:r>
          </w:p>
        </w:tc>
        <w:tc>
          <w:tcPr>
            <w:tcW w:type="dxa" w:w="1661"/>
          </w:tcPr>
          <w:p>
            <w:pPr>
              <w:pStyle w:val="null3"/>
            </w:pPr>
            <w:r>
              <w:rPr>
                <w:rFonts w:ascii="仿宋_GB2312" w:hAnsi="仿宋_GB2312" w:cs="仿宋_GB2312" w:eastAsia="仿宋_GB2312"/>
              </w:rPr>
              <w:t>资格3、社保缴纳证明.docx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提供2025年7月至今任一个月的依法缴纳税收的缴款凭据：指供应商增值税、企业所得税。依法免税的应提供相关文件证明，包括相关法规要求原文及加盖公章的情况说明。</w:t>
            </w:r>
          </w:p>
        </w:tc>
        <w:tc>
          <w:tcPr>
            <w:tcW w:type="dxa" w:w="1661"/>
          </w:tcPr>
          <w:p>
            <w:pPr>
              <w:pStyle w:val="null3"/>
            </w:pPr>
            <w:r>
              <w:rPr>
                <w:rFonts w:ascii="仿宋_GB2312" w:hAnsi="仿宋_GB2312" w:cs="仿宋_GB2312" w:eastAsia="仿宋_GB2312"/>
              </w:rPr>
              <w:t>资格4、税收缴纳证明.docx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法定代表人身份证明书</w:t>
            </w:r>
          </w:p>
        </w:tc>
        <w:tc>
          <w:tcPr>
            <w:tcW w:type="dxa" w:w="3322"/>
          </w:tcPr>
          <w:p>
            <w:pPr>
              <w:pStyle w:val="null3"/>
            </w:pPr>
            <w:r>
              <w:rPr>
                <w:rFonts w:ascii="仿宋_GB2312" w:hAnsi="仿宋_GB2312" w:cs="仿宋_GB2312" w:eastAsia="仿宋_GB2312"/>
              </w:rPr>
              <w:t>提供法定代表人或非法人组织负责人身份证明书。</w:t>
            </w:r>
          </w:p>
        </w:tc>
        <w:tc>
          <w:tcPr>
            <w:tcW w:type="dxa" w:w="1661"/>
          </w:tcPr>
          <w:p>
            <w:pPr>
              <w:pStyle w:val="null3"/>
            </w:pPr>
            <w:r>
              <w:rPr>
                <w:rFonts w:ascii="仿宋_GB2312" w:hAnsi="仿宋_GB2312" w:cs="仿宋_GB2312" w:eastAsia="仿宋_GB2312"/>
              </w:rPr>
              <w:t>资格5、授权委托书.docx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供应商资格声明书</w:t>
            </w:r>
          </w:p>
        </w:tc>
        <w:tc>
          <w:tcPr>
            <w:tcW w:type="dxa" w:w="3322"/>
          </w:tcPr>
          <w:p>
            <w:pPr>
              <w:pStyle w:val="null3"/>
            </w:pPr>
            <w:r>
              <w:rPr>
                <w:rFonts w:ascii="仿宋_GB2312" w:hAnsi="仿宋_GB2312" w:cs="仿宋_GB2312" w:eastAsia="仿宋_GB2312"/>
              </w:rPr>
              <w:t>提供了符合竞争性谈判文件要求的《供应商资格声明书》。</w:t>
            </w:r>
          </w:p>
        </w:tc>
        <w:tc>
          <w:tcPr>
            <w:tcW w:type="dxa" w:w="1661"/>
          </w:tcPr>
          <w:p>
            <w:pPr>
              <w:pStyle w:val="null3"/>
            </w:pPr>
            <w:r>
              <w:rPr>
                <w:rFonts w:ascii="仿宋_GB2312" w:hAnsi="仿宋_GB2312" w:cs="仿宋_GB2312" w:eastAsia="仿宋_GB2312"/>
              </w:rPr>
              <w:t>资格6、供应商资格声明书.docx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按给定格式填写书面声明函。</w:t>
            </w:r>
          </w:p>
        </w:tc>
        <w:tc>
          <w:tcPr>
            <w:tcW w:type="dxa" w:w="1661"/>
          </w:tcPr>
          <w:p>
            <w:pPr>
              <w:pStyle w:val="null3"/>
            </w:pPr>
            <w:r>
              <w:rPr>
                <w:rFonts w:ascii="仿宋_GB2312" w:hAnsi="仿宋_GB2312" w:cs="仿宋_GB2312" w:eastAsia="仿宋_GB2312"/>
              </w:rPr>
              <w:t>资格7、无重大违法记录的书面声明.docx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宝鸡市政府采购供应商诚信承诺书</w:t>
            </w:r>
          </w:p>
        </w:tc>
        <w:tc>
          <w:tcPr>
            <w:tcW w:type="dxa" w:w="3322"/>
          </w:tcPr>
          <w:p>
            <w:pPr>
              <w:pStyle w:val="null3"/>
            </w:pPr>
            <w:r>
              <w:rPr>
                <w:rFonts w:ascii="仿宋_GB2312" w:hAnsi="仿宋_GB2312" w:cs="仿宋_GB2312" w:eastAsia="仿宋_GB2312"/>
              </w:rPr>
              <w:t>提供符合采购文件要求的承诺书</w:t>
            </w:r>
          </w:p>
        </w:tc>
        <w:tc>
          <w:tcPr>
            <w:tcW w:type="dxa" w:w="1661"/>
          </w:tcPr>
          <w:p>
            <w:pPr>
              <w:pStyle w:val="null3"/>
            </w:pPr>
            <w:r>
              <w:rPr>
                <w:rFonts w:ascii="仿宋_GB2312" w:hAnsi="仿宋_GB2312" w:cs="仿宋_GB2312" w:eastAsia="仿宋_GB2312"/>
              </w:rPr>
              <w:t>资格8、宝鸡市政府采购供应商诚信承诺书.docx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投标担保行为信用承诺</w:t>
            </w:r>
          </w:p>
        </w:tc>
        <w:tc>
          <w:tcPr>
            <w:tcW w:type="dxa" w:w="3322"/>
          </w:tcPr>
          <w:p>
            <w:pPr>
              <w:pStyle w:val="null3"/>
            </w:pPr>
            <w:r>
              <w:rPr>
                <w:rFonts w:ascii="仿宋_GB2312" w:hAnsi="仿宋_GB2312" w:cs="仿宋_GB2312" w:eastAsia="仿宋_GB2312"/>
              </w:rPr>
              <w:t>供应商须出具投标担保行为信用承诺函。（自2022年7月1日起在宝鸡市公共资源交易投标担保中试行信用承诺制取代投标保证金。）</w:t>
            </w:r>
          </w:p>
        </w:tc>
        <w:tc>
          <w:tcPr>
            <w:tcW w:type="dxa" w:w="1661"/>
          </w:tcPr>
          <w:p>
            <w:pPr>
              <w:pStyle w:val="null3"/>
            </w:pPr>
            <w:r>
              <w:rPr>
                <w:rFonts w:ascii="仿宋_GB2312" w:hAnsi="仿宋_GB2312" w:cs="仿宋_GB2312" w:eastAsia="仿宋_GB2312"/>
              </w:rPr>
              <w:t>资格9、投标担保信用承诺函.docx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保安服务许可证</w:t>
            </w:r>
          </w:p>
        </w:tc>
        <w:tc>
          <w:tcPr>
            <w:tcW w:type="dxa" w:w="3322"/>
          </w:tcPr>
          <w:p>
            <w:pPr>
              <w:pStyle w:val="null3"/>
            </w:pPr>
            <w:r>
              <w:rPr>
                <w:rFonts w:ascii="仿宋_GB2312" w:hAnsi="仿宋_GB2312" w:cs="仿宋_GB2312" w:eastAsia="仿宋_GB2312"/>
              </w:rPr>
              <w:t>供应商必须具有公安机关核发的，且在有效期内的《保安服务许可证》，如果投标供应商为陕西省外注册的企业，须出具承诺书，承诺自承接本项目之日起30日内向采购人所在地（宝鸡市）社区的人民政府公安机关备案</w:t>
            </w:r>
          </w:p>
        </w:tc>
        <w:tc>
          <w:tcPr>
            <w:tcW w:type="dxa" w:w="1661"/>
          </w:tcPr>
          <w:p>
            <w:pPr>
              <w:pStyle w:val="null3"/>
            </w:pPr>
            <w:r>
              <w:rPr>
                <w:rFonts w:ascii="仿宋_GB2312" w:hAnsi="仿宋_GB2312" w:cs="仿宋_GB2312" w:eastAsia="仿宋_GB2312"/>
              </w:rPr>
              <w:t>保安服务许可证.docx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jc w:val="left"/>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（二）审查供应商响应文件是否满足谈判文件要求，并作出公正评价；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（五）起草谈判报告并进行签署；</w:t>
      </w:r>
    </w:p>
    <w:p>
      <w:pPr>
        <w:pStyle w:val="null3"/>
        <w:ind w:firstLine="480"/>
      </w:pPr>
      <w:r>
        <w:rPr>
          <w:rFonts w:ascii="仿宋_GB2312" w:hAnsi="仿宋_GB2312" w:cs="仿宋_GB2312" w:eastAsia="仿宋_GB2312"/>
        </w:rPr>
        <w:t>（六）向采购人、代理机构、财政部门或者其他监督部门报告非法干预评审工作的行为；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出现上述应当停止评审情形的，谈判小组应当通过项目电子化交易系统向采购组织单位提交相关说明材料，说明停止评审的情形和具体理由。</w:t>
      </w:r>
    </w:p>
    <w:p>
      <w:pPr>
        <w:pStyle w:val="null3"/>
        <w:ind w:firstLine="480"/>
        <w:jc w:val="left"/>
      </w:pPr>
      <w:r>
        <w:rPr>
          <w:rFonts w:ascii="仿宋_GB2312" w:hAnsi="仿宋_GB2312" w:cs="仿宋_GB2312" w:eastAsia="仿宋_GB2312"/>
        </w:rPr>
        <w:t>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响应函</w:t>
            </w:r>
          </w:p>
        </w:tc>
        <w:tc>
          <w:tcPr>
            <w:tcW w:type="dxa" w:w="3322"/>
          </w:tcPr>
          <w:p>
            <w:pPr>
              <w:pStyle w:val="null3"/>
            </w:pPr>
            <w:r>
              <w:rPr>
                <w:rFonts w:ascii="仿宋_GB2312" w:hAnsi="仿宋_GB2312" w:cs="仿宋_GB2312" w:eastAsia="仿宋_GB2312"/>
              </w:rPr>
              <w:t>供应商按实际情况提供的声明函并依法承担法律效力。</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报价一览表</w:t>
            </w:r>
          </w:p>
        </w:tc>
        <w:tc>
          <w:tcPr>
            <w:tcW w:type="dxa" w:w="3322"/>
          </w:tcPr>
          <w:p>
            <w:pPr>
              <w:pStyle w:val="null3"/>
            </w:pPr>
            <w:r>
              <w:rPr>
                <w:rFonts w:ascii="仿宋_GB2312" w:hAnsi="仿宋_GB2312" w:cs="仿宋_GB2312" w:eastAsia="仿宋_GB2312"/>
              </w:rPr>
              <w:t>报价须充分考虑服务期限（合同期限）内各项费用，例如人员最低工资标准调整因素和社会保险基数调整因素；设备及工具维修保养或消耗产生的费用；保险、税金及其他可能产生的费用；充分考虑合同期限内的市场因素和成本变化状况的风险等。</w:t>
            </w:r>
          </w:p>
        </w:tc>
        <w:tc>
          <w:tcPr>
            <w:tcW w:type="dxa" w:w="1661"/>
          </w:tcPr>
          <w:p>
            <w:pPr>
              <w:pStyle w:val="null3"/>
            </w:pPr>
            <w:r>
              <w:rPr>
                <w:rFonts w:ascii="仿宋_GB2312" w:hAnsi="仿宋_GB2312" w:cs="仿宋_GB2312" w:eastAsia="仿宋_GB2312"/>
              </w:rPr>
              <w:t>符合2、初次报价一览表.docx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服务价格明细表</w:t>
            </w:r>
          </w:p>
        </w:tc>
        <w:tc>
          <w:tcPr>
            <w:tcW w:type="dxa" w:w="3322"/>
          </w:tcPr>
          <w:p>
            <w:pPr>
              <w:pStyle w:val="null3"/>
            </w:pPr>
            <w:r>
              <w:rPr>
                <w:rFonts w:ascii="仿宋_GB2312" w:hAnsi="仿宋_GB2312" w:cs="仿宋_GB2312" w:eastAsia="仿宋_GB2312"/>
              </w:rPr>
              <w:t>各个主要组成部分报价应与本项目具体实施预估实际产生费用内容项相对应，包括直接和间接产生费用。</w:t>
            </w:r>
          </w:p>
        </w:tc>
        <w:tc>
          <w:tcPr>
            <w:tcW w:type="dxa" w:w="1661"/>
          </w:tcPr>
          <w:p>
            <w:pPr>
              <w:pStyle w:val="null3"/>
            </w:pPr>
            <w:r>
              <w:rPr>
                <w:rFonts w:ascii="仿宋_GB2312" w:hAnsi="仿宋_GB2312" w:cs="仿宋_GB2312" w:eastAsia="仿宋_GB2312"/>
              </w:rPr>
              <w:t>符合3、初次报价分项明细表.docx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采购需求偏离表</w:t>
            </w:r>
          </w:p>
        </w:tc>
        <w:tc>
          <w:tcPr>
            <w:tcW w:type="dxa" w:w="3322"/>
          </w:tcPr>
          <w:p>
            <w:pPr>
              <w:pStyle w:val="null3"/>
            </w:pPr>
            <w:r>
              <w:rPr>
                <w:rFonts w:ascii="仿宋_GB2312" w:hAnsi="仿宋_GB2312" w:cs="仿宋_GB2312" w:eastAsia="仿宋_GB2312"/>
              </w:rPr>
              <w:t>供应商应对响应对竞争性谈判文件中的所有商务、技术要求标书理解与响应。</w:t>
            </w:r>
          </w:p>
        </w:tc>
        <w:tc>
          <w:tcPr>
            <w:tcW w:type="dxa" w:w="1661"/>
          </w:tcPr>
          <w:p>
            <w:pPr>
              <w:pStyle w:val="null3"/>
            </w:pPr>
            <w:r>
              <w:rPr>
                <w:rFonts w:ascii="仿宋_GB2312" w:hAnsi="仿宋_GB2312" w:cs="仿宋_GB2312" w:eastAsia="仿宋_GB2312"/>
              </w:rPr>
              <w:t>符合4.采购需求偏离表docx.docx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合同条款偏离表</w:t>
            </w:r>
          </w:p>
        </w:tc>
        <w:tc>
          <w:tcPr>
            <w:tcW w:type="dxa" w:w="3322"/>
          </w:tcPr>
          <w:p>
            <w:pPr>
              <w:pStyle w:val="null3"/>
            </w:pPr>
            <w:r>
              <w:rPr>
                <w:rFonts w:ascii="仿宋_GB2312" w:hAnsi="仿宋_GB2312" w:cs="仿宋_GB2312" w:eastAsia="仿宋_GB2312"/>
              </w:rPr>
              <w:t>完全理解并接受对合格供应商、合格的服务要求，结合采购文件的实质性响应要求没有负偏离。</w:t>
            </w:r>
          </w:p>
        </w:tc>
        <w:tc>
          <w:tcPr>
            <w:tcW w:type="dxa" w:w="1661"/>
          </w:tcPr>
          <w:p>
            <w:pPr>
              <w:pStyle w:val="null3"/>
            </w:pPr>
            <w:r>
              <w:rPr>
                <w:rFonts w:ascii="仿宋_GB2312" w:hAnsi="仿宋_GB2312" w:cs="仿宋_GB2312" w:eastAsia="仿宋_GB2312"/>
              </w:rPr>
              <w:t>符合5.合同条款偏离表docx.docx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派遣人员证件资格信息</w:t>
            </w:r>
          </w:p>
        </w:tc>
        <w:tc>
          <w:tcPr>
            <w:tcW w:type="dxa" w:w="3322"/>
          </w:tcPr>
          <w:p>
            <w:pPr>
              <w:pStyle w:val="null3"/>
            </w:pPr>
            <w:r>
              <w:rPr>
                <w:rFonts w:ascii="仿宋_GB2312" w:hAnsi="仿宋_GB2312" w:cs="仿宋_GB2312" w:eastAsia="仿宋_GB2312"/>
              </w:rPr>
              <w:t>供应商应满足采购采购需求中对人员的全部实质性要求</w:t>
            </w:r>
          </w:p>
        </w:tc>
        <w:tc>
          <w:tcPr>
            <w:tcW w:type="dxa" w:w="1661"/>
          </w:tcPr>
          <w:p>
            <w:pPr>
              <w:pStyle w:val="null3"/>
            </w:pPr>
            <w:r>
              <w:rPr>
                <w:rFonts w:ascii="仿宋_GB2312" w:hAnsi="仿宋_GB2312" w:cs="仿宋_GB2312" w:eastAsia="仿宋_GB2312"/>
              </w:rPr>
              <w:t>符合6、派遣人员填写信息表.docx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派遣人员身份条件信息</w:t>
            </w:r>
          </w:p>
        </w:tc>
        <w:tc>
          <w:tcPr>
            <w:tcW w:type="dxa" w:w="3322"/>
          </w:tcPr>
          <w:p>
            <w:pPr>
              <w:pStyle w:val="null3"/>
            </w:pPr>
            <w:r>
              <w:rPr>
                <w:rFonts w:ascii="仿宋_GB2312" w:hAnsi="仿宋_GB2312" w:cs="仿宋_GB2312" w:eastAsia="仿宋_GB2312"/>
              </w:rPr>
              <w:t>供应商应满足采购采购需求中对人员的全部实质性要求</w:t>
            </w:r>
          </w:p>
        </w:tc>
        <w:tc>
          <w:tcPr>
            <w:tcW w:type="dxa" w:w="1661"/>
          </w:tcPr>
          <w:p>
            <w:pPr>
              <w:pStyle w:val="null3"/>
            </w:pPr>
            <w:r>
              <w:rPr>
                <w:rFonts w:ascii="仿宋_GB2312" w:hAnsi="仿宋_GB2312" w:cs="仿宋_GB2312" w:eastAsia="仿宋_GB2312"/>
              </w:rPr>
              <w:t>符合6、派遣人员填写信息表.docx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供应商关联单位说明</w:t>
            </w:r>
          </w:p>
        </w:tc>
        <w:tc>
          <w:tcPr>
            <w:tcW w:type="dxa" w:w="3322"/>
          </w:tcPr>
          <w:p>
            <w:pPr>
              <w:pStyle w:val="null3"/>
            </w:pPr>
            <w:r>
              <w:rPr>
                <w:rFonts w:ascii="仿宋_GB2312" w:hAnsi="仿宋_GB2312" w:cs="仿宋_GB2312" w:eastAsia="仿宋_GB2312"/>
              </w:rPr>
              <w:t>注：单位负责人为同一人或者存在直接控股、管理关系的不同供应商，其相关响应将被认定为无效响应。</w:t>
            </w:r>
          </w:p>
        </w:tc>
        <w:tc>
          <w:tcPr>
            <w:tcW w:type="dxa" w:w="1661"/>
          </w:tcPr>
          <w:p>
            <w:pPr>
              <w:pStyle w:val="null3"/>
            </w:pPr>
            <w:r>
              <w:rPr>
                <w:rFonts w:ascii="仿宋_GB2312" w:hAnsi="仿宋_GB2312" w:cs="仿宋_GB2312" w:eastAsia="仿宋_GB2312"/>
              </w:rPr>
              <w:t>符合7、供应商关联单位说明的书面承诺函.docx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jc w:val="left"/>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6.3.10谈判异议处理规则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本项目授权谈判小组直接确认成交供应商，确认后代理机构在陕西省政府采购网上发布成交结果公告，同时向成交供应商发出成交通知书。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详见附件：资格1、营业执照.docx</w:t>
      </w:r>
    </w:p>
    <w:p>
      <w:pPr>
        <w:pStyle w:val="null3"/>
        <w:ind w:firstLine="960"/>
      </w:pPr>
      <w:r>
        <w:rPr>
          <w:rFonts w:ascii="仿宋_GB2312" w:hAnsi="仿宋_GB2312" w:cs="仿宋_GB2312" w:eastAsia="仿宋_GB2312"/>
        </w:rPr>
        <w:t>详见附件：资格2、财务状况报告.docx</w:t>
      </w:r>
    </w:p>
    <w:p>
      <w:pPr>
        <w:pStyle w:val="null3"/>
        <w:ind w:firstLine="960"/>
      </w:pPr>
      <w:r>
        <w:rPr>
          <w:rFonts w:ascii="仿宋_GB2312" w:hAnsi="仿宋_GB2312" w:cs="仿宋_GB2312" w:eastAsia="仿宋_GB2312"/>
        </w:rPr>
        <w:t>详见附件：资格3、社保缴纳证明.docx</w:t>
      </w:r>
    </w:p>
    <w:p>
      <w:pPr>
        <w:pStyle w:val="null3"/>
        <w:ind w:firstLine="960"/>
      </w:pPr>
      <w:r>
        <w:rPr>
          <w:rFonts w:ascii="仿宋_GB2312" w:hAnsi="仿宋_GB2312" w:cs="仿宋_GB2312" w:eastAsia="仿宋_GB2312"/>
        </w:rPr>
        <w:t>详见附件：资格4、税收缴纳证明.docx</w:t>
      </w:r>
    </w:p>
    <w:p>
      <w:pPr>
        <w:pStyle w:val="null3"/>
        <w:ind w:firstLine="960"/>
      </w:pPr>
      <w:r>
        <w:rPr>
          <w:rFonts w:ascii="仿宋_GB2312" w:hAnsi="仿宋_GB2312" w:cs="仿宋_GB2312" w:eastAsia="仿宋_GB2312"/>
        </w:rPr>
        <w:t>详见附件：资格5、授权委托书.docx</w:t>
      </w:r>
    </w:p>
    <w:p>
      <w:pPr>
        <w:pStyle w:val="null3"/>
        <w:ind w:firstLine="960"/>
      </w:pPr>
      <w:r>
        <w:rPr>
          <w:rFonts w:ascii="仿宋_GB2312" w:hAnsi="仿宋_GB2312" w:cs="仿宋_GB2312" w:eastAsia="仿宋_GB2312"/>
        </w:rPr>
        <w:t>详见附件：资格6、供应商资格声明书.docx</w:t>
      </w:r>
    </w:p>
    <w:p>
      <w:pPr>
        <w:pStyle w:val="null3"/>
        <w:ind w:firstLine="960"/>
      </w:pPr>
      <w:r>
        <w:rPr>
          <w:rFonts w:ascii="仿宋_GB2312" w:hAnsi="仿宋_GB2312" w:cs="仿宋_GB2312" w:eastAsia="仿宋_GB2312"/>
        </w:rPr>
        <w:t>详见附件：资格8、宝鸡市政府采购供应商诚信承诺书.docx</w:t>
      </w:r>
    </w:p>
    <w:p>
      <w:pPr>
        <w:pStyle w:val="null3"/>
        <w:ind w:firstLine="960"/>
      </w:pPr>
      <w:r>
        <w:rPr>
          <w:rFonts w:ascii="仿宋_GB2312" w:hAnsi="仿宋_GB2312" w:cs="仿宋_GB2312" w:eastAsia="仿宋_GB2312"/>
        </w:rPr>
        <w:t>详见附件：资格9、投标担保信用承诺函.docx</w:t>
      </w:r>
    </w:p>
    <w:p>
      <w:pPr>
        <w:pStyle w:val="null3"/>
        <w:ind w:firstLine="960"/>
      </w:pPr>
      <w:r>
        <w:rPr>
          <w:rFonts w:ascii="仿宋_GB2312" w:hAnsi="仿宋_GB2312" w:cs="仿宋_GB2312" w:eastAsia="仿宋_GB2312"/>
        </w:rPr>
        <w:t>详见附件：符合2、初次报价一览表.docx</w:t>
      </w:r>
    </w:p>
    <w:p>
      <w:pPr>
        <w:pStyle w:val="null3"/>
        <w:ind w:firstLine="960"/>
      </w:pPr>
      <w:r>
        <w:rPr>
          <w:rFonts w:ascii="仿宋_GB2312" w:hAnsi="仿宋_GB2312" w:cs="仿宋_GB2312" w:eastAsia="仿宋_GB2312"/>
        </w:rPr>
        <w:t>详见附件：符合3、初次报价分项明细表.docx</w:t>
      </w:r>
    </w:p>
    <w:p>
      <w:pPr>
        <w:pStyle w:val="null3"/>
        <w:ind w:firstLine="960"/>
      </w:pPr>
      <w:r>
        <w:rPr>
          <w:rFonts w:ascii="仿宋_GB2312" w:hAnsi="仿宋_GB2312" w:cs="仿宋_GB2312" w:eastAsia="仿宋_GB2312"/>
        </w:rPr>
        <w:t>详见附件：符合4.采购需求偏离表docx.docx</w:t>
      </w:r>
    </w:p>
    <w:p>
      <w:pPr>
        <w:pStyle w:val="null3"/>
        <w:ind w:firstLine="960"/>
      </w:pPr>
      <w:r>
        <w:rPr>
          <w:rFonts w:ascii="仿宋_GB2312" w:hAnsi="仿宋_GB2312" w:cs="仿宋_GB2312" w:eastAsia="仿宋_GB2312"/>
        </w:rPr>
        <w:t>详见附件：符合5.合同条款偏离表docx.docx</w:t>
      </w:r>
    </w:p>
    <w:p>
      <w:pPr>
        <w:pStyle w:val="null3"/>
        <w:ind w:firstLine="960"/>
      </w:pPr>
      <w:r>
        <w:rPr>
          <w:rFonts w:ascii="仿宋_GB2312" w:hAnsi="仿宋_GB2312" w:cs="仿宋_GB2312" w:eastAsia="仿宋_GB2312"/>
        </w:rPr>
        <w:t>详见附件：符合6、派遣人员填写信息表.docx</w:t>
      </w:r>
    </w:p>
    <w:p>
      <w:pPr>
        <w:pStyle w:val="null3"/>
        <w:ind w:firstLine="960"/>
      </w:pPr>
      <w:r>
        <w:rPr>
          <w:rFonts w:ascii="仿宋_GB2312" w:hAnsi="仿宋_GB2312" w:cs="仿宋_GB2312" w:eastAsia="仿宋_GB2312"/>
        </w:rPr>
        <w:t>详见附件：符合7、供应商关联单位说明的书面承诺函.docx</w:t>
      </w:r>
    </w:p>
    <w:p>
      <w:pPr>
        <w:pStyle w:val="null3"/>
        <w:ind w:firstLine="960"/>
      </w:pPr>
      <w:r>
        <w:rPr>
          <w:rFonts w:ascii="仿宋_GB2312" w:hAnsi="仿宋_GB2312" w:cs="仿宋_GB2312" w:eastAsia="仿宋_GB2312"/>
        </w:rPr>
        <w:t>详见附件：保安服务许可证.docx</w:t>
      </w:r>
    </w:p>
    <w:p>
      <w:pPr>
        <w:pStyle w:val="null3"/>
        <w:ind w:firstLine="960"/>
      </w:pPr>
      <w:r>
        <w:rPr>
          <w:rFonts w:ascii="仿宋_GB2312" w:hAnsi="仿宋_GB2312" w:cs="仿宋_GB2312" w:eastAsia="仿宋_GB2312"/>
        </w:rPr>
        <w:t>详见附件：资格7、无重大违法记录的书面声明.docx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详见附件：合同草案条款.docx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