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E9F9D">
      <w:pPr>
        <w:pStyle w:val="2"/>
        <w:spacing w:before="156" w:after="156"/>
        <w:rPr>
          <w:rFonts w:ascii="宋体" w:hAnsi="宋体" w:eastAsia="宋体" w:cs="宋体"/>
          <w:color w:val="auto"/>
          <w:sz w:val="28"/>
          <w:highlight w:val="none"/>
        </w:rPr>
      </w:pPr>
      <w:bookmarkStart w:id="0" w:name="_Toc236120885"/>
      <w:bookmarkStart w:id="1" w:name="_Toc168515028"/>
      <w:r>
        <w:rPr>
          <w:rFonts w:hint="eastAsia" w:ascii="宋体" w:hAnsi="宋体" w:eastAsia="宋体" w:cs="宋体"/>
          <w:color w:val="auto"/>
          <w:sz w:val="28"/>
          <w:highlight w:val="none"/>
        </w:rPr>
        <w:t xml:space="preserve">第三章 </w:t>
      </w:r>
      <w:r>
        <w:rPr>
          <w:rFonts w:ascii="宋体" w:hAnsi="宋体" w:eastAsia="宋体" w:cs="宋体"/>
          <w:color w:val="auto"/>
          <w:sz w:val="28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highlight w:val="none"/>
        </w:rPr>
        <w:t>招标项目技术、服务、商务及其他要求</w:t>
      </w:r>
      <w:bookmarkEnd w:id="0"/>
      <w:bookmarkEnd w:id="1"/>
    </w:p>
    <w:p w14:paraId="0AE21ACB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1E59F3CB">
      <w:pPr>
        <w:pStyle w:val="3"/>
        <w:spacing w:before="156" w:after="156"/>
        <w:ind w:firstLine="482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3.1采购项目概况</w:t>
      </w:r>
    </w:p>
    <w:p w14:paraId="22274128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bookmarkStart w:id="2" w:name="OLE_LINK3"/>
      <w:bookmarkStart w:id="3" w:name="OLE_LINK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对1、2、3、4号足球训练场地周边围网进行整体更换；拆除1、2号场地临建用房，新增钢结构附属用房，增加冷热水疗池，铺设地砖及水电线路接入，增加力量房新风系统，更换场地照明灯具，新增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可视频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系统，场地排水沟修复。</w:t>
      </w:r>
      <w:bookmarkEnd w:id="2"/>
      <w:bookmarkEnd w:id="3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具体详见工程量清单。</w:t>
      </w:r>
    </w:p>
    <w:p w14:paraId="5BE93E38">
      <w:pPr>
        <w:pStyle w:val="3"/>
        <w:spacing w:before="156" w:after="156"/>
        <w:ind w:firstLine="482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3.2服务内容及服务要求</w:t>
      </w:r>
    </w:p>
    <w:p w14:paraId="6F9F1AD0">
      <w:pPr>
        <w:pStyle w:val="4"/>
        <w:spacing w:before="156" w:after="156" w:line="360" w:lineRule="auto"/>
        <w:ind w:firstLine="482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3.2.1服务内容</w:t>
      </w:r>
    </w:p>
    <w:p w14:paraId="5578BB9D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采购包1：</w:t>
      </w:r>
    </w:p>
    <w:p w14:paraId="07BC55E6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采购包预算金额（元）: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,44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,261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.1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</w:t>
      </w:r>
    </w:p>
    <w:p w14:paraId="1BBE8E0E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采购包最高限价（元）: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,44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,261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.1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</w:t>
      </w:r>
    </w:p>
    <w:p w14:paraId="2F4B421D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供应商报价不允许超过标的金额</w:t>
      </w:r>
    </w:p>
    <w:p w14:paraId="46845D41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（招单价的）供应商报价不允许超过标的单价</w:t>
      </w:r>
    </w:p>
    <w:tbl>
      <w:tblPr>
        <w:tblStyle w:val="5"/>
        <w:tblW w:w="492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717"/>
        <w:gridCol w:w="696"/>
        <w:gridCol w:w="1656"/>
        <w:gridCol w:w="456"/>
        <w:gridCol w:w="629"/>
        <w:gridCol w:w="605"/>
        <w:gridCol w:w="791"/>
        <w:gridCol w:w="608"/>
        <w:gridCol w:w="772"/>
      </w:tblGrid>
      <w:tr w14:paraId="009245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" w:type="pct"/>
            <w:vAlign w:val="center"/>
          </w:tcPr>
          <w:p w14:paraId="4D80B057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050" w:type="pct"/>
            <w:vAlign w:val="center"/>
          </w:tcPr>
          <w:p w14:paraId="248BA74D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381" w:type="pct"/>
            <w:vAlign w:val="center"/>
          </w:tcPr>
          <w:p w14:paraId="3CA8ECB1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907" w:type="pct"/>
            <w:vAlign w:val="center"/>
          </w:tcPr>
          <w:p w14:paraId="7E73ED99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标的金额（元）</w:t>
            </w:r>
          </w:p>
        </w:tc>
        <w:tc>
          <w:tcPr>
            <w:tcW w:w="250" w:type="pct"/>
            <w:vAlign w:val="center"/>
          </w:tcPr>
          <w:p w14:paraId="2452BCE7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计量单位</w:t>
            </w:r>
          </w:p>
        </w:tc>
        <w:tc>
          <w:tcPr>
            <w:tcW w:w="401" w:type="pct"/>
            <w:vAlign w:val="center"/>
          </w:tcPr>
          <w:p w14:paraId="33C83615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所属行业</w:t>
            </w:r>
          </w:p>
        </w:tc>
        <w:tc>
          <w:tcPr>
            <w:tcW w:w="387" w:type="pct"/>
            <w:vAlign w:val="center"/>
          </w:tcPr>
          <w:p w14:paraId="5DBEAEE7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是否核心产品</w:t>
            </w:r>
          </w:p>
        </w:tc>
        <w:tc>
          <w:tcPr>
            <w:tcW w:w="498" w:type="pct"/>
            <w:vAlign w:val="center"/>
          </w:tcPr>
          <w:p w14:paraId="799F2327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是否允许进口产品</w:t>
            </w:r>
          </w:p>
        </w:tc>
        <w:tc>
          <w:tcPr>
            <w:tcW w:w="388" w:type="pct"/>
            <w:vAlign w:val="center"/>
          </w:tcPr>
          <w:p w14:paraId="05EDDC1D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是否属于节能产品</w:t>
            </w:r>
          </w:p>
        </w:tc>
        <w:tc>
          <w:tcPr>
            <w:tcW w:w="486" w:type="pct"/>
            <w:vAlign w:val="center"/>
          </w:tcPr>
          <w:p w14:paraId="4D060019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是否属于环境标志产品</w:t>
            </w:r>
          </w:p>
        </w:tc>
      </w:tr>
      <w:tr w14:paraId="285898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" w:type="pct"/>
          </w:tcPr>
          <w:p w14:paraId="06A459C5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0" w:type="pct"/>
          </w:tcPr>
          <w:p w14:paraId="2F0B54F3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省足球青训中心1-4号训练场地围网及附属用房维修改造</w:t>
            </w:r>
          </w:p>
        </w:tc>
        <w:tc>
          <w:tcPr>
            <w:tcW w:w="381" w:type="pct"/>
          </w:tcPr>
          <w:p w14:paraId="6FDECA2A">
            <w:pPr>
              <w:pStyle w:val="7"/>
              <w:spacing w:line="360" w:lineRule="auto"/>
              <w:jc w:val="righ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1.00</w:t>
            </w:r>
          </w:p>
        </w:tc>
        <w:tc>
          <w:tcPr>
            <w:tcW w:w="907" w:type="pct"/>
          </w:tcPr>
          <w:p w14:paraId="44735C37">
            <w:pPr>
              <w:pStyle w:val="7"/>
              <w:spacing w:line="360" w:lineRule="auto"/>
              <w:jc w:val="righ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,44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8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,261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.1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4</w:t>
            </w:r>
          </w:p>
        </w:tc>
        <w:tc>
          <w:tcPr>
            <w:tcW w:w="250" w:type="pct"/>
          </w:tcPr>
          <w:p w14:paraId="7B262749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项</w:t>
            </w:r>
          </w:p>
        </w:tc>
        <w:tc>
          <w:tcPr>
            <w:tcW w:w="401" w:type="pct"/>
          </w:tcPr>
          <w:p w14:paraId="21CBE057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建筑业</w:t>
            </w:r>
          </w:p>
        </w:tc>
        <w:tc>
          <w:tcPr>
            <w:tcW w:w="387" w:type="pct"/>
          </w:tcPr>
          <w:p w14:paraId="2143ADE8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498" w:type="pct"/>
          </w:tcPr>
          <w:p w14:paraId="0E1D6F14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388" w:type="pct"/>
          </w:tcPr>
          <w:p w14:paraId="553A3441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486" w:type="pct"/>
          </w:tcPr>
          <w:p w14:paraId="736B6511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否</w:t>
            </w:r>
          </w:p>
        </w:tc>
      </w:tr>
    </w:tbl>
    <w:p w14:paraId="6150FC5B">
      <w:pPr>
        <w:pStyle w:val="4"/>
        <w:spacing w:before="156" w:after="156" w:line="360" w:lineRule="auto"/>
        <w:ind w:firstLine="482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3.2.2服务要求</w:t>
      </w:r>
    </w:p>
    <w:p w14:paraId="61583C28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采购包1：</w:t>
      </w:r>
    </w:p>
    <w:p w14:paraId="5C7152BA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供应商报价不允许超过标的金额</w:t>
      </w:r>
    </w:p>
    <w:p w14:paraId="79D7BAB8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（招单价的）供应商报价不允许超过标的单价</w:t>
      </w:r>
    </w:p>
    <w:p w14:paraId="5BA84827">
      <w:pPr>
        <w:spacing w:before="156" w:after="156"/>
        <w:ind w:firstLine="48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标的名称：省足球青训中心1-4号训练场地围网及附属用房维修改造</w:t>
      </w:r>
    </w:p>
    <w:tbl>
      <w:tblPr>
        <w:tblStyle w:val="5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544"/>
        <w:gridCol w:w="7249"/>
      </w:tblGrid>
      <w:tr w14:paraId="623447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334DCDF2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参数性质</w:t>
            </w:r>
          </w:p>
        </w:tc>
        <w:tc>
          <w:tcPr>
            <w:tcW w:w="319" w:type="pct"/>
            <w:vAlign w:val="center"/>
          </w:tcPr>
          <w:p w14:paraId="68A3375F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4252" w:type="pct"/>
            <w:vAlign w:val="center"/>
          </w:tcPr>
          <w:p w14:paraId="40B83865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技术参数与性能指标</w:t>
            </w:r>
          </w:p>
        </w:tc>
      </w:tr>
      <w:tr w14:paraId="0DA2DE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5D2D3B91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9" w:type="pct"/>
            <w:vAlign w:val="center"/>
          </w:tcPr>
          <w:p w14:paraId="79D74C1C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252" w:type="pct"/>
          </w:tcPr>
          <w:p w14:paraId="2B7CF4EF">
            <w:pPr>
              <w:pStyle w:val="7"/>
              <w:numPr>
                <w:ilvl w:val="0"/>
                <w:numId w:val="0"/>
              </w:numPr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theme="minorBidi"/>
                <w:color w:val="auto"/>
                <w:sz w:val="24"/>
                <w:szCs w:val="24"/>
                <w:highlight w:val="none"/>
                <w:lang w:val="en-US" w:eastAsia="zh-CN" w:bidi="ar-SA"/>
              </w:rPr>
              <w:t>一、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工程概况</w:t>
            </w:r>
          </w:p>
          <w:p w14:paraId="745A59BE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bookmarkStart w:id="4" w:name="OLE_LINK1"/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省足球青训中心1-4号训练场地围网及附属用房维修改造</w:t>
            </w:r>
            <w:bookmarkEnd w:id="4"/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工程位于陕西省西安市。主要建设内容有：拆除原有房屋、道路及更换老旧围网，新增附属用房建筑及装饰工程、电气设备工程、给排水工程、通风空调工程、室外监控、足球场照明工程、室外道路管网施工，以及新增围网施工。</w:t>
            </w:r>
          </w:p>
          <w:p w14:paraId="57BB74A0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详细内容见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附件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工程量清单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电子版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1055ED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609EEC17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9" w:type="pct"/>
            <w:vAlign w:val="center"/>
          </w:tcPr>
          <w:p w14:paraId="0778DC4A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2</w:t>
            </w:r>
          </w:p>
        </w:tc>
        <w:tc>
          <w:tcPr>
            <w:tcW w:w="4252" w:type="pct"/>
          </w:tcPr>
          <w:p w14:paraId="0D3B5B04">
            <w:pPr>
              <w:pStyle w:val="7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二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t>、技术标准和要求</w:t>
            </w:r>
          </w:p>
          <w:p w14:paraId="3AFE968B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严格按照标准和工艺流程施工，严把质量关，确保施工质量达到合格，符合验收标准。</w:t>
            </w:r>
          </w:p>
          <w:p w14:paraId="4670CB32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依据设计文件的要求，本招标工程项目的材料、设备、施工须达到所涉及到的现行中华人民共和国以及省、自治区、直辖市或行业的工程建设现行标准、规范的要求。</w:t>
            </w:r>
          </w:p>
          <w:p w14:paraId="44F0FCE6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该项目的材料、设备、施工如无上述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第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条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的标准，在材料、设备的定货采购和施工安装时，经监理和业主批准后方可实施。</w:t>
            </w:r>
          </w:p>
        </w:tc>
      </w:tr>
      <w:tr w14:paraId="125D43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5D790851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9" w:type="pct"/>
            <w:vAlign w:val="center"/>
          </w:tcPr>
          <w:p w14:paraId="098FFF40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3</w:t>
            </w:r>
          </w:p>
        </w:tc>
        <w:tc>
          <w:tcPr>
            <w:tcW w:w="4252" w:type="pct"/>
          </w:tcPr>
          <w:p w14:paraId="79793A2E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bookmarkStart w:id="5" w:name="OLE_LINK12"/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三、工程量清单编制依据</w:t>
            </w:r>
            <w:bookmarkEnd w:id="5"/>
          </w:p>
          <w:p w14:paraId="795A4B01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1.《陕西省建设工程工程量清单计价标准2025》；</w:t>
            </w:r>
          </w:p>
          <w:p w14:paraId="6D837BF5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2.《陕西省建设工程费用规则（2025）》；</w:t>
            </w:r>
          </w:p>
          <w:p w14:paraId="01BC3B45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3.《陕西省房屋建筑与装饰工程工程量计算标准（2025）》《陕西省通用安装工程工程量计算标准（2025）》；</w:t>
            </w:r>
          </w:p>
          <w:p w14:paraId="6905A30C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4.《陕西省房屋建筑与装饰工程消耗量定额（2025）》《陕西省通用安装工程消耗量定额（2025）》；</w:t>
            </w:r>
          </w:p>
          <w:p w14:paraId="2385A31A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5.《陕西省房屋建筑与装饰工程基价表（2025）》《陕西省通用安装工程基价表（2025）》；</w:t>
            </w:r>
          </w:p>
          <w:p w14:paraId="1D097BB7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6.《陕西省建设工程施工机械台班费用定额（2025）》《陕西省建设工程施工仪器仪表台班费用定额（2025）》；</w:t>
            </w:r>
          </w:p>
          <w:p w14:paraId="39950799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7.正常施工组织设计及施工方法；</w:t>
            </w:r>
          </w:p>
          <w:p w14:paraId="0DA36365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8.施工图中采用的相关标准图集、施工规范及验收规范；</w:t>
            </w:r>
          </w:p>
          <w:p w14:paraId="498CE7D5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9.建设单位提供的施工图纸及相关标准图集、图纸答疑文件等；</w:t>
            </w:r>
          </w:p>
          <w:p w14:paraId="28916590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  <w:t>10.其他相关资料。</w:t>
            </w:r>
          </w:p>
        </w:tc>
      </w:tr>
      <w:tr w14:paraId="7B5A31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5C557B2C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9" w:type="pct"/>
            <w:vAlign w:val="center"/>
          </w:tcPr>
          <w:p w14:paraId="47D82B24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4</w:t>
            </w:r>
          </w:p>
        </w:tc>
        <w:tc>
          <w:tcPr>
            <w:tcW w:w="4252" w:type="pct"/>
          </w:tcPr>
          <w:p w14:paraId="21AFF6E7">
            <w:pPr>
              <w:pStyle w:val="7"/>
              <w:numPr>
                <w:ilvl w:val="0"/>
                <w:numId w:val="0"/>
              </w:numPr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theme="minorBidi"/>
                <w:color w:val="auto"/>
                <w:sz w:val="24"/>
                <w:szCs w:val="24"/>
                <w:highlight w:val="none"/>
                <w:lang w:val="en-US" w:eastAsia="zh-CN" w:bidi="ar-SA"/>
              </w:rPr>
              <w:t>四、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编制范围</w:t>
            </w:r>
          </w:p>
          <w:p w14:paraId="46D38DA3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省足球青训中心1-4号训练场地围网及附属用房维修改造设计图纸（2026年04月）及相关答疑。</w:t>
            </w:r>
          </w:p>
        </w:tc>
      </w:tr>
      <w:tr w14:paraId="2D9113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5063A377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9" w:type="pct"/>
            <w:vAlign w:val="center"/>
          </w:tcPr>
          <w:p w14:paraId="0D49E078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5</w:t>
            </w:r>
          </w:p>
        </w:tc>
        <w:tc>
          <w:tcPr>
            <w:tcW w:w="4252" w:type="pct"/>
          </w:tcPr>
          <w:p w14:paraId="1575F781">
            <w:pPr>
              <w:pStyle w:val="7"/>
              <w:numPr>
                <w:ilvl w:val="0"/>
                <w:numId w:val="0"/>
              </w:numPr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theme="minorBidi"/>
                <w:color w:val="auto"/>
                <w:sz w:val="24"/>
                <w:szCs w:val="24"/>
                <w:highlight w:val="none"/>
                <w:lang w:val="en-US" w:eastAsia="zh-CN" w:bidi="ar-SA"/>
              </w:rPr>
              <w:t>五、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其他说明</w:t>
            </w:r>
          </w:p>
          <w:p w14:paraId="5F923DDD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1.本工程计价软件采用广联达版本号为云计价平台GCCP7.0（7.5000.23.3）；</w:t>
            </w:r>
          </w:p>
          <w:p w14:paraId="15695D99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工程量清单中如有</w:t>
            </w:r>
            <w:bookmarkStart w:id="6" w:name="OLE_LINK85"/>
            <w:bookmarkStart w:id="7" w:name="OLE_LINK86"/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暂列金和暂估价</w:t>
            </w:r>
            <w:bookmarkEnd w:id="6"/>
            <w:bookmarkEnd w:id="7"/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均作为不可竞争费用计入投标报价中</w:t>
            </w: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3074B0F8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3.清单未详尽内容需满足招标文件及图纸设计。</w:t>
            </w:r>
          </w:p>
        </w:tc>
      </w:tr>
      <w:tr w14:paraId="5C0A5F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" w:type="pct"/>
            <w:vAlign w:val="center"/>
          </w:tcPr>
          <w:p w14:paraId="276631CC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9" w:type="pct"/>
            <w:vAlign w:val="center"/>
          </w:tcPr>
          <w:p w14:paraId="2BB4F7C6">
            <w:pPr>
              <w:pStyle w:val="7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6</w:t>
            </w:r>
          </w:p>
        </w:tc>
        <w:tc>
          <w:tcPr>
            <w:tcW w:w="4252" w:type="pct"/>
          </w:tcPr>
          <w:p w14:paraId="27C64DED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bookmarkStart w:id="8" w:name="OLE_LINK14"/>
            <w:bookmarkStart w:id="9" w:name="OLE_LINK13"/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六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、其他要求</w:t>
            </w:r>
          </w:p>
          <w:p w14:paraId="3FFEFB8B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1.报价说明</w:t>
            </w:r>
          </w:p>
          <w:p w14:paraId="4B66BCE6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该项目工程上限价为5,448,261.14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  <w:t>元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，投标报价大于上限价的，按废标处理。</w:t>
            </w:r>
            <w:bookmarkStart w:id="10" w:name="OLE_LINK87"/>
            <w:bookmarkStart w:id="11" w:name="OLE_LINK88"/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暂列金和暂估价</w:t>
            </w:r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均属于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不可竞争费计入投标总价，暂列金根据实际发生情况据实结算。</w:t>
            </w:r>
            <w:bookmarkEnd w:id="10"/>
            <w:bookmarkEnd w:id="11"/>
          </w:p>
          <w:p w14:paraId="4CDEFA99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投标报价应按照施工图纸、工程量清单、补充通知、答疑纪要、合同条款、施工现场实际情况、拟定的施工方案或施工组织设计的相关内容及要求，并在满足招标文件要求的前提下，结合企业自身技术力量、设备装备水平、企业管理水平、市场价格行情自主报价。组价时应充分考虑相关费用在施工期间的政策调整、市场变动幅度、自然灾害、停电、停水、停工、窝工、施工现场条件及施工过程中发生的不可预见的风险因素。所有价格均为人民币报价，包括施工所需设备、材料、机械、人工、验收、交付、税金、利润等费用。本次开标一览表中只允许有一个报价，任何有选择的报价将不予接受。</w:t>
            </w:r>
          </w:p>
          <w:p w14:paraId="56B528FD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2.★工期：签订合同之日起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90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日历天内完成项目维修并交付使用，供应商可自报最短工期，完工后清理施工现场。投标人需提供响应工期的承诺，不得因水电等外部原因影响工期，未提供工期响应承诺函的按照符合性审查不合格处理。</w:t>
            </w:r>
          </w:p>
          <w:p w14:paraId="6F8C8FD5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★3.售后服务要求：项目交付使用后，要求施工单位每半年至少1次进行上门售后服务，投标人须提供上门服务承诺函，未提供上门服务承诺函的按照符合性审查不合格处理。</w:t>
            </w:r>
          </w:p>
          <w:p w14:paraId="216B0034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4.合同范围</w:t>
            </w:r>
          </w:p>
          <w:p w14:paraId="067AF81B">
            <w:pPr>
              <w:pStyle w:val="7"/>
              <w:spacing w:line="360" w:lineRule="auto"/>
              <w:ind w:firstLine="480" w:firstLineChars="200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具体内容参见施工范围内容有关要求，承包范围如有变化,以甲方下发工程改造范围变更单为依据。</w:t>
            </w:r>
          </w:p>
          <w:p w14:paraId="298A886F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★5.工程质保期：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《建设工程质量管理条例》及国家有关规定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的最低标准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。</w:t>
            </w:r>
            <w:bookmarkEnd w:id="8"/>
            <w:bookmarkEnd w:id="9"/>
          </w:p>
          <w:p w14:paraId="421066EE">
            <w:pPr>
              <w:pStyle w:val="7"/>
              <w:spacing w:line="360" w:lineRule="auto"/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6.主要材料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（水泥、钢材、配电箱、电缆、交换机、通风机、围网、路灯、监控设备）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需提供相关合格证书。</w:t>
            </w:r>
          </w:p>
          <w:p w14:paraId="684941B2">
            <w:pPr>
              <w:pStyle w:val="7"/>
              <w:spacing w:line="360" w:lineRule="auto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7.工程量清单中需要标明所投主材的品牌。</w:t>
            </w:r>
          </w:p>
          <w:p w14:paraId="47961BDD">
            <w:pPr>
              <w:pStyle w:val="7"/>
              <w:spacing w:line="360" w:lineRule="auto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8.施工工人要求:投标人针对本项目投入至少40名施工工人(此人数不包含项目经理、技术负责人等管理人员)，并保证人员配备充足，以保障工程按期保质完成。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投标人须提供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施工人数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承诺函，未提供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施工人数</w:t>
            </w:r>
            <w:r>
              <w:rPr>
                <w:rFonts w:ascii="宋体" w:hAnsi="宋体" w:eastAsia="宋体"/>
                <w:color w:val="auto"/>
                <w:sz w:val="24"/>
                <w:szCs w:val="24"/>
                <w:highlight w:val="none"/>
              </w:rPr>
              <w:t>承诺函的按照符合性审查不合格处理。</w:t>
            </w:r>
          </w:p>
        </w:tc>
      </w:tr>
    </w:tbl>
    <w:p w14:paraId="3716845B"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40"/>
      </w:pPr>
      <w:r>
        <w:separator/>
      </w:r>
    </w:p>
  </w:endnote>
  <w:endnote w:type="continuationSeparator" w:id="1">
    <w:p>
      <w:pPr>
        <w:spacing w:line="240" w:lineRule="auto"/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4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AA1FFA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50" w:beforeLines="50" w:after="50" w:afterLines="50" w:line="360" w:lineRule="auto"/>
      <w:ind w:firstLine="200" w:firstLineChars="200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ind w:firstLine="0" w:firstLineChars="0"/>
      <w:contextualSpacing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28"/>
    </w:rPr>
  </w:style>
  <w:style w:type="paragraph" w:styleId="3">
    <w:name w:val="heading 2"/>
    <w:basedOn w:val="1"/>
    <w:next w:val="1"/>
    <w:unhideWhenUsed/>
    <w:qFormat/>
    <w:uiPriority w:val="9"/>
    <w:pPr>
      <w:spacing w:before="200" w:after="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4">
    <w:name w:val="heading 3"/>
    <w:basedOn w:val="1"/>
    <w:next w:val="1"/>
    <w:unhideWhenUsed/>
    <w:qFormat/>
    <w:uiPriority w:val="9"/>
    <w:pPr>
      <w:spacing w:before="200" w:after="0" w:line="271" w:lineRule="auto"/>
      <w:outlineLvl w:val="2"/>
    </w:pPr>
    <w:rPr>
      <w:rFonts w:asciiTheme="majorHAnsi" w:hAnsiTheme="majorHAnsi" w:eastAsiaTheme="majorEastAsia" w:cstheme="majorBidi"/>
      <w:b/>
      <w:bCs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ull3"/>
    <w:autoRedefine/>
    <w:hidden/>
    <w:qFormat/>
    <w:uiPriority w:val="0"/>
    <w:pPr>
      <w:spacing w:after="200" w:line="276" w:lineRule="auto"/>
    </w:pPr>
    <w:rPr>
      <w:rFonts w:hint="eastAsia" w:asciiTheme="minorHAnsi" w:hAnsiTheme="minorHAnsi" w:eastAsiaTheme="minorEastAsia" w:cstheme="minorBidi"/>
      <w:sz w:val="22"/>
      <w:szCs w:val="22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2026-08-06T09:06:33Z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