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1623"/>
        <w:gridCol w:w="5435"/>
        <w:gridCol w:w="876"/>
      </w:tblGrid>
      <w:tr w14:paraId="2669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43" w:type="pct"/>
            <w:noWrap w:val="0"/>
            <w:vAlign w:val="center"/>
          </w:tcPr>
          <w:p w14:paraId="2ACAF88A">
            <w:pPr>
              <w:snapToGrid w:val="0"/>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序号</w:t>
            </w:r>
          </w:p>
        </w:tc>
        <w:tc>
          <w:tcPr>
            <w:tcW w:w="952" w:type="pct"/>
            <w:noWrap w:val="0"/>
            <w:vAlign w:val="center"/>
          </w:tcPr>
          <w:p w14:paraId="4F0FB8E8">
            <w:pPr>
              <w:snapToGrid w:val="0"/>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设备名称</w:t>
            </w:r>
          </w:p>
        </w:tc>
        <w:tc>
          <w:tcPr>
            <w:tcW w:w="3188" w:type="pct"/>
            <w:noWrap w:val="0"/>
            <w:vAlign w:val="center"/>
          </w:tcPr>
          <w:p w14:paraId="18B588C2">
            <w:pPr>
              <w:snapToGrid w:val="0"/>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参数</w:t>
            </w:r>
          </w:p>
        </w:tc>
        <w:tc>
          <w:tcPr>
            <w:tcW w:w="514" w:type="pct"/>
            <w:noWrap w:val="0"/>
            <w:vAlign w:val="center"/>
          </w:tcPr>
          <w:p w14:paraId="5678DEC9">
            <w:pPr>
              <w:snapToGrid w:val="0"/>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数量</w:t>
            </w:r>
          </w:p>
        </w:tc>
      </w:tr>
      <w:tr w14:paraId="2CCB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2F29993C">
            <w:pPr>
              <w:snapToGrid w:val="0"/>
              <w:ind w:left="0" w:leftChars="0" w:right="0" w:rightChars="0" w:firstLine="0" w:firstLineChars="0"/>
              <w:jc w:val="center"/>
              <w:rPr>
                <w:rFonts w:hint="eastAsia" w:ascii="仿宋" w:hAnsi="仿宋" w:eastAsia="仿宋" w:cs="仿宋"/>
                <w:color w:val="000000"/>
                <w:sz w:val="20"/>
                <w:szCs w:val="21"/>
              </w:rPr>
            </w:pPr>
            <w:r>
              <w:rPr>
                <w:rFonts w:hint="eastAsia" w:ascii="仿宋" w:hAnsi="仿宋" w:eastAsia="仿宋" w:cs="仿宋"/>
                <w:color w:val="000000"/>
                <w:sz w:val="20"/>
                <w:szCs w:val="21"/>
              </w:rPr>
              <w:t>1</w:t>
            </w:r>
          </w:p>
        </w:tc>
        <w:tc>
          <w:tcPr>
            <w:tcW w:w="952" w:type="pct"/>
            <w:noWrap w:val="0"/>
            <w:vAlign w:val="center"/>
          </w:tcPr>
          <w:p w14:paraId="6431DC02">
            <w:pPr>
              <w:snapToGrid w:val="0"/>
              <w:ind w:left="0" w:leftChars="0" w:right="0" w:rightChars="0" w:firstLine="0" w:firstLineChars="0"/>
              <w:jc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1"/>
                <w:lang w:val="en-US" w:eastAsia="zh-CN"/>
              </w:rPr>
              <w:t>智慧黑板</w:t>
            </w:r>
          </w:p>
        </w:tc>
        <w:tc>
          <w:tcPr>
            <w:tcW w:w="3188" w:type="pct"/>
            <w:noWrap w:val="0"/>
            <w:vAlign w:val="center"/>
          </w:tcPr>
          <w:p w14:paraId="5A2D07E0">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1.整机三拼接平面，无外露连接线。整机尺寸宽度≥4500mm,高度≥1350mm;</w:t>
            </w:r>
          </w:p>
          <w:p w14:paraId="0CD5BDF8">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2.整机采用≥12核国产化嵌入式芯片，CPU≥8核，整机嵌入式系统版本≥Android 16,CPU≥8核，主频≥2.2GHz,内存≥4GB,DDR最大速率≥2666MT/S,存储空间≥64GB;</w:t>
            </w:r>
          </w:p>
          <w:p w14:paraId="65284B6B">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3.中央主屏幕显示≥98英寸超高清LED液晶屏，分辨率≥3840×2160,显示比例16:9,主屏具有防眩光效果；</w:t>
            </w:r>
          </w:p>
          <w:p w14:paraId="367C34E8">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4.屏幕亮度：≥350cd/m2,对比度：1300:1,可视角度：(水平/垂直):178°屏幕色域值90%,支持感应并自动调节屏幕亮度来，整机内置全视角背光增光膜，通过增光膜对背光光源进行均光，在屏幕中心亮度≥350cd/m²下，增加屏幕两侧亮度，使得整机水平方向法线60度视角下，实际屏幕的观看有效亮度≥110Cd/m²;</w:t>
            </w:r>
          </w:p>
          <w:p w14:paraId="52D74CA6">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5.设备具备≥2路USB3.0、≥1路TYPE-C前置接口；</w:t>
            </w:r>
          </w:p>
          <w:p w14:paraId="39D58EEB">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6.Windows教学系统下进行50点触控，整机触摸支持动态压力感应，支持无任何电子功能的普通书写笔在整机上书写或点压时，整机能感应压力变化，书写或点压过程笔迹呈现不同粗细；</w:t>
            </w:r>
          </w:p>
          <w:p w14:paraId="066FF13F">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7.整机设备内置2.2声道扬声器，最大功率≥80W。</w:t>
            </w:r>
          </w:p>
          <w:p w14:paraId="179F9DC5">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8.整机听力模式下具备AI人声语言增强功能，支持不少于三档强弱调节。扩声系统语言传输指数(STIPA)≥0.75,整机内置非独立外扩展的8阵列麦克风，拾音角度≥150°,可用于对教室环境音频进行采集，拾音距离≥12m。</w:t>
            </w:r>
          </w:p>
          <w:p w14:paraId="315099A8">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9.内置非独立广角高清摄像头(不接受外接摄像头),像素≥4800万，摄像头视场角不小于135度，水平视场角不小于120度，支持输出4:3、16:9比例的图片和视频；支持清晰度为3840×2160(4K)分辨率的视频输出，支持画面畸变矫正功能；</w:t>
            </w:r>
          </w:p>
          <w:p w14:paraId="0CE9AD70">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10.内置模块化电脑，处理器主频≥2.0Ghz,核心数≥8核心，线程数≥12线程，三级缓存≥12M,硬盘≥256G SSD固态硬盘；</w:t>
            </w:r>
          </w:p>
          <w:p w14:paraId="48780B8E">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11.整机内置双WiFi6无线网卡(不接受外接),在Android下支持无线设备同时连接数量≥32个，在Windows系统下支持无线设备同时连接≥8个；</w:t>
            </w:r>
          </w:p>
          <w:p w14:paraId="1C9E0ACE">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12.整机设备支持多种身份识别方式，支持通过账号登录、手机扫码登录、人脸识别登录、声纹识别登录、近场发现登录，并支持账号安全登录检测；</w:t>
            </w:r>
          </w:p>
          <w:p w14:paraId="29DA6FF0">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rPr>
              <w:t>13.内置教学软件，支持师生互动功能，内置还原软件，支持一键还原，附带集控管理软件及永久使用授权，集控软件具备远程查看设备状态、远程控制、远程查看设备画面和摄像头画面、查看设备使用记录等功能；</w:t>
            </w:r>
          </w:p>
          <w:p w14:paraId="277A5A08">
            <w:pPr>
              <w:snapToGrid w:val="0"/>
              <w:ind w:left="0" w:leftChars="0" w:right="0" w:rightChars="0" w:firstLine="0" w:firstLineChars="0"/>
              <w:jc w:val="left"/>
              <w:rPr>
                <w:rFonts w:hint="eastAsia" w:ascii="仿宋" w:hAnsi="仿宋" w:eastAsia="仿宋" w:cs="仿宋"/>
                <w:kern w:val="2"/>
                <w:sz w:val="20"/>
                <w:szCs w:val="22"/>
                <w:lang w:val="en-US" w:eastAsia="zh-CN" w:bidi="ar-SA"/>
              </w:rPr>
            </w:pPr>
            <w:r>
              <w:rPr>
                <w:rFonts w:hint="eastAsia" w:ascii="仿宋" w:hAnsi="仿宋" w:eastAsia="仿宋" w:cs="仿宋"/>
                <w:color w:val="000000"/>
                <w:sz w:val="20"/>
                <w:szCs w:val="21"/>
              </w:rPr>
              <w:t>14.配备无线键鼠一套。</w:t>
            </w:r>
          </w:p>
        </w:tc>
        <w:tc>
          <w:tcPr>
            <w:tcW w:w="514" w:type="pct"/>
            <w:noWrap w:val="0"/>
            <w:vAlign w:val="center"/>
          </w:tcPr>
          <w:p w14:paraId="5C3D4618">
            <w:pPr>
              <w:snapToGrid w:val="0"/>
              <w:ind w:left="0" w:leftChars="0" w:right="0" w:rightChars="0" w:firstLine="0" w:firstLineChars="0"/>
              <w:jc w:val="left"/>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1"/>
                <w:lang w:val="en-US" w:eastAsia="zh-CN"/>
              </w:rPr>
              <w:t>6</w:t>
            </w:r>
            <w:r>
              <w:rPr>
                <w:rFonts w:hint="eastAsia" w:ascii="仿宋" w:hAnsi="仿宋" w:eastAsia="仿宋" w:cs="仿宋"/>
                <w:color w:val="000000"/>
                <w:sz w:val="20"/>
                <w:szCs w:val="21"/>
              </w:rPr>
              <w:t>台</w:t>
            </w:r>
          </w:p>
        </w:tc>
      </w:tr>
      <w:tr w14:paraId="6BF8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30FAEB17">
            <w:pPr>
              <w:snapToGrid w:val="0"/>
              <w:ind w:left="0" w:leftChars="0" w:right="0" w:rightChars="0" w:firstLine="0" w:firstLineChars="0"/>
              <w:jc w:val="center"/>
              <w:rPr>
                <w:rFonts w:hint="eastAsia" w:ascii="仿宋" w:hAnsi="仿宋" w:eastAsia="仿宋" w:cs="仿宋"/>
                <w:sz w:val="20"/>
                <w:szCs w:val="22"/>
                <w:lang w:eastAsia="zh-CN"/>
              </w:rPr>
            </w:pPr>
            <w:r>
              <w:rPr>
                <w:rFonts w:hint="eastAsia" w:ascii="仿宋" w:hAnsi="仿宋" w:eastAsia="仿宋" w:cs="仿宋"/>
                <w:sz w:val="20"/>
                <w:szCs w:val="22"/>
                <w:lang w:val="en-US" w:eastAsia="zh-CN"/>
              </w:rPr>
              <w:t>2</w:t>
            </w:r>
          </w:p>
        </w:tc>
        <w:tc>
          <w:tcPr>
            <w:tcW w:w="952" w:type="pct"/>
            <w:noWrap w:val="0"/>
            <w:vAlign w:val="center"/>
          </w:tcPr>
          <w:p w14:paraId="3C0BBDC9">
            <w:pPr>
              <w:snapToGrid w:val="0"/>
              <w:ind w:left="0" w:leftChars="0" w:right="0" w:rightChars="0" w:firstLine="0" w:firstLineChars="0"/>
              <w:jc w:val="center"/>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音频主机</w:t>
            </w:r>
          </w:p>
        </w:tc>
        <w:tc>
          <w:tcPr>
            <w:tcW w:w="3188" w:type="pct"/>
            <w:noWrap w:val="0"/>
            <w:vAlign w:val="center"/>
          </w:tcPr>
          <w:p w14:paraId="11678CFD">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1.系统集成音频处理和功率放大器；</w:t>
            </w:r>
          </w:p>
          <w:p w14:paraId="212F756B">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2.集成回声消除功能、噪声消除功能、混音处理功能于一体；</w:t>
            </w:r>
          </w:p>
          <w:p w14:paraId="63CF08C9">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 xml:space="preserve">3.反馈抑制（AFC）：传声增益提升幅度≥9dB ；  </w:t>
            </w:r>
          </w:p>
          <w:p w14:paraId="6223E45A">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4.自适应背景降噪（ANS）：信噪比提升 ≥18dB ；</w:t>
            </w:r>
          </w:p>
          <w:p w14:paraId="6CB3E4F0">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5.自动增益控制（AGC）： -12dB - +12dB；</w:t>
            </w:r>
          </w:p>
          <w:p w14:paraId="25323BC6">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6.频率响应：50Hz-20kHz；</w:t>
            </w:r>
          </w:p>
          <w:p w14:paraId="016A1EEA">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7.具备≥2路音频输入、具备≥2路音频输出；具备≥1路翻页笔输出接口；</w:t>
            </w:r>
          </w:p>
          <w:p w14:paraId="75FB54C9">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8.≥2个以太网接口，支持接入网络进行管控，配套平台支持远程声音控制、批量升级、音频参数调节配置、实时显示音量大小、运行日志统计及查看、故障统计等功能；</w:t>
            </w:r>
          </w:p>
          <w:p w14:paraId="765889FE">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9.支持通过串口线连接中控，可实现对无线话筒的音量、电磁锁的解锁方式、电磁锁的开关进行控制；</w:t>
            </w:r>
          </w:p>
          <w:p w14:paraId="598E19F5">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10.内置功放,具有不少于4个扬声器接口，输出功率≥60 W×2（8 Ω）。</w:t>
            </w:r>
          </w:p>
        </w:tc>
        <w:tc>
          <w:tcPr>
            <w:tcW w:w="514" w:type="pct"/>
            <w:noWrap w:val="0"/>
            <w:vAlign w:val="center"/>
          </w:tcPr>
          <w:p w14:paraId="6F59C313">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6个</w:t>
            </w:r>
          </w:p>
        </w:tc>
      </w:tr>
      <w:tr w14:paraId="54F7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6EF5DE3B">
            <w:pPr>
              <w:snapToGrid w:val="0"/>
              <w:ind w:left="0" w:leftChars="0" w:right="0" w:rightChars="0" w:firstLine="0" w:firstLineChars="0"/>
              <w:jc w:val="center"/>
              <w:rPr>
                <w:rFonts w:hint="eastAsia" w:ascii="仿宋" w:hAnsi="仿宋" w:eastAsia="仿宋" w:cs="仿宋"/>
                <w:sz w:val="20"/>
                <w:szCs w:val="22"/>
                <w:lang w:val="en-US" w:eastAsia="zh-CN"/>
              </w:rPr>
            </w:pPr>
            <w:r>
              <w:rPr>
                <w:rFonts w:hint="eastAsia" w:ascii="仿宋" w:hAnsi="仿宋" w:eastAsia="仿宋" w:cs="仿宋"/>
                <w:sz w:val="20"/>
                <w:szCs w:val="22"/>
                <w:lang w:val="en-US" w:eastAsia="zh-CN"/>
              </w:rPr>
              <w:t>3</w:t>
            </w:r>
          </w:p>
        </w:tc>
        <w:tc>
          <w:tcPr>
            <w:tcW w:w="952" w:type="pct"/>
            <w:noWrap w:val="0"/>
            <w:vAlign w:val="center"/>
          </w:tcPr>
          <w:p w14:paraId="620D606C">
            <w:pPr>
              <w:snapToGrid w:val="0"/>
              <w:ind w:left="0" w:leftChars="0" w:right="0" w:rightChars="0" w:firstLine="0" w:firstLineChars="0"/>
              <w:jc w:val="center"/>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无线麦克风及底座</w:t>
            </w:r>
          </w:p>
        </w:tc>
        <w:tc>
          <w:tcPr>
            <w:tcW w:w="3188" w:type="pct"/>
            <w:noWrap w:val="0"/>
            <w:vAlign w:val="center"/>
          </w:tcPr>
          <w:p w14:paraId="4A8E2C66">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1.话筒插入充电座即可自动完成配对，开机即用；</w:t>
            </w:r>
          </w:p>
          <w:p w14:paraId="034A6C0D">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2.无线话筒采用直插式桌面充电器充电方式，具有充电灯光提醒及保护功能，无线话筒具有翻页笔和激光笔功能；</w:t>
            </w:r>
          </w:p>
          <w:p w14:paraId="6FA175D4">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3.无线麦克风侧面需具有独立音量加减按键；</w:t>
            </w:r>
          </w:p>
          <w:p w14:paraId="35FE0E5C">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4.收发频率：470MHz - 510MHz；</w:t>
            </w:r>
          </w:p>
          <w:p w14:paraId="41CCAF1F">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5.频率响应范围：20Hz-20KHz（±3dB）；</w:t>
            </w:r>
          </w:p>
          <w:p w14:paraId="11993C9D">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6.综合信噪比：≥85dB ；</w:t>
            </w:r>
          </w:p>
          <w:p w14:paraId="746EFF2F">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7.充电底座具有解锁按键；</w:t>
            </w:r>
          </w:p>
          <w:p w14:paraId="518A86F5">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8.提供远程统一管理软硬件接口，配合中控可以做到上课可以开锁，下课后话筒插入底座后自动锁死，防止话筒丢失；</w:t>
            </w:r>
          </w:p>
          <w:p w14:paraId="3EF5F71C">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9.需具有归还语音提示功能，下课时老师未将无线麦克风插入底座可向功放设备输出归还提示语音。</w:t>
            </w:r>
          </w:p>
        </w:tc>
        <w:tc>
          <w:tcPr>
            <w:tcW w:w="514" w:type="pct"/>
            <w:noWrap w:val="0"/>
            <w:vAlign w:val="center"/>
          </w:tcPr>
          <w:p w14:paraId="245B34C0">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6个</w:t>
            </w:r>
          </w:p>
        </w:tc>
      </w:tr>
      <w:tr w14:paraId="731D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48A9F5EA">
            <w:pPr>
              <w:snapToGrid w:val="0"/>
              <w:ind w:left="0" w:leftChars="0" w:right="0" w:rightChars="0" w:firstLine="0" w:firstLineChars="0"/>
              <w:jc w:val="center"/>
              <w:rPr>
                <w:rFonts w:hint="eastAsia" w:ascii="仿宋" w:hAnsi="仿宋" w:eastAsia="仿宋" w:cs="仿宋"/>
                <w:sz w:val="20"/>
                <w:szCs w:val="22"/>
                <w:lang w:eastAsia="zh-CN"/>
              </w:rPr>
            </w:pPr>
            <w:r>
              <w:rPr>
                <w:rFonts w:hint="eastAsia" w:ascii="仿宋" w:hAnsi="仿宋" w:eastAsia="仿宋" w:cs="仿宋"/>
                <w:sz w:val="20"/>
                <w:szCs w:val="22"/>
                <w:lang w:val="en-US" w:eastAsia="zh-CN"/>
              </w:rPr>
              <w:t>4</w:t>
            </w:r>
          </w:p>
        </w:tc>
        <w:tc>
          <w:tcPr>
            <w:tcW w:w="952" w:type="pct"/>
            <w:noWrap w:val="0"/>
            <w:vAlign w:val="center"/>
          </w:tcPr>
          <w:p w14:paraId="3EF01484">
            <w:pPr>
              <w:snapToGrid w:val="0"/>
              <w:ind w:left="0" w:leftChars="0" w:right="0" w:rightChars="0" w:firstLine="0" w:firstLineChars="0"/>
              <w:jc w:val="center"/>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壁挂式音箱</w:t>
            </w:r>
          </w:p>
        </w:tc>
        <w:tc>
          <w:tcPr>
            <w:tcW w:w="3188" w:type="pct"/>
            <w:noWrap w:val="0"/>
            <w:vAlign w:val="center"/>
          </w:tcPr>
          <w:p w14:paraId="2603A01C">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1.频率响应：65Hz-20KHz；</w:t>
            </w:r>
          </w:p>
          <w:p w14:paraId="7602D670">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2.额定阻抗：≤8Ω；</w:t>
            </w:r>
          </w:p>
          <w:p w14:paraId="0C965ACB">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3.灵敏度：≥88dB；</w:t>
            </w:r>
          </w:p>
          <w:p w14:paraId="3F788A93">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4.额定功率：≥60W；</w:t>
            </w:r>
          </w:p>
          <w:p w14:paraId="259A2E61">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5.高音单元：≤1吋；</w:t>
            </w:r>
          </w:p>
          <w:p w14:paraId="1BD820D1">
            <w:pPr>
              <w:pStyle w:val="2"/>
              <w:snapToGrid w:val="0"/>
              <w:spacing w:line="240" w:lineRule="auto"/>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6.低音单元：≥4吋。</w:t>
            </w:r>
          </w:p>
        </w:tc>
        <w:tc>
          <w:tcPr>
            <w:tcW w:w="514" w:type="pct"/>
            <w:noWrap w:val="0"/>
            <w:vAlign w:val="center"/>
          </w:tcPr>
          <w:p w14:paraId="318F85D2">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6对</w:t>
            </w:r>
          </w:p>
        </w:tc>
      </w:tr>
      <w:tr w14:paraId="658D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3A8E70B6">
            <w:pPr>
              <w:snapToGrid w:val="0"/>
              <w:ind w:left="0" w:leftChars="0" w:right="0" w:rightChars="0" w:firstLine="0" w:firstLineChars="0"/>
              <w:jc w:val="center"/>
              <w:rPr>
                <w:rFonts w:hint="eastAsia" w:ascii="仿宋" w:hAnsi="仿宋" w:eastAsia="仿宋" w:cs="仿宋"/>
                <w:kern w:val="2"/>
                <w:sz w:val="20"/>
                <w:szCs w:val="22"/>
                <w:lang w:val="en-US" w:eastAsia="zh-CN" w:bidi="ar-SA"/>
              </w:rPr>
            </w:pPr>
            <w:r>
              <w:rPr>
                <w:rFonts w:hint="eastAsia" w:ascii="仿宋" w:hAnsi="仿宋" w:eastAsia="仿宋" w:cs="仿宋"/>
                <w:sz w:val="20"/>
                <w:szCs w:val="22"/>
                <w:lang w:val="en-US" w:eastAsia="zh-CN"/>
              </w:rPr>
              <w:t>5</w:t>
            </w:r>
          </w:p>
        </w:tc>
        <w:tc>
          <w:tcPr>
            <w:tcW w:w="952" w:type="pct"/>
            <w:noWrap w:val="0"/>
            <w:vAlign w:val="center"/>
          </w:tcPr>
          <w:p w14:paraId="29C0663F">
            <w:pPr>
              <w:snapToGrid w:val="0"/>
              <w:ind w:left="0" w:leftChars="0" w:right="0" w:rightChars="0" w:firstLine="0" w:firstLineChars="0"/>
              <w:jc w:val="center"/>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多媒体讲桌</w:t>
            </w:r>
          </w:p>
        </w:tc>
        <w:tc>
          <w:tcPr>
            <w:tcW w:w="3188" w:type="pct"/>
            <w:noWrap w:val="0"/>
            <w:vAlign w:val="center"/>
          </w:tcPr>
          <w:p w14:paraId="6E3D5A04">
            <w:pPr>
              <w:snapToGrid w:val="0"/>
              <w:ind w:left="0" w:leftChars="0" w:right="0" w:rightChars="0" w:firstLine="0" w:firstLineChars="0"/>
              <w:jc w:val="left"/>
              <w:rPr>
                <w:rFonts w:hint="eastAsia" w:ascii="仿宋" w:hAnsi="仿宋" w:eastAsia="仿宋" w:cs="仿宋"/>
                <w:color w:val="000000"/>
                <w:sz w:val="20"/>
                <w:szCs w:val="21"/>
                <w:lang w:eastAsia="zh-CN"/>
              </w:rPr>
            </w:pPr>
            <w:r>
              <w:rPr>
                <w:rFonts w:hint="eastAsia" w:ascii="仿宋" w:hAnsi="仿宋" w:eastAsia="仿宋" w:cs="仿宋"/>
                <w:color w:val="000000"/>
                <w:sz w:val="20"/>
                <w:szCs w:val="21"/>
              </w:rPr>
              <w:t>1</w:t>
            </w:r>
            <w:r>
              <w:rPr>
                <w:rFonts w:hint="eastAsia" w:ascii="仿宋" w:hAnsi="仿宋" w:eastAsia="仿宋" w:cs="仿宋"/>
                <w:color w:val="000000"/>
                <w:sz w:val="20"/>
                <w:szCs w:val="21"/>
                <w:lang w:eastAsia="zh-CN"/>
              </w:rPr>
              <w:t>.</w:t>
            </w:r>
            <w:r>
              <w:rPr>
                <w:rFonts w:hint="eastAsia" w:ascii="仿宋" w:hAnsi="仿宋" w:eastAsia="仿宋" w:cs="仿宋"/>
                <w:color w:val="000000"/>
                <w:sz w:val="20"/>
                <w:szCs w:val="21"/>
              </w:rPr>
              <w:t>钢木结构，桌体上部分采用圆弧设计</w:t>
            </w:r>
            <w:r>
              <w:rPr>
                <w:rFonts w:hint="eastAsia" w:ascii="仿宋" w:hAnsi="仿宋" w:eastAsia="仿宋" w:cs="仿宋"/>
                <w:color w:val="000000"/>
                <w:sz w:val="20"/>
                <w:szCs w:val="21"/>
                <w:lang w:eastAsia="zh-CN"/>
              </w:rPr>
              <w:t>，</w:t>
            </w:r>
            <w:r>
              <w:rPr>
                <w:rFonts w:hint="eastAsia" w:ascii="仿宋" w:hAnsi="仿宋" w:eastAsia="仿宋" w:cs="仿宋"/>
                <w:color w:val="000000"/>
                <w:sz w:val="20"/>
                <w:szCs w:val="21"/>
              </w:rPr>
              <w:t>所有尖角倒圆角不小于R</w:t>
            </w:r>
            <w:r>
              <w:rPr>
                <w:rFonts w:hint="eastAsia" w:ascii="仿宋" w:hAnsi="仿宋" w:eastAsia="仿宋" w:cs="仿宋"/>
                <w:color w:val="000000"/>
                <w:sz w:val="20"/>
                <w:szCs w:val="21"/>
                <w:lang w:eastAsia="zh-CN"/>
              </w:rPr>
              <w:t>；</w:t>
            </w:r>
          </w:p>
          <w:p w14:paraId="1F686525">
            <w:pPr>
              <w:snapToGrid w:val="0"/>
              <w:ind w:left="0" w:leftChars="0" w:right="0" w:rightChars="0" w:firstLine="0" w:firstLineChars="0"/>
              <w:jc w:val="left"/>
              <w:rPr>
                <w:rFonts w:hint="eastAsia" w:ascii="仿宋" w:hAnsi="仿宋" w:eastAsia="仿宋" w:cs="仿宋"/>
                <w:color w:val="000000"/>
                <w:sz w:val="20"/>
                <w:szCs w:val="21"/>
                <w:lang w:eastAsia="zh-CN"/>
              </w:rPr>
            </w:pPr>
            <w:r>
              <w:rPr>
                <w:rFonts w:hint="eastAsia" w:ascii="仿宋" w:hAnsi="仿宋" w:eastAsia="仿宋" w:cs="仿宋"/>
                <w:color w:val="000000"/>
                <w:sz w:val="20"/>
                <w:szCs w:val="21"/>
                <w:lang w:val="en-US" w:eastAsia="zh-CN"/>
              </w:rPr>
              <w:t>2.参考</w:t>
            </w:r>
            <w:r>
              <w:rPr>
                <w:rFonts w:hint="eastAsia" w:ascii="仿宋" w:hAnsi="仿宋" w:eastAsia="仿宋" w:cs="仿宋"/>
                <w:color w:val="000000"/>
                <w:sz w:val="20"/>
                <w:szCs w:val="21"/>
              </w:rPr>
              <w:t>尺寸：1150*780*1000mm（长宽高）</w:t>
            </w:r>
            <w:r>
              <w:rPr>
                <w:rFonts w:hint="eastAsia" w:ascii="仿宋" w:hAnsi="仿宋" w:eastAsia="仿宋" w:cs="仿宋"/>
                <w:color w:val="000000"/>
                <w:sz w:val="20"/>
                <w:szCs w:val="21"/>
                <w:lang w:eastAsia="zh-CN"/>
              </w:rPr>
              <w:t>，</w:t>
            </w:r>
            <w:r>
              <w:rPr>
                <w:rFonts w:hint="eastAsia" w:ascii="仿宋" w:hAnsi="仿宋" w:eastAsia="仿宋" w:cs="仿宋"/>
                <w:color w:val="000000"/>
                <w:sz w:val="20"/>
                <w:szCs w:val="21"/>
                <w:lang w:val="en-US" w:eastAsia="zh-CN"/>
              </w:rPr>
              <w:t>可结合具体情况调整</w:t>
            </w:r>
            <w:r>
              <w:rPr>
                <w:rFonts w:hint="eastAsia" w:ascii="仿宋" w:hAnsi="仿宋" w:eastAsia="仿宋" w:cs="仿宋"/>
                <w:color w:val="000000"/>
                <w:sz w:val="20"/>
                <w:szCs w:val="21"/>
                <w:lang w:eastAsia="zh-CN"/>
              </w:rPr>
              <w:t>；</w:t>
            </w:r>
          </w:p>
          <w:p w14:paraId="15810E8F">
            <w:pPr>
              <w:snapToGrid w:val="0"/>
              <w:ind w:left="0" w:leftChars="0" w:right="0" w:rightChars="0" w:firstLine="0" w:firstLineChars="0"/>
              <w:jc w:val="left"/>
              <w:rPr>
                <w:rFonts w:hint="eastAsia" w:ascii="仿宋" w:hAnsi="仿宋" w:eastAsia="仿宋" w:cs="仿宋"/>
                <w:color w:val="000000"/>
                <w:sz w:val="20"/>
                <w:szCs w:val="21"/>
                <w:lang w:eastAsia="zh-CN"/>
              </w:rPr>
            </w:pPr>
            <w:r>
              <w:rPr>
                <w:rFonts w:hint="eastAsia" w:ascii="仿宋" w:hAnsi="仿宋" w:eastAsia="仿宋" w:cs="仿宋"/>
                <w:color w:val="000000"/>
                <w:sz w:val="20"/>
                <w:szCs w:val="21"/>
                <w:lang w:val="en-US" w:eastAsia="zh-CN"/>
              </w:rPr>
              <w:t>3.</w:t>
            </w:r>
            <w:r>
              <w:rPr>
                <w:rFonts w:hint="eastAsia" w:ascii="仿宋" w:hAnsi="仿宋" w:eastAsia="仿宋" w:cs="仿宋"/>
                <w:color w:val="000000"/>
                <w:sz w:val="20"/>
                <w:szCs w:val="21"/>
              </w:rPr>
              <w:t>主体材料采用</w:t>
            </w:r>
            <w:r>
              <w:rPr>
                <w:rFonts w:hint="eastAsia" w:ascii="仿宋" w:hAnsi="仿宋" w:eastAsia="仿宋" w:cs="仿宋"/>
                <w:color w:val="000000"/>
                <w:sz w:val="20"/>
                <w:szCs w:val="21"/>
                <w:lang w:val="en-US" w:eastAsia="zh-CN"/>
              </w:rPr>
              <w:t>不小于</w:t>
            </w:r>
            <w:r>
              <w:rPr>
                <w:rFonts w:hint="eastAsia" w:ascii="仿宋" w:hAnsi="仿宋" w:eastAsia="仿宋" w:cs="仿宋"/>
                <w:color w:val="000000"/>
                <w:sz w:val="20"/>
                <w:szCs w:val="21"/>
              </w:rPr>
              <w:t>1.5mm冷轧钢板，其他辅助部门采用</w:t>
            </w:r>
            <w:r>
              <w:rPr>
                <w:rFonts w:hint="eastAsia" w:ascii="仿宋" w:hAnsi="仿宋" w:eastAsia="仿宋" w:cs="仿宋"/>
                <w:color w:val="000000"/>
                <w:sz w:val="20"/>
                <w:szCs w:val="21"/>
                <w:lang w:val="en-US" w:eastAsia="zh-CN"/>
              </w:rPr>
              <w:t>不小于</w:t>
            </w:r>
            <w:r>
              <w:rPr>
                <w:rFonts w:hint="eastAsia" w:ascii="仿宋" w:hAnsi="仿宋" w:eastAsia="仿宋" w:cs="仿宋"/>
                <w:color w:val="000000"/>
                <w:sz w:val="20"/>
                <w:szCs w:val="21"/>
              </w:rPr>
              <w:t>1.2mm冷轧钢板。讲台正面配有留有LOGO木制面板</w:t>
            </w:r>
            <w:r>
              <w:rPr>
                <w:rFonts w:hint="eastAsia" w:ascii="仿宋" w:hAnsi="仿宋" w:eastAsia="仿宋" w:cs="仿宋"/>
                <w:color w:val="000000"/>
                <w:sz w:val="20"/>
                <w:szCs w:val="21"/>
                <w:lang w:eastAsia="zh-CN"/>
              </w:rPr>
              <w:t>；</w:t>
            </w:r>
          </w:p>
          <w:p w14:paraId="1A3A1664">
            <w:pPr>
              <w:snapToGrid w:val="0"/>
              <w:ind w:left="0" w:leftChars="0" w:right="0" w:rightChars="0" w:firstLine="0" w:firstLineChars="0"/>
              <w:jc w:val="left"/>
              <w:rPr>
                <w:rFonts w:hint="eastAsia" w:ascii="仿宋" w:hAnsi="仿宋" w:eastAsia="仿宋" w:cs="仿宋"/>
                <w:color w:val="000000"/>
                <w:sz w:val="20"/>
                <w:szCs w:val="21"/>
                <w:lang w:eastAsia="zh-CN"/>
              </w:rPr>
            </w:pPr>
            <w:r>
              <w:rPr>
                <w:rFonts w:hint="eastAsia" w:ascii="仿宋" w:hAnsi="仿宋" w:eastAsia="仿宋" w:cs="仿宋"/>
                <w:color w:val="000000"/>
                <w:sz w:val="20"/>
                <w:szCs w:val="21"/>
                <w:lang w:val="en-US" w:eastAsia="zh-CN"/>
              </w:rPr>
              <w:t>4.</w:t>
            </w:r>
            <w:r>
              <w:rPr>
                <w:rFonts w:hint="eastAsia" w:ascii="仿宋" w:hAnsi="仿宋" w:eastAsia="仿宋" w:cs="仿宋"/>
                <w:color w:val="000000"/>
                <w:sz w:val="20"/>
                <w:szCs w:val="21"/>
              </w:rPr>
              <w:t>显示器可调节倾斜角度，配有钢化玻璃保护显示器，可装置19-22寸液晶宽屏显示器</w:t>
            </w:r>
            <w:r>
              <w:rPr>
                <w:rFonts w:hint="eastAsia" w:ascii="仿宋" w:hAnsi="仿宋" w:eastAsia="仿宋" w:cs="仿宋"/>
                <w:color w:val="000000"/>
                <w:sz w:val="20"/>
                <w:szCs w:val="21"/>
                <w:lang w:eastAsia="zh-CN"/>
              </w:rPr>
              <w:t>；</w:t>
            </w:r>
          </w:p>
          <w:p w14:paraId="2336E496">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lang w:val="en-US" w:eastAsia="zh-CN"/>
              </w:rPr>
              <w:t>5.配置强弱电面板，接通电源</w:t>
            </w:r>
            <w:r>
              <w:rPr>
                <w:rFonts w:hint="eastAsia" w:ascii="仿宋" w:hAnsi="仿宋" w:eastAsia="仿宋" w:cs="仿宋"/>
                <w:color w:val="000000"/>
                <w:sz w:val="20"/>
                <w:szCs w:val="21"/>
              </w:rPr>
              <w:t>*1</w:t>
            </w:r>
            <w:r>
              <w:rPr>
                <w:rFonts w:hint="eastAsia" w:ascii="仿宋" w:hAnsi="仿宋" w:eastAsia="仿宋" w:cs="仿宋"/>
                <w:color w:val="000000"/>
                <w:sz w:val="20"/>
                <w:szCs w:val="21"/>
                <w:lang w:val="en-US" w:eastAsia="zh-CN"/>
              </w:rPr>
              <w:t>、</w:t>
            </w:r>
            <w:r>
              <w:rPr>
                <w:rFonts w:hint="eastAsia" w:ascii="仿宋" w:hAnsi="仿宋" w:eastAsia="仿宋" w:cs="仿宋"/>
                <w:color w:val="000000"/>
                <w:sz w:val="20"/>
                <w:szCs w:val="21"/>
              </w:rPr>
              <w:t>HDMI*1，USB*2。</w:t>
            </w:r>
          </w:p>
        </w:tc>
        <w:tc>
          <w:tcPr>
            <w:tcW w:w="514" w:type="pct"/>
            <w:noWrap w:val="0"/>
            <w:vAlign w:val="center"/>
          </w:tcPr>
          <w:p w14:paraId="6F1E5EF4">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6个</w:t>
            </w:r>
          </w:p>
        </w:tc>
      </w:tr>
      <w:tr w14:paraId="1E3BF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66AE384C">
            <w:pPr>
              <w:snapToGrid w:val="0"/>
              <w:ind w:left="0" w:leftChars="0" w:right="0" w:rightChars="0" w:firstLine="0" w:firstLineChars="0"/>
              <w:jc w:val="center"/>
              <w:rPr>
                <w:rFonts w:hint="default" w:ascii="仿宋" w:hAnsi="仿宋" w:eastAsia="仿宋" w:cs="仿宋"/>
                <w:kern w:val="2"/>
                <w:sz w:val="20"/>
                <w:szCs w:val="22"/>
                <w:lang w:val="en-US" w:eastAsia="zh-CN" w:bidi="ar-SA"/>
              </w:rPr>
            </w:pPr>
            <w:r>
              <w:rPr>
                <w:rFonts w:hint="eastAsia" w:ascii="仿宋" w:hAnsi="仿宋" w:eastAsia="仿宋" w:cs="仿宋"/>
                <w:kern w:val="2"/>
                <w:sz w:val="20"/>
                <w:szCs w:val="22"/>
                <w:lang w:val="en-US" w:eastAsia="zh-CN" w:bidi="ar-SA"/>
              </w:rPr>
              <w:t>6</w:t>
            </w:r>
          </w:p>
        </w:tc>
        <w:tc>
          <w:tcPr>
            <w:tcW w:w="952" w:type="pct"/>
            <w:noWrap w:val="0"/>
            <w:vAlign w:val="center"/>
          </w:tcPr>
          <w:p w14:paraId="46DE776E">
            <w:pPr>
              <w:snapToGrid w:val="0"/>
              <w:ind w:left="0" w:leftChars="0" w:right="0" w:rightChars="0" w:firstLine="0" w:firstLineChars="0"/>
              <w:jc w:val="center"/>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监控摄像头</w:t>
            </w:r>
          </w:p>
        </w:tc>
        <w:tc>
          <w:tcPr>
            <w:tcW w:w="3188" w:type="pct"/>
            <w:noWrap w:val="0"/>
            <w:vAlign w:val="center"/>
          </w:tcPr>
          <w:p w14:paraId="312D1CAF">
            <w:pPr>
              <w:widowControl/>
              <w:snapToGrid w:val="0"/>
              <w:ind w:left="0" w:leftChars="0" w:right="0" w:rightChars="0" w:firstLine="0" w:firstLineChars="0"/>
              <w:jc w:val="left"/>
              <w:textAlignment w:val="center"/>
              <w:rPr>
                <w:rFonts w:hint="eastAsia" w:ascii="仿宋" w:hAnsi="仿宋" w:eastAsia="仿宋" w:cs="仿宋"/>
                <w:sz w:val="20"/>
                <w:szCs w:val="18"/>
                <w:lang w:bidi="ar"/>
              </w:rPr>
            </w:pPr>
            <w:r>
              <w:rPr>
                <w:rFonts w:hint="eastAsia" w:ascii="仿宋" w:hAnsi="仿宋" w:eastAsia="仿宋" w:cs="仿宋"/>
                <w:sz w:val="20"/>
                <w:szCs w:val="18"/>
                <w:lang w:bidi="ar"/>
              </w:rPr>
              <w:t>1.定焦防暴半球网络摄像机</w:t>
            </w:r>
            <w:r>
              <w:rPr>
                <w:rFonts w:hint="eastAsia" w:ascii="仿宋" w:hAnsi="仿宋" w:eastAsia="仿宋" w:cs="仿宋"/>
                <w:sz w:val="20"/>
                <w:szCs w:val="18"/>
                <w:lang w:eastAsia="zh-CN" w:bidi="ar"/>
              </w:rPr>
              <w:t>，</w:t>
            </w:r>
            <w:r>
              <w:rPr>
                <w:rFonts w:hint="eastAsia" w:ascii="仿宋" w:hAnsi="仿宋" w:eastAsia="仿宋" w:cs="仿宋"/>
                <w:sz w:val="20"/>
                <w:szCs w:val="18"/>
                <w:lang w:bidi="ar"/>
              </w:rPr>
              <w:t>≥400万星光级摄像机，不小于1/2.7”CMOS，内置GPU芯片</w:t>
            </w:r>
            <w:r>
              <w:rPr>
                <w:rFonts w:hint="eastAsia" w:ascii="仿宋" w:hAnsi="仿宋" w:eastAsia="仿宋" w:cs="仿宋"/>
                <w:sz w:val="20"/>
                <w:szCs w:val="18"/>
                <w:lang w:eastAsia="zh-CN" w:bidi="ar"/>
              </w:rPr>
              <w:t>，</w:t>
            </w:r>
            <w:r>
              <w:rPr>
                <w:rFonts w:hint="eastAsia" w:ascii="仿宋" w:hAnsi="仿宋" w:eastAsia="仿宋" w:cs="仿宋"/>
                <w:sz w:val="20"/>
                <w:szCs w:val="18"/>
                <w:lang w:val="en-US" w:eastAsia="zh-CN" w:bidi="ar"/>
              </w:rPr>
              <w:t>4mm镜头</w:t>
            </w:r>
            <w:r>
              <w:rPr>
                <w:rFonts w:hint="eastAsia" w:ascii="仿宋" w:hAnsi="仿宋" w:eastAsia="仿宋" w:cs="仿宋"/>
                <w:sz w:val="20"/>
                <w:szCs w:val="18"/>
                <w:lang w:bidi="ar"/>
              </w:rPr>
              <w:t>；</w:t>
            </w:r>
          </w:p>
          <w:p w14:paraId="25E49B52">
            <w:pPr>
              <w:widowControl/>
              <w:snapToGrid w:val="0"/>
              <w:ind w:left="0" w:leftChars="0" w:right="0" w:rightChars="0" w:firstLine="0" w:firstLineChars="0"/>
              <w:jc w:val="left"/>
              <w:textAlignment w:val="center"/>
              <w:rPr>
                <w:rFonts w:hint="eastAsia" w:ascii="仿宋" w:hAnsi="仿宋" w:eastAsia="仿宋" w:cs="仿宋"/>
                <w:sz w:val="20"/>
                <w:szCs w:val="18"/>
                <w:lang w:bidi="ar"/>
              </w:rPr>
            </w:pPr>
            <w:r>
              <w:rPr>
                <w:rFonts w:hint="eastAsia" w:ascii="仿宋" w:hAnsi="仿宋" w:eastAsia="仿宋" w:cs="仿宋"/>
                <w:sz w:val="20"/>
                <w:szCs w:val="18"/>
                <w:lang w:bidi="ar"/>
              </w:rPr>
              <w:t>2.照度≤0.005 Lux；</w:t>
            </w:r>
          </w:p>
          <w:p w14:paraId="15AB8749">
            <w:pPr>
              <w:widowControl/>
              <w:snapToGrid w:val="0"/>
              <w:ind w:left="0" w:leftChars="0" w:right="0" w:rightChars="0" w:firstLine="0" w:firstLineChars="0"/>
              <w:jc w:val="left"/>
              <w:textAlignment w:val="center"/>
              <w:rPr>
                <w:rFonts w:hint="eastAsia" w:ascii="仿宋" w:hAnsi="仿宋" w:eastAsia="仿宋" w:cs="仿宋"/>
                <w:sz w:val="20"/>
                <w:szCs w:val="18"/>
                <w:lang w:bidi="ar"/>
              </w:rPr>
            </w:pPr>
            <w:r>
              <w:rPr>
                <w:rFonts w:hint="eastAsia" w:ascii="仿宋" w:hAnsi="仿宋" w:eastAsia="仿宋" w:cs="仿宋"/>
                <w:sz w:val="20"/>
                <w:szCs w:val="18"/>
                <w:lang w:bidi="ar"/>
              </w:rPr>
              <w:t>3.分辨率≥2560 × 1440@25fps;</w:t>
            </w:r>
          </w:p>
          <w:p w14:paraId="1085160E">
            <w:pPr>
              <w:widowControl/>
              <w:snapToGrid w:val="0"/>
              <w:ind w:left="0" w:leftChars="0" w:right="0" w:rightChars="0" w:firstLine="0" w:firstLineChars="0"/>
              <w:jc w:val="left"/>
              <w:textAlignment w:val="center"/>
              <w:rPr>
                <w:rFonts w:hint="eastAsia" w:ascii="仿宋" w:hAnsi="仿宋" w:eastAsia="仿宋" w:cs="仿宋"/>
                <w:sz w:val="20"/>
                <w:szCs w:val="18"/>
                <w:lang w:bidi="ar"/>
              </w:rPr>
            </w:pPr>
            <w:r>
              <w:rPr>
                <w:rFonts w:hint="eastAsia" w:ascii="仿宋" w:hAnsi="仿宋" w:eastAsia="仿宋" w:cs="仿宋"/>
                <w:sz w:val="20"/>
                <w:szCs w:val="18"/>
                <w:lang w:val="en-US" w:eastAsia="zh-CN" w:bidi="ar"/>
              </w:rPr>
              <w:t>4</w:t>
            </w:r>
            <w:r>
              <w:rPr>
                <w:rFonts w:hint="eastAsia" w:ascii="仿宋" w:hAnsi="仿宋" w:eastAsia="仿宋" w:cs="仿宋"/>
                <w:sz w:val="20"/>
                <w:szCs w:val="18"/>
                <w:lang w:bidi="ar"/>
              </w:rPr>
              <w:t>.支持DC12V/POE供电方式；</w:t>
            </w:r>
          </w:p>
          <w:p w14:paraId="2D459E94">
            <w:pPr>
              <w:numPr>
                <w:ilvl w:val="0"/>
                <w:numId w:val="0"/>
              </w:numPr>
              <w:snapToGrid w:val="0"/>
              <w:ind w:left="0" w:leftChars="0" w:right="0" w:rightChars="0" w:firstLine="0" w:firstLineChars="0"/>
              <w:jc w:val="left"/>
              <w:rPr>
                <w:rFonts w:hint="eastAsia" w:ascii="仿宋" w:hAnsi="仿宋" w:eastAsia="仿宋" w:cs="仿宋"/>
                <w:sz w:val="20"/>
                <w:szCs w:val="18"/>
                <w:lang w:eastAsia="zh-CN" w:bidi="ar"/>
              </w:rPr>
            </w:pPr>
            <w:r>
              <w:rPr>
                <w:rFonts w:hint="eastAsia" w:ascii="仿宋" w:hAnsi="仿宋" w:eastAsia="仿宋" w:cs="仿宋"/>
                <w:sz w:val="20"/>
                <w:szCs w:val="18"/>
                <w:lang w:val="en-US" w:eastAsia="zh-CN" w:bidi="ar"/>
              </w:rPr>
              <w:t>5</w:t>
            </w:r>
            <w:r>
              <w:rPr>
                <w:rFonts w:hint="eastAsia" w:ascii="仿宋" w:hAnsi="仿宋" w:eastAsia="仿宋" w:cs="仿宋"/>
                <w:sz w:val="20"/>
                <w:szCs w:val="18"/>
                <w:lang w:bidi="ar"/>
              </w:rPr>
              <w:t>.支持IP67防护等级</w:t>
            </w:r>
            <w:r>
              <w:rPr>
                <w:rFonts w:hint="eastAsia" w:ascii="仿宋" w:hAnsi="仿宋" w:eastAsia="仿宋" w:cs="仿宋"/>
                <w:sz w:val="20"/>
                <w:szCs w:val="18"/>
                <w:lang w:eastAsia="zh-CN" w:bidi="ar"/>
              </w:rPr>
              <w:t>；</w:t>
            </w:r>
          </w:p>
          <w:p w14:paraId="50B4B0E6">
            <w:pPr>
              <w:pStyle w:val="2"/>
              <w:snapToGrid w:val="0"/>
              <w:spacing w:line="240" w:lineRule="auto"/>
              <w:ind w:left="0" w:leftChars="0" w:right="0" w:rightChars="0" w:firstLine="0" w:firstLineChars="0"/>
              <w:jc w:val="left"/>
              <w:rPr>
                <w:rFonts w:hint="eastAsia" w:ascii="仿宋" w:hAnsi="仿宋" w:eastAsia="仿宋" w:cs="仿宋"/>
                <w:sz w:val="20"/>
                <w:szCs w:val="21"/>
                <w:lang w:val="en-US" w:eastAsia="zh-CN"/>
              </w:rPr>
            </w:pPr>
            <w:r>
              <w:rPr>
                <w:rFonts w:hint="eastAsia" w:ascii="仿宋" w:hAnsi="仿宋" w:eastAsia="仿宋" w:cs="仿宋"/>
                <w:sz w:val="20"/>
                <w:szCs w:val="18"/>
                <w:lang w:val="en-US" w:eastAsia="zh-CN" w:bidi="ar"/>
              </w:rPr>
              <w:t>6.带安装支架、伸缩杆等。</w:t>
            </w:r>
          </w:p>
        </w:tc>
        <w:tc>
          <w:tcPr>
            <w:tcW w:w="514" w:type="pct"/>
            <w:noWrap w:val="0"/>
            <w:vAlign w:val="center"/>
          </w:tcPr>
          <w:p w14:paraId="0CBF12EA">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6个</w:t>
            </w:r>
          </w:p>
        </w:tc>
      </w:tr>
      <w:tr w14:paraId="4DF32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3" w:type="pct"/>
            <w:noWrap w:val="0"/>
            <w:vAlign w:val="center"/>
          </w:tcPr>
          <w:p w14:paraId="0EC11105">
            <w:pPr>
              <w:snapToGrid w:val="0"/>
              <w:ind w:left="0" w:leftChars="0" w:right="0" w:rightChars="0" w:firstLine="0" w:firstLineChars="0"/>
              <w:jc w:val="center"/>
              <w:rPr>
                <w:rFonts w:hint="eastAsia" w:ascii="仿宋" w:hAnsi="仿宋" w:eastAsia="仿宋" w:cs="仿宋"/>
                <w:sz w:val="20"/>
                <w:szCs w:val="22"/>
                <w:lang w:val="en-US" w:eastAsia="zh-CN"/>
              </w:rPr>
            </w:pPr>
            <w:r>
              <w:rPr>
                <w:rFonts w:hint="eastAsia" w:ascii="仿宋" w:hAnsi="仿宋" w:eastAsia="仿宋" w:cs="仿宋"/>
                <w:sz w:val="20"/>
                <w:szCs w:val="22"/>
                <w:lang w:val="en-US" w:eastAsia="zh-CN"/>
              </w:rPr>
              <w:t>7</w:t>
            </w:r>
          </w:p>
        </w:tc>
        <w:tc>
          <w:tcPr>
            <w:tcW w:w="952" w:type="pct"/>
            <w:noWrap w:val="0"/>
            <w:vAlign w:val="center"/>
          </w:tcPr>
          <w:p w14:paraId="66A7E899">
            <w:pPr>
              <w:snapToGrid w:val="0"/>
              <w:ind w:left="0" w:leftChars="0" w:right="0" w:rightChars="0" w:firstLine="0" w:firstLineChars="0"/>
              <w:jc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1"/>
              </w:rPr>
              <w:t>综合布线设备安装调试</w:t>
            </w:r>
          </w:p>
        </w:tc>
        <w:tc>
          <w:tcPr>
            <w:tcW w:w="3188" w:type="pct"/>
            <w:noWrap w:val="0"/>
            <w:vAlign w:val="center"/>
          </w:tcPr>
          <w:p w14:paraId="290C791B">
            <w:pPr>
              <w:snapToGrid w:val="0"/>
              <w:ind w:left="0" w:leftChars="0" w:right="0" w:rightChars="0" w:firstLine="0" w:firstLineChars="0"/>
              <w:jc w:val="left"/>
              <w:rPr>
                <w:rFonts w:hint="eastAsia" w:ascii="仿宋" w:hAnsi="仿宋" w:eastAsia="仿宋" w:cs="仿宋"/>
                <w:color w:val="000000"/>
                <w:sz w:val="20"/>
                <w:szCs w:val="21"/>
              </w:rPr>
            </w:pPr>
            <w:r>
              <w:rPr>
                <w:rFonts w:hint="eastAsia" w:ascii="仿宋" w:hAnsi="仿宋" w:eastAsia="仿宋" w:cs="仿宋"/>
                <w:color w:val="000000"/>
                <w:sz w:val="20"/>
                <w:szCs w:val="21"/>
                <w:lang w:val="en-US" w:eastAsia="zh-CN"/>
              </w:rPr>
              <w:t>1.</w:t>
            </w:r>
            <w:r>
              <w:rPr>
                <w:rFonts w:hint="eastAsia" w:ascii="仿宋" w:hAnsi="仿宋" w:eastAsia="仿宋" w:cs="仿宋"/>
                <w:color w:val="000000"/>
                <w:sz w:val="20"/>
                <w:szCs w:val="21"/>
              </w:rPr>
              <w:t>设备运输、安装及各种线材，电源线、</w:t>
            </w:r>
            <w:r>
              <w:rPr>
                <w:rFonts w:hint="eastAsia" w:ascii="仿宋" w:hAnsi="仿宋" w:eastAsia="仿宋" w:cs="仿宋"/>
                <w:color w:val="000000"/>
                <w:sz w:val="20"/>
                <w:szCs w:val="21"/>
                <w:lang w:val="en-US" w:eastAsia="zh-CN"/>
              </w:rPr>
              <w:t>音视频</w:t>
            </w:r>
            <w:r>
              <w:rPr>
                <w:rFonts w:hint="eastAsia" w:ascii="仿宋" w:hAnsi="仿宋" w:eastAsia="仿宋" w:cs="仿宋"/>
                <w:color w:val="000000"/>
                <w:sz w:val="20"/>
                <w:szCs w:val="21"/>
              </w:rPr>
              <w:t>信号线、网线，膨胀管、线管、辅材等。</w:t>
            </w:r>
          </w:p>
          <w:p w14:paraId="5CAEEFE8">
            <w:pPr>
              <w:snapToGrid w:val="0"/>
              <w:ind w:left="0" w:leftChars="0" w:right="0" w:rightChars="0" w:firstLine="0" w:firstLineChars="0"/>
              <w:jc w:val="left"/>
              <w:rPr>
                <w:rFonts w:hint="eastAsia" w:ascii="仿宋" w:hAnsi="仿宋" w:eastAsia="仿宋" w:cs="仿宋"/>
                <w:color w:val="000000"/>
                <w:sz w:val="20"/>
                <w:szCs w:val="21"/>
                <w:lang w:val="en-US" w:eastAsia="zh-CN"/>
              </w:rPr>
            </w:pPr>
            <w:r>
              <w:rPr>
                <w:rFonts w:hint="eastAsia" w:ascii="仿宋" w:hAnsi="仿宋" w:eastAsia="仿宋" w:cs="仿宋"/>
                <w:color w:val="000000"/>
                <w:sz w:val="20"/>
                <w:szCs w:val="21"/>
                <w:lang w:val="en-US" w:eastAsia="zh-CN"/>
              </w:rPr>
              <w:t>2.摄像头采取POE供电，网线放至楼内弱电间。</w:t>
            </w:r>
          </w:p>
          <w:p w14:paraId="6E8D749B">
            <w:pPr>
              <w:pStyle w:val="2"/>
              <w:snapToGrid w:val="0"/>
              <w:spacing w:line="240" w:lineRule="auto"/>
              <w:ind w:left="0" w:leftChars="0" w:right="0" w:rightChars="0" w:firstLine="0" w:firstLineChars="0"/>
              <w:jc w:val="left"/>
              <w:rPr>
                <w:rFonts w:hint="eastAsia" w:ascii="仿宋" w:hAnsi="仿宋" w:eastAsia="仿宋" w:cs="仿宋"/>
                <w:sz w:val="20"/>
                <w:szCs w:val="21"/>
                <w:lang w:val="en-US" w:eastAsia="zh-CN"/>
              </w:rPr>
            </w:pPr>
            <w:r>
              <w:rPr>
                <w:rFonts w:hint="eastAsia" w:ascii="仿宋" w:hAnsi="仿宋" w:eastAsia="仿宋" w:cs="仿宋"/>
                <w:color w:val="000000"/>
                <w:sz w:val="20"/>
                <w:szCs w:val="21"/>
                <w:lang w:val="en-US" w:eastAsia="zh-CN"/>
              </w:rPr>
              <w:t>3.</w:t>
            </w:r>
            <w:r>
              <w:rPr>
                <w:rFonts w:hint="eastAsia" w:ascii="仿宋" w:hAnsi="仿宋" w:eastAsia="仿宋" w:cs="仿宋"/>
                <w:color w:val="000000"/>
                <w:sz w:val="20"/>
                <w:szCs w:val="21"/>
              </w:rPr>
              <w:t>地面讲台</w:t>
            </w:r>
            <w:r>
              <w:rPr>
                <w:rFonts w:hint="eastAsia" w:ascii="仿宋" w:hAnsi="仿宋" w:eastAsia="仿宋" w:cs="仿宋"/>
                <w:color w:val="000000"/>
                <w:sz w:val="20"/>
                <w:szCs w:val="21"/>
                <w:lang w:val="en-US" w:eastAsia="zh-CN"/>
              </w:rPr>
              <w:t>搬迁改造，3号楼地面讲台搬迁，结合教室尺寸进行改造。</w:t>
            </w:r>
          </w:p>
        </w:tc>
        <w:tc>
          <w:tcPr>
            <w:tcW w:w="514" w:type="pct"/>
            <w:noWrap w:val="0"/>
            <w:vAlign w:val="center"/>
          </w:tcPr>
          <w:p w14:paraId="29848D78">
            <w:pPr>
              <w:snapToGrid w:val="0"/>
              <w:ind w:left="0" w:leftChars="0" w:right="0" w:rightChars="0" w:firstLine="0" w:firstLineChars="0"/>
              <w:jc w:val="left"/>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sz w:val="20"/>
                <w:szCs w:val="21"/>
                <w:lang w:val="en-US" w:eastAsia="zh-CN"/>
              </w:rPr>
              <w:t>1项</w:t>
            </w:r>
          </w:p>
        </w:tc>
      </w:tr>
    </w:tbl>
    <w:p w14:paraId="60B447B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F35798"/>
    <w:rsid w:val="0DF357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pPr>
      <w:tabs>
        <w:tab w:val="left" w:pos="567"/>
      </w:tabs>
      <w:spacing w:before="120" w:line="22" w:lineRule="atLeast"/>
    </w:pPr>
    <w:rPr>
      <w:rFonts w:ascii="宋体" w:hAnsi="宋体"/>
      <w:sz w:val="24"/>
    </w:r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2026-06-25T01:01:00Z</dcterms:created>
  <dc:creator>℡Autism ミ</dc:creator>
  <cp:lastModifiedBy>℡Autism ミ</cp:lastModifiedBy>
  <dcterms:modified xsi:type="dcterms:W3CDTF">2026-06-25T01:02:11Z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49B00B994B9A4A1C9CC662DA767CD80F_11</vt:lpwstr>
  </property>
  <property fmtid="{D5CDD505-2E9C-101B-9397-08002B2CF9AE}" pid="4" name="KSOTemplateDocerSaveRecord">
    <vt:lpwstr>eyJoZGlkIjoiNWU2YTZhNDE5MGJhZjFhODFmOGIyNjJkYzllZjk1NmMiLCJ1c2VySWQiOiIzODE5MDc1NjQifQ==</vt:lpwstr>
  </property>
</Properties>
</file>