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版本号：HWHZ-202605420260728001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工业机器人实训室建设项目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HWHZ-2026054</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工业机器人实训室建设项目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HWHZ-2026054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工业机器人实训室建设项目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为满足装备制造大类专业办学的迫切需求，进行工业机器人实训室建设，采购安装虚拟实训与实物实训结合的工业机器人实训设备，满足工业机器人相关课程实践教学需求。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身份证明或授权委托书：法定代表人参加投标须提供《法定代表人身份证明》及身份证复印件；法定代表人授权他人参加投标，须提供《法定代表人身份证明》及《法定代表人授权委托书》附法定代表人身份证复印件及被授权人身份证复印件；</w:t>
      </w:r>
    </w:p>
    <w:p>
      <w:pPr>
        <w:pStyle w:val="null3"/>
      </w:pPr>
      <w:r>
        <w:rPr>
          <w:rFonts w:ascii="仿宋_GB2312" w:hAnsi="仿宋_GB2312" w:cs="仿宋_GB2312" w:eastAsia="仿宋_GB2312"/>
        </w:rPr>
        <w:t>3、供应商资格承诺函：拟参与本项目的投标人应按照汉中市财政局《关于全面推行政府采购供应商基本资格条件承诺制的通知》(汉财办采管(2024)20 号)文件要求，提供满足相应条件的资格承诺函；</w:t>
      </w:r>
    </w:p>
    <w:p>
      <w:pPr>
        <w:pStyle w:val="null3"/>
      </w:pPr>
      <w:r>
        <w:rPr>
          <w:rFonts w:ascii="仿宋_GB2312" w:hAnsi="仿宋_GB2312" w:cs="仿宋_GB2312" w:eastAsia="仿宋_GB2312"/>
        </w:rPr>
        <w:t>4、⾮联合体声明：本项⽬不接受联合体投标，需提供⾮联合体书⾯声明。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0916-2211759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银行账号：61050110066600000600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本采购包履约保证金为合同金额的2%</w:t>
            </w:r>
          </w:p>
          <w:p>
            <w:pPr>
              <w:pStyle w:val="null3"/>
            </w:pPr>
            <w:r>
              <w:rPr>
                <w:rFonts w:ascii="仿宋_GB2312" w:hAnsi="仿宋_GB2312" w:cs="仿宋_GB2312" w:eastAsia="仿宋_GB2312"/>
              </w:rPr>
              <w:t>说明：项目验收合格后，在支付第一次合同款之前，供应商向学院缴纳履约保证金。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地址：汉中市汉台区北关街道办事处留侯路东方明珠小区临街商铺二楼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为满足装备制造大类专业办学的迫切需求，进行工业机器人实训室建设，采购安装虚拟实训与实物实训结合的工业机器人实训设备，满足工业机器人相关课程实践教学需求。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1,290,000.00</w:t>
      </w:r>
    </w:p>
    <w:p>
      <w:pPr>
        <w:pStyle w:val="null3"/>
      </w:pPr>
      <w:r>
        <w:rPr>
          <w:rFonts w:ascii="仿宋_GB2312" w:hAnsi="仿宋_GB2312" w:cs="仿宋_GB2312" w:eastAsia="仿宋_GB2312"/>
        </w:rPr>
        <w:t>采购包最高限价（元）: 1,290,000.00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供货期：</w:t>
            </w:r>
            <w:r>
              <w:rPr>
                <w:rFonts w:ascii="仿宋_GB2312" w:hAnsi="仿宋_GB2312" w:cs="仿宋_GB2312" w:eastAsia="仿宋_GB2312"/>
                <w:sz w:val="21"/>
              </w:rPr>
              <w:t>30天</w:t>
            </w:r>
          </w:p>
          <w:p>
            <w:pPr>
              <w:pStyle w:val="null3"/>
            </w:pPr>
            <w:r>
              <w:rPr>
                <w:rFonts w:ascii="仿宋_GB2312" w:hAnsi="仿宋_GB2312" w:cs="仿宋_GB2312" w:eastAsia="仿宋_GB2312"/>
                <w:sz w:val="21"/>
              </w:rPr>
              <w:t>质保期：</w:t>
            </w:r>
            <w:r>
              <w:rPr>
                <w:rFonts w:ascii="仿宋_GB2312" w:hAnsi="仿宋_GB2312" w:cs="仿宋_GB2312" w:eastAsia="仿宋_GB2312"/>
                <w:sz w:val="21"/>
              </w:rPr>
              <w:t>3年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45"/>
              <w:tblBorders>
                <w:top w:val="none" w:color="000000" w:sz="4"/>
                <w:left w:val="none" w:color="000000" w:sz="4"/>
                <w:bottom w:val="none" w:color="000000" w:sz="4"/>
                <w:right w:val="none" w:color="000000" w:sz="4"/>
                <w:insideH w:val="none"/>
                <w:insideV w:val="none"/>
              </w:tblBorders>
            </w:tblPr>
            <w:tblGrid>
              <w:gridCol w:w="666"/>
              <w:gridCol w:w="703"/>
              <w:gridCol w:w="662"/>
              <w:gridCol w:w="511"/>
            </w:tblGrid>
            <w:tr>
              <w:tc>
                <w:tcPr>
                  <w:tcW w:type="dxa" w:w="66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shd w:fill="FFFFFF" w:val="clear"/>
                    </w:rPr>
                    <w:t>采购品目</w:t>
                  </w:r>
                  <w:r>
                    <w:rPr>
                      <w:rFonts w:ascii="仿宋_GB2312" w:hAnsi="仿宋_GB2312" w:cs="仿宋_GB2312" w:eastAsia="仿宋_GB2312"/>
                      <w:sz w:val="20"/>
                      <w:b/>
                      <w:shd w:fill="FFFFFF" w:val="clear"/>
                    </w:rPr>
                    <w:t>1</w:t>
                  </w:r>
                </w:p>
                <w:p>
                  <w:pPr>
                    <w:pStyle w:val="null3"/>
                  </w:pPr>
                  <w:r>
                    <w:rPr>
                      <w:rFonts w:ascii="仿宋_GB2312" w:hAnsi="仿宋_GB2312" w:cs="仿宋_GB2312" w:eastAsia="仿宋_GB2312"/>
                      <w:sz w:val="19"/>
                    </w:rPr>
                    <w:t xml:space="preserve"> </w:t>
                  </w:r>
                </w:p>
              </w:tc>
              <w:tc>
                <w:tcPr>
                  <w:tcW w:type="dxa" w:w="70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u w:val="single"/>
                    </w:rPr>
                    <w:t>工业机器人实训平台</w:t>
                  </w:r>
                </w:p>
              </w:tc>
              <w:tc>
                <w:tcPr>
                  <w:tcW w:type="dxa" w:w="66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shd w:fill="FFFFFF" w:val="clear"/>
                    </w:rPr>
                    <w:t>是否采购节能产品</w:t>
                  </w:r>
                </w:p>
              </w:tc>
              <w:tc>
                <w:tcPr>
                  <w:tcW w:type="dxa" w:w="51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u w:val="single"/>
                    </w:rPr>
                    <w:t>否</w:t>
                  </w:r>
                </w:p>
              </w:tc>
            </w:tr>
            <w:tr>
              <w:tc>
                <w:tcPr>
                  <w:tcW w:type="dxa" w:w="6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shd w:fill="FFFFFF" w:val="clear"/>
                    </w:rPr>
                    <w:t>数量</w:t>
                  </w:r>
                </w:p>
              </w:tc>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u w:val="single"/>
                    </w:rPr>
                    <w:t>2</w:t>
                  </w:r>
                </w:p>
              </w:tc>
              <w:tc>
                <w:tcPr>
                  <w:tcW w:type="dxa" w:w="66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shd w:fill="FFFFFF" w:val="clear"/>
                    </w:rPr>
                    <w:t>单位</w:t>
                  </w:r>
                </w:p>
              </w:tc>
              <w:tc>
                <w:tcPr>
                  <w:tcW w:type="dxa" w:w="51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u w:val="single"/>
                    </w:rPr>
                    <w:t>套</w:t>
                  </w:r>
                </w:p>
              </w:tc>
            </w:tr>
          </w:tbl>
          <w:p>
            <w:pPr>
              <w:pStyle w:val="null3"/>
              <w:jc w:val="left"/>
            </w:pPr>
            <w:r>
              <w:rPr>
                <w:rFonts w:ascii="仿宋_GB2312" w:hAnsi="仿宋_GB2312" w:cs="仿宋_GB2312" w:eastAsia="仿宋_GB2312"/>
                <w:sz w:val="20"/>
              </w:rPr>
              <w:t>★1、（1）每套成套设备包含六轴工业机器人本体、实训台、全套实训功能模块、电气接口成套组件、外围 PLC 控制器、无油静音气泵、智慧管理交互终端；配套包含但不限于快换工具套装、样件套装、平面 / 曲面绘图模块、搬运、码垛、仓储、井式供料、皮带输送、变位装配、旋转供料、上料暂存、棋盘、RFID、视觉检测单元及配套交换机、线缆；配套 1:1 物理复刻数字孪生模型、数据驱动模型接口、机器人数据采集软件。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2）数字孪生系统支持 OPC UA、TCP/IP、Profinet、EtherCAT、Modbus TCP 中至少 3 种工业通信协议（或同等主流工业总线协议），可实现与 PLC、机器人控制器实时双向数据交互。</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设备采用六自由度关节型工业机器人结构；机器人控制器支持</w:t>
            </w:r>
            <w:r>
              <w:rPr>
                <w:rFonts w:ascii="仿宋_GB2312" w:hAnsi="仿宋_GB2312" w:cs="仿宋_GB2312" w:eastAsia="仿宋_GB2312"/>
                <w:sz w:val="20"/>
              </w:rPr>
              <w:t>PROFINET 或同等主流工业以太网总线协议，且无需额外硬件模块，具备不少于两类开放式编程接口（官方 PC SDK、TCP/IP Socket 通信等）。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整套设备可实现物理设备与数字孪生模型硬件在环虚实同步联动，支持软件在环整线虚拟调试、硬件在环虚实协同调试实训。</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负载能力不低于</w:t>
            </w:r>
            <w:r>
              <w:rPr>
                <w:rFonts w:ascii="仿宋_GB2312" w:hAnsi="仿宋_GB2312" w:cs="仿宋_GB2312" w:eastAsia="仿宋_GB2312"/>
                <w:sz w:val="20"/>
              </w:rPr>
              <w:t>3kg，工作半径不小于550mm，重复定位精度不劣于±0.03mm，本体自重不大于38kg，防护等级不低于IP30；手腕末端集成不少于10路信号接口、4路气源接口，管线全部内置隐藏走线，支持末端工具即插即用。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配套手持示教器：</w:t>
            </w:r>
            <w:r>
              <w:rPr>
                <w:rFonts w:ascii="仿宋_GB2312" w:hAnsi="仿宋_GB2312" w:cs="仿宋_GB2312" w:eastAsia="仿宋_GB2312"/>
                <w:sz w:val="20"/>
              </w:rPr>
              <w:t>≥8英寸彩色触控屏，配备3D操纵杆、三段式安全使能开关、急停按钮、USB热插拔接口；支持左右手操作切换、程序U盘备份与恢复。</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机器人六轴运动行程、运动速度满足工业自动化教学实训使用要求，可完整完成绘图、搬运、码垛、装配等实训动作。</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软件具备机器人三维建模、路径规划、碰撞干涉检测、运动周期仿真、后置代码自动生成功能，仿真轨迹姿态还原度满足教学实训要求；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5、（1）</w:t>
            </w:r>
            <w:r>
              <w:rPr>
                <w:rFonts w:ascii="仿宋_GB2312" w:hAnsi="仿宋_GB2312" w:cs="仿宋_GB2312" w:eastAsia="仿宋_GB2312"/>
                <w:sz w:val="20"/>
              </w:rPr>
              <w:t>实训配套</w:t>
            </w:r>
            <w:r>
              <w:rPr>
                <w:rFonts w:ascii="仿宋_GB2312" w:hAnsi="仿宋_GB2312" w:cs="仿宋_GB2312" w:eastAsia="仿宋_GB2312"/>
                <w:sz w:val="20"/>
              </w:rPr>
              <w:t>PLC 可通过 PROFINET 或同等工业以太网总线与机器人控制器实时交互 I/O 信号、下发控制指令。</w:t>
            </w:r>
          </w:p>
          <w:p>
            <w:pPr>
              <w:pStyle w:val="null3"/>
              <w:numPr>
                <w:ilvl w:val="0"/>
                <w:numId w:val="1"/>
              </w:numPr>
              <w:jc w:val="left"/>
            </w:pPr>
            <w:r>
              <w:rPr>
                <w:rFonts w:ascii="仿宋_GB2312" w:hAnsi="仿宋_GB2312" w:cs="仿宋_GB2312" w:eastAsia="仿宋_GB2312"/>
                <w:sz w:val="20"/>
              </w:rPr>
              <w:t>实训台配备前后可视化防护门，两侧、底部钣金封闭防护，预留多组标准气源、电气安装接口位，电气接口拓展容量不少于</w:t>
            </w:r>
            <w:r>
              <w:rPr>
                <w:rFonts w:ascii="仿宋_GB2312" w:hAnsi="仿宋_GB2312" w:cs="仿宋_GB2312" w:eastAsia="仿宋_GB2312"/>
                <w:sz w:val="20"/>
              </w:rPr>
              <w:t>3 组。</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配备机器人末端快换系统，含固定底板、快换支架、检测传感器、</w:t>
            </w:r>
            <w:r>
              <w:rPr>
                <w:rFonts w:ascii="仿宋_GB2312" w:hAnsi="仿宋_GB2312" w:cs="仿宋_GB2312" w:eastAsia="仿宋_GB2312"/>
                <w:sz w:val="20"/>
              </w:rPr>
              <w:t>1 套主快换盘 + 不少于 7 套工具盘；配套实训末端工具包含单吸盘、不少于两种手爪、绘图笔、金属实训笔、模拟焊枪、激光笔等，具备到位检测功能，同等功能工具组合可等效。</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整套电气配套包含电气接口模块、总线模块、数字量</w:t>
            </w:r>
            <w:r>
              <w:rPr>
                <w:rFonts w:ascii="仿宋_GB2312" w:hAnsi="仿宋_GB2312" w:cs="仿宋_GB2312" w:eastAsia="仿宋_GB2312"/>
                <w:sz w:val="20"/>
              </w:rPr>
              <w:t>/ 模拟量扩展模块、工业交换机，性能不低于以下规格，同等 IO 拓展能力产品视为满足：</w:t>
            </w:r>
          </w:p>
          <w:p>
            <w:pPr>
              <w:pStyle w:val="null3"/>
              <w:ind w:left="-360" w:firstLine="400"/>
              <w:jc w:val="left"/>
            </w:pPr>
            <w:r>
              <w:rPr>
                <w:rFonts w:ascii="仿宋_GB2312" w:hAnsi="仿宋_GB2312" w:cs="仿宋_GB2312" w:eastAsia="仿宋_GB2312"/>
                <w:sz w:val="20"/>
              </w:rPr>
              <w:t>电气接口模块：通道数</w:t>
            </w:r>
            <w:r>
              <w:rPr>
                <w:rFonts w:ascii="仿宋_GB2312" w:hAnsi="仿宋_GB2312" w:cs="仿宋_GB2312" w:eastAsia="仿宋_GB2312"/>
                <w:sz w:val="20"/>
              </w:rPr>
              <w:t>≥26，RJ45 网口≥2，供电 DC24V；</w:t>
            </w:r>
          </w:p>
          <w:p>
            <w:pPr>
              <w:pStyle w:val="null3"/>
              <w:ind w:left="-360" w:firstLine="400"/>
              <w:jc w:val="left"/>
            </w:pPr>
            <w:r>
              <w:rPr>
                <w:rFonts w:ascii="仿宋_GB2312" w:hAnsi="仿宋_GB2312" w:cs="仿宋_GB2312" w:eastAsia="仿宋_GB2312"/>
                <w:sz w:val="20"/>
              </w:rPr>
              <w:t>总线模块：支持</w:t>
            </w:r>
            <w:r>
              <w:rPr>
                <w:rFonts w:ascii="仿宋_GB2312" w:hAnsi="仿宋_GB2312" w:cs="仿宋_GB2312" w:eastAsia="仿宋_GB2312"/>
                <w:sz w:val="20"/>
              </w:rPr>
              <w:t>DeviceNet、EtherCAT 任一总线；</w:t>
            </w:r>
          </w:p>
          <w:p>
            <w:pPr>
              <w:pStyle w:val="null3"/>
              <w:ind w:left="-360" w:firstLine="400"/>
              <w:jc w:val="left"/>
            </w:pPr>
            <w:r>
              <w:rPr>
                <w:rFonts w:ascii="仿宋_GB2312" w:hAnsi="仿宋_GB2312" w:cs="仿宋_GB2312" w:eastAsia="仿宋_GB2312"/>
                <w:sz w:val="20"/>
              </w:rPr>
              <w:t>数字量扩展模块：</w:t>
            </w:r>
            <w:r>
              <w:rPr>
                <w:rFonts w:ascii="仿宋_GB2312" w:hAnsi="仿宋_GB2312" w:cs="仿宋_GB2312" w:eastAsia="仿宋_GB2312"/>
                <w:sz w:val="20"/>
              </w:rPr>
              <w:t>≥16DI/16DO；</w:t>
            </w:r>
          </w:p>
          <w:p>
            <w:pPr>
              <w:pStyle w:val="null3"/>
              <w:ind w:left="-360" w:firstLine="400"/>
              <w:jc w:val="left"/>
            </w:pPr>
            <w:r>
              <w:rPr>
                <w:rFonts w:ascii="仿宋_GB2312" w:hAnsi="仿宋_GB2312" w:cs="仿宋_GB2312" w:eastAsia="仿宋_GB2312"/>
                <w:sz w:val="20"/>
              </w:rPr>
              <w:t>模拟量扩展模块：</w:t>
            </w:r>
            <w:r>
              <w:rPr>
                <w:rFonts w:ascii="仿宋_GB2312" w:hAnsi="仿宋_GB2312" w:cs="仿宋_GB2312" w:eastAsia="仿宋_GB2312"/>
                <w:sz w:val="20"/>
              </w:rPr>
              <w:t>≥4AI/AO；</w:t>
            </w:r>
          </w:p>
          <w:p>
            <w:pPr>
              <w:pStyle w:val="null3"/>
              <w:ind w:left="-360" w:firstLine="400"/>
              <w:jc w:val="left"/>
            </w:pPr>
            <w:r>
              <w:rPr>
                <w:rFonts w:ascii="仿宋_GB2312" w:hAnsi="仿宋_GB2312" w:cs="仿宋_GB2312" w:eastAsia="仿宋_GB2312"/>
                <w:sz w:val="20"/>
              </w:rPr>
              <w:t>工业交换机：端口数量</w:t>
            </w:r>
            <w:r>
              <w:rPr>
                <w:rFonts w:ascii="仿宋_GB2312" w:hAnsi="仿宋_GB2312" w:cs="仿宋_GB2312" w:eastAsia="仿宋_GB2312"/>
                <w:sz w:val="20"/>
              </w:rPr>
              <w:t>≥8，DC24V 供电。</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仓储单元库位数量不少于</w:t>
            </w:r>
            <w:r>
              <w:rPr>
                <w:rFonts w:ascii="仿宋_GB2312" w:hAnsi="仿宋_GB2312" w:cs="仿宋_GB2312" w:eastAsia="仿宋_GB2312"/>
                <w:sz w:val="20"/>
              </w:rPr>
              <w:t>6 个，每个库位配备物料检测传感器；通过以太网 IO 模块采集物料信号，信号可在机器人示教端实时监控。</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上料结构可存储多规格实训零件，气动推头自动出料，功能模块适配本项目标准电气接口套件，同等自动上料结构可等效。</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输送结构铝合金型材机架，单相交流调速电机驱动，调速区间</w:t>
            </w:r>
            <w:r>
              <w:rPr>
                <w:rFonts w:ascii="仿宋_GB2312" w:hAnsi="仿宋_GB2312" w:cs="仿宋_GB2312" w:eastAsia="仿宋_GB2312"/>
                <w:sz w:val="20"/>
              </w:rPr>
              <w:t>90~3000r/min；配备光电检测传感器、物料阻挡装置，同等调速输送线均可响应。</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气动</w:t>
            </w:r>
            <w:r>
              <w:rPr>
                <w:rFonts w:ascii="仿宋_GB2312" w:hAnsi="仿宋_GB2312" w:cs="仿宋_GB2312" w:eastAsia="仿宋_GB2312"/>
                <w:sz w:val="20"/>
              </w:rPr>
              <w:t>V 型夹紧机构，可夹持工件尺寸覆盖 30mm~65mm 区间，满足实训装配需求。同等夹紧机构均可响应。</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配套</w:t>
            </w:r>
            <w:r>
              <w:rPr>
                <w:rFonts w:ascii="仿宋_GB2312" w:hAnsi="仿宋_GB2312" w:cs="仿宋_GB2312" w:eastAsia="仿宋_GB2312"/>
                <w:sz w:val="20"/>
              </w:rPr>
              <w:t xml:space="preserve">PLC </w:t>
            </w:r>
            <w:r>
              <w:rPr>
                <w:rFonts w:ascii="仿宋_GB2312" w:hAnsi="仿宋_GB2312" w:cs="仿宋_GB2312" w:eastAsia="仿宋_GB2312"/>
                <w:sz w:val="20"/>
              </w:rPr>
              <w:t>与触控</w:t>
            </w:r>
            <w:r>
              <w:rPr>
                <w:rFonts w:ascii="仿宋_GB2312" w:hAnsi="仿宋_GB2312" w:cs="仿宋_GB2312" w:eastAsia="仿宋_GB2312"/>
                <w:sz w:val="20"/>
              </w:rPr>
              <w:t>HMI，二者支持 PROFINET 总线无缝实时通讯，不限同一品牌；</w:t>
            </w:r>
          </w:p>
          <w:p>
            <w:pPr>
              <w:pStyle w:val="null3"/>
              <w:ind w:left="240"/>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PLC 性能：数字量输入输出≥14DI/10DO，模拟量输入输出≥2AI/2AO，高速计数器≥6 路，脉冲输出≥4 路，以太网端口≥2 个，兼容 PROFINET、TCP/IP、Modbus、S7 等主流工业协议；</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HMI：触控屏幕尺寸不小于 7 英寸，具备 PROFINET 通讯接口。</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RFID模块支持 RS422 或同等工业级串行通讯协议，读写有效距离不小于140mm，配套不少于 12 张 RFID 电子标签，同等射频识别模块可等效。</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工业级视觉检测系统，搭载彩色</w:t>
            </w:r>
            <w:r>
              <w:rPr>
                <w:rFonts w:ascii="仿宋_GB2312" w:hAnsi="仿宋_GB2312" w:cs="仿宋_GB2312" w:eastAsia="仿宋_GB2312"/>
                <w:sz w:val="20"/>
              </w:rPr>
              <w:t>CMOS 相机，兼容 PROFINET、Modbus TCP、TCP/IP 等总线；</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称重单元有效称量区域直径</w:t>
            </w:r>
            <w:r>
              <w:rPr>
                <w:rFonts w:ascii="仿宋_GB2312" w:hAnsi="仿宋_GB2312" w:cs="仿宋_GB2312" w:eastAsia="仿宋_GB2312"/>
                <w:sz w:val="20"/>
              </w:rPr>
              <w:t>≥φ67mm，称量范围 0~1000g，称量精度≤0.005%，同等精度称重模块视为满足。</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旋转送料速度</w:t>
            </w:r>
            <w:r>
              <w:rPr>
                <w:rFonts w:ascii="仿宋_GB2312" w:hAnsi="仿宋_GB2312" w:cs="仿宋_GB2312" w:eastAsia="仿宋_GB2312"/>
                <w:sz w:val="20"/>
              </w:rPr>
              <w:t>≥20°/s，承载负载≥5kg；步进电机 + 谐波减速器驱动，转盘直径≥300mm，工位数不少于 6 个。同等送料模块视为满足。</w:t>
            </w:r>
          </w:p>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变位装配台旋转行程</w:t>
            </w:r>
            <w:r>
              <w:rPr>
                <w:rFonts w:ascii="仿宋_GB2312" w:hAnsi="仿宋_GB2312" w:cs="仿宋_GB2312" w:eastAsia="仿宋_GB2312"/>
                <w:sz w:val="20"/>
              </w:rPr>
              <w:t>≥±45°，调速区间 10~30°/s；交流伺服电机 + 蜗轮蜗杆减速器驱动，支持绝对位置定位控制。同等功能装配台视为满足。</w:t>
            </w:r>
          </w:p>
          <w:p>
            <w:pPr>
              <w:pStyle w:val="null3"/>
              <w:jc w:val="left"/>
            </w:pPr>
            <w:r>
              <w:rPr>
                <w:rFonts w:ascii="仿宋_GB2312" w:hAnsi="仿宋_GB2312" w:cs="仿宋_GB2312" w:eastAsia="仿宋_GB2312"/>
                <w:sz w:val="20"/>
              </w:rPr>
              <w:t>17、</w:t>
            </w:r>
            <w:r>
              <w:rPr>
                <w:rFonts w:ascii="仿宋_GB2312" w:hAnsi="仿宋_GB2312" w:cs="仿宋_GB2312" w:eastAsia="仿宋_GB2312"/>
                <w:sz w:val="20"/>
              </w:rPr>
              <w:t>完整搭建与物理设备</w:t>
            </w:r>
            <w:r>
              <w:rPr>
                <w:rFonts w:ascii="仿宋_GB2312" w:hAnsi="仿宋_GB2312" w:cs="仿宋_GB2312" w:eastAsia="仿宋_GB2312"/>
                <w:sz w:val="20"/>
              </w:rPr>
              <w:t>1:1映射数字孪生模型，全部模块配套数据驱动接口，可通过通讯信号控制虚拟设备动作。</w:t>
            </w:r>
          </w:p>
          <w:p>
            <w:pPr>
              <w:pStyle w:val="null3"/>
              <w:jc w:val="left"/>
            </w:pPr>
            <w:r>
              <w:rPr>
                <w:rFonts w:ascii="仿宋_GB2312" w:hAnsi="仿宋_GB2312" w:cs="仿宋_GB2312" w:eastAsia="仿宋_GB2312"/>
                <w:sz w:val="20"/>
              </w:rPr>
              <w:t>18、（1）</w:t>
            </w:r>
            <w:r>
              <w:rPr>
                <w:rFonts w:ascii="仿宋_GB2312" w:hAnsi="仿宋_GB2312" w:cs="仿宋_GB2312" w:eastAsia="仿宋_GB2312"/>
                <w:sz w:val="20"/>
              </w:rPr>
              <w:t>兼容多品牌工业机器人数据采集，支持开机后台自启动，可快速切换不同机器人设备；</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数据采集周期</w:t>
            </w:r>
            <w:r>
              <w:rPr>
                <w:rFonts w:ascii="仿宋_GB2312" w:hAnsi="仿宋_GB2312" w:cs="仿宋_GB2312" w:eastAsia="仿宋_GB2312"/>
                <w:sz w:val="20"/>
              </w:rPr>
              <w:t>10~100ms，基于 OPC UA 协议对外分发实时数据，软件界面实时展示采集周期、IO 信号、OPC 服务状态、机器人连接状态、机器人关节坐标；</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支持单</w:t>
            </w:r>
            <w:r>
              <w:rPr>
                <w:rFonts w:ascii="仿宋_GB2312" w:hAnsi="仿宋_GB2312" w:cs="仿宋_GB2312" w:eastAsia="仿宋_GB2312"/>
                <w:sz w:val="20"/>
              </w:rPr>
              <w:t>/ 多网卡的数据发送，可保存采集参数、设备配置，下次启动自动还原；单机序列号授权，一机一授权；</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）提供第三方专业机构软件检测报告、自主软件著作权证书。</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19、（1）</w:t>
            </w:r>
            <w:r>
              <w:rPr>
                <w:rFonts w:ascii="仿宋_GB2312" w:hAnsi="仿宋_GB2312" w:cs="仿宋_GB2312" w:eastAsia="仿宋_GB2312"/>
                <w:sz w:val="20"/>
              </w:rPr>
              <w:t>配套全套数字孪生驱动接口：机器人、多功能工具、输送线、变位机、上下料单元驱动接口；</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支持虚拟机器人、虚拟</w:t>
            </w:r>
            <w:r>
              <w:rPr>
                <w:rFonts w:ascii="仿宋_GB2312" w:hAnsi="仿宋_GB2312" w:cs="仿宋_GB2312" w:eastAsia="仿宋_GB2312"/>
                <w:sz w:val="20"/>
              </w:rPr>
              <w:t>PLC 系统部署；具备通讯配置、信号映射、模型调试验证功能；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支持软件在环虚拟调试、硬件在环虚实协同实训。</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20、（1）</w:t>
            </w:r>
            <w:r>
              <w:rPr>
                <w:rFonts w:ascii="仿宋_GB2312" w:hAnsi="仿宋_GB2312" w:cs="仿宋_GB2312" w:eastAsia="仿宋_GB2312"/>
                <w:sz w:val="20"/>
              </w:rPr>
              <w:t>整套设备可独立完成基础绘图、搬运、码垛实训任务；可完整运行井式供料</w:t>
            </w:r>
            <w:r>
              <w:rPr>
                <w:rFonts w:ascii="仿宋_GB2312" w:hAnsi="仿宋_GB2312" w:cs="仿宋_GB2312" w:eastAsia="仿宋_GB2312"/>
                <w:sz w:val="20"/>
              </w:rPr>
              <w:t>— 皮带输送 — 装配 — 视觉称重检测 — 成品入库全流程产线实训；可将物理设备动作信号实时反馈至数字孪生模型，实现虚实设备同步动作。</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）现场进行设备中任意一个模块的虚拟调试。由</w:t>
            </w:r>
            <w:r>
              <w:rPr>
                <w:rFonts w:ascii="仿宋_GB2312" w:hAnsi="仿宋_GB2312" w:cs="仿宋_GB2312" w:eastAsia="仿宋_GB2312"/>
                <w:sz w:val="20"/>
              </w:rPr>
              <w:t>PLC编程软件、工业机器人编程软件、PLC虚拟机软件联合进行信号驱动，由数字孪生软件平台进行设备运行情况虚拟展示。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21、</w:t>
            </w:r>
            <w:r>
              <w:rPr>
                <w:rFonts w:ascii="仿宋_GB2312" w:hAnsi="仿宋_GB2312" w:cs="仿宋_GB2312" w:eastAsia="仿宋_GB2312"/>
                <w:sz w:val="20"/>
              </w:rPr>
              <w:t>需在实训室安装到位并运行成功。</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Ind w:type="dxa" w:w="45"/>
              <w:tblBorders>
                <w:top w:val="none" w:color="000000" w:sz="4"/>
                <w:left w:val="none" w:color="000000" w:sz="4"/>
                <w:bottom w:val="none" w:color="000000" w:sz="4"/>
                <w:right w:val="none" w:color="000000" w:sz="4"/>
                <w:insideH w:val="none"/>
                <w:insideV w:val="none"/>
              </w:tblBorders>
            </w:tblPr>
            <w:tblGrid>
              <w:gridCol w:w="604"/>
              <w:gridCol w:w="762"/>
              <w:gridCol w:w="679"/>
              <w:gridCol w:w="498"/>
            </w:tblGrid>
            <w:tr>
              <w:tc>
                <w:tcPr>
                  <w:tcW w:type="dxa" w:w="604"/>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b/>
                      <w:shd w:fill="FFFFFF" w:val="clear"/>
                    </w:rPr>
                    <w:t>采购品目</w:t>
                  </w:r>
                  <w:r>
                    <w:rPr>
                      <w:rFonts w:ascii="仿宋_GB2312" w:hAnsi="仿宋_GB2312" w:cs="仿宋_GB2312" w:eastAsia="仿宋_GB2312"/>
                      <w:sz w:val="20"/>
                      <w:b/>
                      <w:shd w:fill="FFFFFF" w:val="clear"/>
                    </w:rPr>
                    <w:t>2</w:t>
                  </w:r>
                </w:p>
                <w:p>
                  <w:pPr>
                    <w:pStyle w:val="null3"/>
                  </w:pPr>
                  <w:r>
                    <w:rPr>
                      <w:rFonts w:ascii="仿宋_GB2312" w:hAnsi="仿宋_GB2312" w:cs="仿宋_GB2312" w:eastAsia="仿宋_GB2312"/>
                      <w:sz w:val="19"/>
                    </w:rPr>
                    <w:t xml:space="preserve"> </w:t>
                  </w:r>
                </w:p>
              </w:tc>
              <w:tc>
                <w:tcPr>
                  <w:tcW w:type="dxa" w:w="76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0"/>
                    </w:rPr>
                    <w:t>虚实一体编程调试工作站</w:t>
                  </w:r>
                </w:p>
              </w:tc>
              <w:tc>
                <w:tcPr>
                  <w:tcW w:type="dxa" w:w="679"/>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b/>
                      <w:shd w:fill="FFFFFF" w:val="clear"/>
                    </w:rPr>
                    <w:t>是否采购节能产品</w:t>
                  </w:r>
                </w:p>
              </w:tc>
              <w:tc>
                <w:tcPr>
                  <w:tcW w:type="dxa" w:w="498"/>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u w:val="single"/>
                    </w:rPr>
                    <w:t>是</w:t>
                  </w:r>
                </w:p>
              </w:tc>
            </w:tr>
            <w:tr>
              <w:tc>
                <w:tcPr>
                  <w:tcW w:type="dxa" w:w="6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b/>
                      <w:shd w:fill="FFFFFF" w:val="clear"/>
                    </w:rPr>
                    <w:t>数量</w:t>
                  </w:r>
                </w:p>
              </w:tc>
              <w:tc>
                <w:tcPr>
                  <w:tcW w:type="dxa" w:w="76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u w:val="single"/>
                    </w:rPr>
                    <w:t>5</w:t>
                  </w:r>
                </w:p>
              </w:tc>
              <w:tc>
                <w:tcPr>
                  <w:tcW w:type="dxa" w:w="6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b/>
                      <w:shd w:fill="FFFFFF" w:val="clear"/>
                    </w:rPr>
                    <w:t>单位</w:t>
                  </w:r>
                </w:p>
              </w:tc>
              <w:tc>
                <w:tcPr>
                  <w:tcW w:type="dxa" w:w="49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u w:val="single"/>
                    </w:rPr>
                    <w:t>套</w:t>
                  </w:r>
                </w:p>
              </w:tc>
            </w:tr>
          </w:tbl>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核心数</w:t>
            </w:r>
            <w:r>
              <w:rPr>
                <w:rFonts w:ascii="仿宋_GB2312" w:hAnsi="仿宋_GB2312" w:cs="仿宋_GB2312" w:eastAsia="仿宋_GB2312"/>
                <w:sz w:val="20"/>
              </w:rPr>
              <w:t>≥8核，线程数≥16线程，基础主频≥3.5GHz 或最高加速主频≥4.6GHz；支持硬件辅助虚拟化指令集，可开启虚拟化功能，支持基于工业以太网总线的虚拟PLC仿真平台运行；同等性能处理器可等效响应。</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配置</w:t>
            </w:r>
            <w:r>
              <w:rPr>
                <w:rFonts w:ascii="仿宋_GB2312" w:hAnsi="仿宋_GB2312" w:cs="仿宋_GB2312" w:eastAsia="仿宋_GB2312"/>
                <w:sz w:val="20"/>
              </w:rPr>
              <w:t>32GB（16GB×2）双通道内存，提供不少于4个内存插槽；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配置独立显卡，显存容量</w:t>
            </w:r>
            <w:r>
              <w:rPr>
                <w:rFonts w:ascii="仿宋_GB2312" w:hAnsi="仿宋_GB2312" w:cs="仿宋_GB2312" w:eastAsia="仿宋_GB2312"/>
                <w:sz w:val="20"/>
              </w:rPr>
              <w:t>≥6GB</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配置</w:t>
            </w:r>
            <w:r>
              <w:rPr>
                <w:rFonts w:ascii="仿宋_GB2312" w:hAnsi="仿宋_GB2312" w:cs="仿宋_GB2312" w:eastAsia="仿宋_GB2312"/>
                <w:sz w:val="20"/>
              </w:rPr>
              <w:t>≥27寸显示器，视频接口HDMI，刷新率≥75Hz；</w:t>
            </w:r>
          </w:p>
          <w:p>
            <w:pPr>
              <w:pStyle w:val="null3"/>
              <w:jc w:val="left"/>
            </w:pPr>
            <w:r>
              <w:rPr>
                <w:rFonts w:ascii="仿宋_GB2312" w:hAnsi="仿宋_GB2312" w:cs="仿宋_GB2312" w:eastAsia="仿宋_GB2312"/>
                <w:sz w:val="20"/>
              </w:rPr>
              <w:t>5、PCIE插槽数≥2个，其中PCI-E 16x插槽≥1个；</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提供不少于</w:t>
            </w:r>
            <w:r>
              <w:rPr>
                <w:rFonts w:ascii="仿宋_GB2312" w:hAnsi="仿宋_GB2312" w:cs="仿宋_GB2312" w:eastAsia="仿宋_GB2312"/>
                <w:sz w:val="20"/>
              </w:rPr>
              <w:t>2个RJ45千兆以太网卡及接口。其中，主板板载至少1个；另需预装一块独立的PCIe千兆网卡；</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鼠标</w:t>
            </w:r>
            <w:r>
              <w:rPr>
                <w:rFonts w:ascii="仿宋_GB2312" w:hAnsi="仿宋_GB2312" w:cs="仿宋_GB2312" w:eastAsia="仿宋_GB2312"/>
                <w:sz w:val="20"/>
              </w:rPr>
              <w:t>≥1，键盘≥1，有线连接；</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1个工作站在讲台侧，另外4个在台架侧，需在实训室安装到位并运行成功。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CPU须支持完整硬件辅助嵌套虚拟化，并在虚拟机内部再次启用虚拟化运行第二层虚拟机时，虚拟PLC应能正常完成以下操作：</w:t>
            </w:r>
            <w:r>
              <w:br/>
            </w:r>
            <w:r>
              <w:rPr>
                <w:rFonts w:ascii="仿宋_GB2312" w:hAnsi="仿宋_GB2312" w:cs="仿宋_GB2312" w:eastAsia="仿宋_GB2312"/>
                <w:sz w:val="20"/>
              </w:rPr>
              <w:t>（</w:t>
            </w:r>
            <w:r>
              <w:rPr>
                <w:rFonts w:ascii="仿宋_GB2312" w:hAnsi="仿宋_GB2312" w:cs="仿宋_GB2312" w:eastAsia="仿宋_GB2312"/>
                <w:sz w:val="20"/>
              </w:rPr>
              <w:t>1）虚拟机正常启动，启动过程不得出现长时间卡死、蓝屏或异常重启；</w:t>
            </w:r>
            <w:r>
              <w:br/>
            </w:r>
            <w:r>
              <w:rPr>
                <w:rFonts w:ascii="仿宋_GB2312" w:hAnsi="仿宋_GB2312" w:cs="仿宋_GB2312" w:eastAsia="仿宋_GB2312"/>
                <w:sz w:val="20"/>
              </w:rPr>
              <w:t>（</w:t>
            </w:r>
            <w:r>
              <w:rPr>
                <w:rFonts w:ascii="仿宋_GB2312" w:hAnsi="仿宋_GB2312" w:cs="仿宋_GB2312" w:eastAsia="仿宋_GB2312"/>
                <w:sz w:val="20"/>
              </w:rPr>
              <w:t>2）系统自动生成虚拟网卡，可正确识别并配置IP地址；</w:t>
            </w:r>
            <w:r>
              <w:br/>
            </w:r>
            <w:r>
              <w:rPr>
                <w:rFonts w:ascii="仿宋_GB2312" w:hAnsi="仿宋_GB2312" w:cs="仿宋_GB2312" w:eastAsia="仿宋_GB2312"/>
                <w:sz w:val="20"/>
              </w:rPr>
              <w:t>（</w:t>
            </w:r>
            <w:r>
              <w:rPr>
                <w:rFonts w:ascii="仿宋_GB2312" w:hAnsi="仿宋_GB2312" w:cs="仿宋_GB2312" w:eastAsia="仿宋_GB2312"/>
                <w:sz w:val="20"/>
              </w:rPr>
              <w:t>3）虚拟PLC实例可通过OPC UA/TCP/IP协议与外部模型或上位机软件进行实时双向数据交互。</w:t>
            </w:r>
          </w:p>
          <w:p>
            <w:pPr>
              <w:pStyle w:val="null3"/>
              <w:jc w:val="left"/>
            </w:pPr>
            <w:r>
              <w:rPr>
                <w:rFonts w:ascii="仿宋_GB2312" w:hAnsi="仿宋_GB2312" w:cs="仿宋_GB2312" w:eastAsia="仿宋_GB2312"/>
                <w:sz w:val="20"/>
              </w:rPr>
              <w:t>投标人须提供所投产品在上述环境下的功能承诺函，验收时逐项实测验证，任一项不满足视为核心教学功能缺失，按验收不合格处理。</w:t>
            </w:r>
          </w:p>
          <w:p>
            <w:pPr>
              <w:pStyle w:val="null3"/>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台式计算机、液晶显示器</w:t>
            </w:r>
            <w:r>
              <w:rPr>
                <w:rFonts w:ascii="仿宋_GB2312" w:hAnsi="仿宋_GB2312" w:cs="仿宋_GB2312" w:eastAsia="仿宋_GB2312"/>
                <w:sz w:val="20"/>
              </w:rPr>
              <w:t>为强制节能产品，需提供有效节能认证。</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Ind w:type="dxa" w:w="45"/>
              <w:tblBorders>
                <w:top w:val="none" w:color="000000" w:sz="4"/>
                <w:left w:val="none" w:color="000000" w:sz="4"/>
                <w:bottom w:val="none" w:color="000000" w:sz="4"/>
                <w:right w:val="none" w:color="000000" w:sz="4"/>
                <w:insideH w:val="none"/>
                <w:insideV w:val="none"/>
              </w:tblBorders>
            </w:tblPr>
            <w:tblGrid>
              <w:gridCol w:w="648"/>
              <w:gridCol w:w="745"/>
              <w:gridCol w:w="709"/>
              <w:gridCol w:w="436"/>
            </w:tblGrid>
            <w:tr>
              <w:tc>
                <w:tcPr>
                  <w:tcW w:type="dxa" w:w="648"/>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shd w:fill="FFFFFF" w:val="clear"/>
                    </w:rPr>
                    <w:t>采购品目</w:t>
                  </w:r>
                  <w:r>
                    <w:rPr>
                      <w:rFonts w:ascii="仿宋_GB2312" w:hAnsi="仿宋_GB2312" w:cs="仿宋_GB2312" w:eastAsia="仿宋_GB2312"/>
                      <w:sz w:val="20"/>
                      <w:b/>
                      <w:shd w:fill="FFFFFF" w:val="clear"/>
                    </w:rPr>
                    <w:t>3</w:t>
                  </w:r>
                </w:p>
                <w:p>
                  <w:pPr>
                    <w:pStyle w:val="null3"/>
                  </w:pPr>
                  <w:r>
                    <w:rPr>
                      <w:rFonts w:ascii="仿宋_GB2312" w:hAnsi="仿宋_GB2312" w:cs="仿宋_GB2312" w:eastAsia="仿宋_GB2312"/>
                      <w:sz w:val="19"/>
                    </w:rPr>
                    <w:t xml:space="preserve"> </w:t>
                  </w:r>
                </w:p>
              </w:tc>
              <w:tc>
                <w:tcPr>
                  <w:tcW w:type="dxa" w:w="74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纯虚拟编程调试工作站</w:t>
                  </w:r>
                </w:p>
              </w:tc>
              <w:tc>
                <w:tcPr>
                  <w:tcW w:type="dxa" w:w="709"/>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shd w:fill="FFFFFF" w:val="clear"/>
                    </w:rPr>
                    <w:t>是否采购节能产品</w:t>
                  </w:r>
                </w:p>
              </w:tc>
              <w:tc>
                <w:tcPr>
                  <w:tcW w:type="dxa" w:w="43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u w:val="single"/>
                    </w:rPr>
                    <w:t>是</w:t>
                  </w:r>
                </w:p>
              </w:tc>
            </w:tr>
            <w:tr>
              <w:tc>
                <w:tcPr>
                  <w:tcW w:type="dxa" w:w="64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shd w:fill="FFFFFF" w:val="clear"/>
                    </w:rPr>
                    <w:t>数量</w:t>
                  </w:r>
                </w:p>
              </w:tc>
              <w:tc>
                <w:tcPr>
                  <w:tcW w:type="dxa" w:w="74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u w:val="single"/>
                    </w:rPr>
                    <w:t>24</w:t>
                  </w:r>
                </w:p>
              </w:tc>
              <w:tc>
                <w:tcPr>
                  <w:tcW w:type="dxa" w:w="7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shd w:fill="FFFFFF" w:val="clear"/>
                    </w:rPr>
                    <w:t>单位</w:t>
                  </w:r>
                </w:p>
              </w:tc>
              <w:tc>
                <w:tcPr>
                  <w:tcW w:type="dxa" w:w="43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u w:val="single"/>
                    </w:rPr>
                    <w:t>套</w:t>
                  </w:r>
                </w:p>
              </w:tc>
            </w:tr>
          </w:tbl>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核心数</w:t>
            </w:r>
            <w:r>
              <w:rPr>
                <w:rFonts w:ascii="仿宋_GB2312" w:hAnsi="仿宋_GB2312" w:cs="仿宋_GB2312" w:eastAsia="仿宋_GB2312"/>
                <w:sz w:val="20"/>
              </w:rPr>
              <w:t>≥8核，线程数≥16线程，基础主频≥3.5GHz 或最高加速主频≥4.6GHz；支持硬件辅助虚拟化指令集，可开启虚拟化功能，支持基于工业以太网总线的虚拟PLC仿真平台运行；同等性能处理器可等效响应。</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配置</w:t>
            </w:r>
            <w:r>
              <w:rPr>
                <w:rFonts w:ascii="仿宋_GB2312" w:hAnsi="仿宋_GB2312" w:cs="仿宋_GB2312" w:eastAsia="仿宋_GB2312"/>
                <w:sz w:val="20"/>
              </w:rPr>
              <w:t>32GB（16GB×2）双通道内存，提供不少于4个内存插槽；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配置独立显卡，显存容量</w:t>
            </w:r>
            <w:r>
              <w:rPr>
                <w:rFonts w:ascii="仿宋_GB2312" w:hAnsi="仿宋_GB2312" w:cs="仿宋_GB2312" w:eastAsia="仿宋_GB2312"/>
                <w:sz w:val="20"/>
              </w:rPr>
              <w:t>≥6GB</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配置</w:t>
            </w:r>
            <w:r>
              <w:rPr>
                <w:rFonts w:ascii="仿宋_GB2312" w:hAnsi="仿宋_GB2312" w:cs="仿宋_GB2312" w:eastAsia="仿宋_GB2312"/>
                <w:sz w:val="20"/>
              </w:rPr>
              <w:t>≥27寸显示器，视频接口HDMI，刷新率≥75Hz；</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PCIE插槽数≥2个，其中PCI-E 16x插槽≥1个；</w:t>
            </w:r>
          </w:p>
          <w:p>
            <w:pPr>
              <w:pStyle w:val="null3"/>
              <w:jc w:val="left"/>
            </w:pPr>
            <w:r>
              <w:rPr>
                <w:rFonts w:ascii="仿宋_GB2312" w:hAnsi="仿宋_GB2312" w:cs="仿宋_GB2312" w:eastAsia="仿宋_GB2312"/>
                <w:sz w:val="20"/>
              </w:rPr>
              <w:t>6、鼠标</w:t>
            </w:r>
            <w:r>
              <w:rPr>
                <w:rFonts w:ascii="仿宋_GB2312" w:hAnsi="仿宋_GB2312" w:cs="仿宋_GB2312" w:eastAsia="仿宋_GB2312"/>
                <w:sz w:val="20"/>
              </w:rPr>
              <w:t>≥1，键盘≥1，主板板载RJ45千兆以太网卡及接口至少1个；</w:t>
            </w:r>
          </w:p>
          <w:p>
            <w:pPr>
              <w:pStyle w:val="null3"/>
              <w:jc w:val="left"/>
            </w:pPr>
            <w:r>
              <w:rPr>
                <w:rFonts w:ascii="仿宋_GB2312" w:hAnsi="仿宋_GB2312" w:cs="仿宋_GB2312" w:eastAsia="仿宋_GB2312"/>
                <w:sz w:val="20"/>
              </w:rPr>
              <w:t>7、需在实训室安装到位并运行成功。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CPU须支持完整硬件辅助嵌套虚拟化，并在虚拟机内部再次启用虚拟化运行第二层虚拟机时，虚拟PLC应能正常完成以下操作：</w:t>
            </w:r>
            <w:r>
              <w:br/>
            </w:r>
            <w:r>
              <w:rPr>
                <w:rFonts w:ascii="仿宋_GB2312" w:hAnsi="仿宋_GB2312" w:cs="仿宋_GB2312" w:eastAsia="仿宋_GB2312"/>
                <w:sz w:val="20"/>
              </w:rPr>
              <w:t>（</w:t>
            </w:r>
            <w:r>
              <w:rPr>
                <w:rFonts w:ascii="仿宋_GB2312" w:hAnsi="仿宋_GB2312" w:cs="仿宋_GB2312" w:eastAsia="仿宋_GB2312"/>
                <w:sz w:val="20"/>
              </w:rPr>
              <w:t>1）虚拟机正常启动，启动过程不得出现长时间卡死、蓝屏或异常重启；</w:t>
            </w:r>
            <w:r>
              <w:br/>
            </w:r>
            <w:r>
              <w:rPr>
                <w:rFonts w:ascii="仿宋_GB2312" w:hAnsi="仿宋_GB2312" w:cs="仿宋_GB2312" w:eastAsia="仿宋_GB2312"/>
                <w:sz w:val="20"/>
              </w:rPr>
              <w:t>（</w:t>
            </w:r>
            <w:r>
              <w:rPr>
                <w:rFonts w:ascii="仿宋_GB2312" w:hAnsi="仿宋_GB2312" w:cs="仿宋_GB2312" w:eastAsia="仿宋_GB2312"/>
                <w:sz w:val="20"/>
              </w:rPr>
              <w:t>2）系统自动生成虚拟网卡，可正确识别并配置IP地址；</w:t>
            </w:r>
            <w:r>
              <w:br/>
            </w:r>
            <w:r>
              <w:rPr>
                <w:rFonts w:ascii="仿宋_GB2312" w:hAnsi="仿宋_GB2312" w:cs="仿宋_GB2312" w:eastAsia="仿宋_GB2312"/>
                <w:sz w:val="20"/>
              </w:rPr>
              <w:t>（</w:t>
            </w:r>
            <w:r>
              <w:rPr>
                <w:rFonts w:ascii="仿宋_GB2312" w:hAnsi="仿宋_GB2312" w:cs="仿宋_GB2312" w:eastAsia="仿宋_GB2312"/>
                <w:sz w:val="20"/>
              </w:rPr>
              <w:t>3）虚拟PLC实例可通过OPC UA/TCP/IP协议与外部模型或上位机软件进行实时双向数据交互。</w:t>
            </w:r>
          </w:p>
          <w:p>
            <w:pPr>
              <w:pStyle w:val="null3"/>
              <w:jc w:val="left"/>
            </w:pPr>
            <w:r>
              <w:rPr>
                <w:rFonts w:ascii="仿宋_GB2312" w:hAnsi="仿宋_GB2312" w:cs="仿宋_GB2312" w:eastAsia="仿宋_GB2312"/>
                <w:sz w:val="20"/>
              </w:rPr>
              <w:t>投标人须提供所投产品在上述环境下的功能承诺函，验收时逐项实测验证，任一项不满足视为核心教学功能缺失，按验收不合格处理。</w:t>
            </w:r>
          </w:p>
          <w:p>
            <w:pPr>
              <w:pStyle w:val="null3"/>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台式计算机、液晶显示器</w:t>
            </w:r>
            <w:r>
              <w:rPr>
                <w:rFonts w:ascii="仿宋_GB2312" w:hAnsi="仿宋_GB2312" w:cs="仿宋_GB2312" w:eastAsia="仿宋_GB2312"/>
                <w:sz w:val="20"/>
              </w:rPr>
              <w:t>为强制节能产品，需提供有效节能认证。</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Ind w:type="dxa" w:w="45"/>
              <w:tblBorders>
                <w:top w:val="none" w:color="000000" w:sz="4"/>
                <w:left w:val="none" w:color="000000" w:sz="4"/>
                <w:bottom w:val="none" w:color="000000" w:sz="4"/>
                <w:right w:val="none" w:color="000000" w:sz="4"/>
                <w:insideH w:val="none"/>
                <w:insideV w:val="none"/>
              </w:tblBorders>
            </w:tblPr>
            <w:tblGrid>
              <w:gridCol w:w="657"/>
              <w:gridCol w:w="657"/>
              <w:gridCol w:w="743"/>
              <w:gridCol w:w="485"/>
            </w:tblGrid>
            <w:tr>
              <w:tc>
                <w:tcPr>
                  <w:tcW w:type="dxa" w:w="65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shd w:fill="FFFFFF" w:val="clear"/>
                    </w:rPr>
                    <w:t>采购品目</w:t>
                  </w:r>
                  <w:r>
                    <w:rPr>
                      <w:rFonts w:ascii="仿宋_GB2312" w:hAnsi="仿宋_GB2312" w:cs="仿宋_GB2312" w:eastAsia="仿宋_GB2312"/>
                      <w:sz w:val="20"/>
                      <w:b/>
                      <w:shd w:fill="FFFFFF" w:val="clear"/>
                    </w:rPr>
                    <w:t>4</w:t>
                  </w:r>
                </w:p>
                <w:p>
                  <w:pPr>
                    <w:pStyle w:val="null3"/>
                  </w:pPr>
                  <w:r>
                    <w:rPr>
                      <w:rFonts w:ascii="仿宋_GB2312" w:hAnsi="仿宋_GB2312" w:cs="仿宋_GB2312" w:eastAsia="仿宋_GB2312"/>
                      <w:sz w:val="19"/>
                    </w:rPr>
                    <w:t xml:space="preserve"> </w:t>
                  </w:r>
                </w:p>
              </w:tc>
              <w:tc>
                <w:tcPr>
                  <w:tcW w:type="dxa" w:w="65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激光投影仪</w:t>
                  </w:r>
                </w:p>
              </w:tc>
              <w:tc>
                <w:tcPr>
                  <w:tcW w:type="dxa" w:w="74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shd w:fill="FFFFFF" w:val="clear"/>
                    </w:rPr>
                    <w:t>是否采购节能产品</w:t>
                  </w:r>
                </w:p>
              </w:tc>
              <w:tc>
                <w:tcPr>
                  <w:tcW w:type="dxa" w:w="48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u w:val="single"/>
                    </w:rPr>
                    <w:t>否</w:t>
                  </w:r>
                </w:p>
              </w:tc>
            </w:tr>
            <w:tr>
              <w:tc>
                <w:tcPr>
                  <w:tcW w:type="dxa" w:w="6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shd w:fill="FFFFFF" w:val="clear"/>
                    </w:rPr>
                    <w:t>数量</w:t>
                  </w:r>
                </w:p>
              </w:tc>
              <w:tc>
                <w:tcPr>
                  <w:tcW w:type="dxa" w:w="6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u w:val="single"/>
                    </w:rPr>
                    <w:t>1</w:t>
                  </w:r>
                </w:p>
              </w:tc>
              <w:tc>
                <w:tcPr>
                  <w:tcW w:type="dxa" w:w="7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shd w:fill="FFFFFF" w:val="clear"/>
                    </w:rPr>
                    <w:t>单位</w:t>
                  </w:r>
                </w:p>
              </w:tc>
              <w:tc>
                <w:tcPr>
                  <w:tcW w:type="dxa" w:w="4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u w:val="single"/>
                    </w:rPr>
                    <w:t>套</w:t>
                  </w:r>
                </w:p>
              </w:tc>
            </w:tr>
          </w:tbl>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激光光源</w:t>
            </w:r>
            <w:r>
              <w:rPr>
                <w:rFonts w:ascii="仿宋_GB2312" w:hAnsi="仿宋_GB2312" w:cs="仿宋_GB2312" w:eastAsia="仿宋_GB2312"/>
                <w:sz w:val="20"/>
              </w:rPr>
              <w:t>(使用寿命≥20000小时)，需包含镜头。</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亮度</w:t>
            </w:r>
            <w:r>
              <w:rPr>
                <w:rFonts w:ascii="仿宋_GB2312" w:hAnsi="仿宋_GB2312" w:cs="仿宋_GB2312" w:eastAsia="仿宋_GB2312"/>
                <w:sz w:val="20"/>
              </w:rPr>
              <w:t>≥7000流明（依据ISO 21118标准，标准模式，ANSI标准同等亮度效果视为响应）</w:t>
            </w:r>
          </w:p>
          <w:p>
            <w:pPr>
              <w:pStyle w:val="null3"/>
              <w:jc w:val="left"/>
            </w:pPr>
            <w:r>
              <w:rPr>
                <w:rFonts w:ascii="仿宋_GB2312" w:hAnsi="仿宋_GB2312" w:cs="仿宋_GB2312" w:eastAsia="仿宋_GB2312"/>
                <w:sz w:val="20"/>
              </w:rPr>
              <w:t>3、须在距离幕布</w:t>
            </w:r>
            <w:r>
              <w:rPr>
                <w:rFonts w:ascii="仿宋_GB2312" w:hAnsi="仿宋_GB2312" w:cs="仿宋_GB2312" w:eastAsia="仿宋_GB2312"/>
                <w:sz w:val="20"/>
              </w:rPr>
              <w:t>2~8米处通过变焦投射出200英寸16:9或16:10画面，且无画面变形。</w:t>
            </w:r>
          </w:p>
          <w:p>
            <w:pPr>
              <w:pStyle w:val="null3"/>
              <w:jc w:val="left"/>
            </w:pPr>
            <w:r>
              <w:rPr>
                <w:rFonts w:ascii="仿宋_GB2312" w:hAnsi="仿宋_GB2312" w:cs="仿宋_GB2312" w:eastAsia="仿宋_GB2312"/>
                <w:sz w:val="20"/>
              </w:rPr>
              <w:t>4、分辨率</w:t>
            </w:r>
            <w:r>
              <w:rPr>
                <w:rFonts w:ascii="仿宋_GB2312" w:hAnsi="仿宋_GB2312" w:cs="仿宋_GB2312" w:eastAsia="仿宋_GB2312"/>
                <w:sz w:val="20"/>
              </w:rPr>
              <w:t>≥1920×1200，兼容4K信号；</w:t>
            </w:r>
          </w:p>
          <w:p>
            <w:pPr>
              <w:pStyle w:val="null3"/>
              <w:jc w:val="left"/>
            </w:pPr>
            <w:r>
              <w:rPr>
                <w:rFonts w:ascii="仿宋_GB2312" w:hAnsi="仿宋_GB2312" w:cs="仿宋_GB2312" w:eastAsia="仿宋_GB2312"/>
                <w:sz w:val="20"/>
              </w:rPr>
              <w:t>5、支持自动对焦；支持四向校正及四角校正；</w:t>
            </w:r>
          </w:p>
          <w:p>
            <w:pPr>
              <w:pStyle w:val="null3"/>
              <w:jc w:val="left"/>
            </w:pPr>
            <w:r>
              <w:rPr>
                <w:rFonts w:ascii="仿宋_GB2312" w:hAnsi="仿宋_GB2312" w:cs="仿宋_GB2312" w:eastAsia="仿宋_GB2312"/>
                <w:sz w:val="20"/>
              </w:rPr>
              <w:t>6、接口</w:t>
            </w:r>
            <w:r>
              <w:rPr>
                <w:rFonts w:ascii="仿宋_GB2312" w:hAnsi="仿宋_GB2312" w:cs="仿宋_GB2312" w:eastAsia="仿宋_GB2312"/>
                <w:sz w:val="20"/>
              </w:rPr>
              <w:t>≥2个HDMI，≥1个VGA，支持RS-232控制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供应商须提供配套吊架及吊顶安装调试，整机质保</w:t>
            </w:r>
            <w:r>
              <w:rPr>
                <w:rFonts w:ascii="仿宋_GB2312" w:hAnsi="仿宋_GB2312" w:cs="仿宋_GB2312" w:eastAsia="仿宋_GB2312"/>
                <w:sz w:val="20"/>
              </w:rPr>
              <w:t>≥2年，须提供3C认证及第三方检测报告</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Ind w:type="dxa" w:w="45"/>
              <w:tblBorders>
                <w:top w:val="none" w:color="000000" w:sz="4"/>
                <w:left w:val="none" w:color="000000" w:sz="4"/>
                <w:bottom w:val="none" w:color="000000" w:sz="4"/>
                <w:right w:val="none" w:color="000000" w:sz="4"/>
                <w:insideH w:val="none"/>
                <w:insideV w:val="none"/>
              </w:tblBorders>
            </w:tblPr>
            <w:tblGrid>
              <w:gridCol w:w="659"/>
              <w:gridCol w:w="659"/>
              <w:gridCol w:w="740"/>
              <w:gridCol w:w="484"/>
            </w:tblGrid>
            <w:tr>
              <w:tc>
                <w:tcPr>
                  <w:tcW w:type="dxa" w:w="659"/>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shd w:fill="FFFFFF" w:val="clear"/>
                    </w:rPr>
                    <w:t>采购品目</w:t>
                  </w:r>
                  <w:r>
                    <w:rPr>
                      <w:rFonts w:ascii="仿宋_GB2312" w:hAnsi="仿宋_GB2312" w:cs="仿宋_GB2312" w:eastAsia="仿宋_GB2312"/>
                      <w:sz w:val="20"/>
                      <w:b/>
                      <w:shd w:fill="FFFFFF" w:val="clear"/>
                    </w:rPr>
                    <w:t>5</w:t>
                  </w:r>
                </w:p>
                <w:p>
                  <w:pPr>
                    <w:pStyle w:val="null3"/>
                  </w:pPr>
                  <w:r>
                    <w:rPr>
                      <w:rFonts w:ascii="仿宋_GB2312" w:hAnsi="仿宋_GB2312" w:cs="仿宋_GB2312" w:eastAsia="仿宋_GB2312"/>
                      <w:sz w:val="19"/>
                    </w:rPr>
                    <w:t xml:space="preserve"> </w:t>
                  </w:r>
                </w:p>
              </w:tc>
              <w:tc>
                <w:tcPr>
                  <w:tcW w:type="dxa" w:w="659"/>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shd w:fill="FFFFFF" w:val="clear"/>
                    </w:rPr>
                    <w:t>画框式投影幕布</w:t>
                  </w:r>
                </w:p>
              </w:tc>
              <w:tc>
                <w:tcPr>
                  <w:tcW w:type="dxa" w:w="740"/>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shd w:fill="FFFFFF" w:val="clear"/>
                    </w:rPr>
                    <w:t>是否采购节能产品</w:t>
                  </w:r>
                </w:p>
              </w:tc>
              <w:tc>
                <w:tcPr>
                  <w:tcW w:type="dxa" w:w="484"/>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shd w:fill="FFFFFF" w:val="clear"/>
                    </w:rPr>
                    <w:t>否</w:t>
                  </w:r>
                </w:p>
              </w:tc>
            </w:tr>
            <w:tr>
              <w:tc>
                <w:tcPr>
                  <w:tcW w:type="dxa" w:w="65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shd w:fill="FFFFFF" w:val="clear"/>
                    </w:rPr>
                    <w:t>数量</w:t>
                  </w:r>
                </w:p>
              </w:tc>
              <w:tc>
                <w:tcPr>
                  <w:tcW w:type="dxa" w:w="65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c>
                <w:tcPr>
                  <w:tcW w:type="dxa" w:w="74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shd w:fill="FFFFFF" w:val="clear"/>
                    </w:rPr>
                    <w:t>单位</w:t>
                  </w:r>
                </w:p>
              </w:tc>
              <w:tc>
                <w:tcPr>
                  <w:tcW w:type="dxa" w:w="48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套</w:t>
                  </w:r>
                </w:p>
              </w:tc>
            </w:tr>
          </w:tbl>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200英寸16:9或16:10画框幕布（幕布比例与投影仪一致），幕布表面为纳米微晶/钛晶灰色涂层/纳米金属复合涂层等或同等级光学抗光涂层。</w:t>
            </w:r>
          </w:p>
          <w:p>
            <w:pPr>
              <w:pStyle w:val="null3"/>
              <w:jc w:val="left"/>
            </w:pPr>
            <w:r>
              <w:rPr>
                <w:rFonts w:ascii="仿宋_GB2312" w:hAnsi="仿宋_GB2312" w:cs="仿宋_GB2312" w:eastAsia="仿宋_GB2312"/>
                <w:sz w:val="20"/>
              </w:rPr>
              <w:t>2、水平可视角度大于</w:t>
            </w:r>
            <w:r>
              <w:rPr>
                <w:rFonts w:ascii="仿宋_GB2312" w:hAnsi="仿宋_GB2312" w:cs="仿宋_GB2312" w:eastAsia="仿宋_GB2312"/>
                <w:sz w:val="20"/>
              </w:rPr>
              <w:t>160°，增益≥1.0。确保在实训室明亮环境下仍有优秀效果。</w:t>
            </w:r>
          </w:p>
          <w:p>
            <w:pPr>
              <w:pStyle w:val="null3"/>
            </w:pPr>
            <w:r>
              <w:rPr>
                <w:rFonts w:ascii="仿宋_GB2312" w:hAnsi="仿宋_GB2312" w:cs="仿宋_GB2312" w:eastAsia="仿宋_GB2312"/>
                <w:sz w:val="20"/>
              </w:rPr>
              <w:t>3、加厚铝合金边框</w:t>
            </w:r>
            <w:r>
              <w:rPr>
                <w:rFonts w:ascii="仿宋_GB2312" w:hAnsi="仿宋_GB2312" w:cs="仿宋_GB2312" w:eastAsia="仿宋_GB2312"/>
                <w:sz w:val="20"/>
              </w:rPr>
              <w:t>8cm以上，四周高弹力锰钢弹簧张力系统（弹簧间距≤10cm，四角双弹簧），平整度高，进场后装配。</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Ind w:type="dxa" w:w="45"/>
              <w:tblBorders>
                <w:top w:val="none" w:color="000000" w:sz="4"/>
                <w:left w:val="none" w:color="000000" w:sz="4"/>
                <w:bottom w:val="none" w:color="000000" w:sz="4"/>
                <w:right w:val="none" w:color="000000" w:sz="4"/>
                <w:insideH w:val="none"/>
                <w:insideV w:val="none"/>
              </w:tblBorders>
            </w:tblPr>
            <w:tblGrid>
              <w:gridCol w:w="656"/>
              <w:gridCol w:w="656"/>
              <w:gridCol w:w="740"/>
              <w:gridCol w:w="485"/>
            </w:tblGrid>
            <w:tr>
              <w:tc>
                <w:tcPr>
                  <w:tcW w:type="dxa" w:w="65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color w:val="000000"/>
                      <w:shd w:fill="FFFFFF" w:val="clear"/>
                    </w:rPr>
                    <w:t>采购品目</w:t>
                  </w:r>
                  <w:r>
                    <w:rPr>
                      <w:rFonts w:ascii="仿宋_GB2312" w:hAnsi="仿宋_GB2312" w:cs="仿宋_GB2312" w:eastAsia="仿宋_GB2312"/>
                      <w:sz w:val="20"/>
                      <w:b/>
                      <w:color w:val="000000"/>
                      <w:shd w:fill="FFFFFF" w:val="clear"/>
                    </w:rPr>
                    <w:t>6</w:t>
                  </w:r>
                </w:p>
                <w:p>
                  <w:pPr>
                    <w:pStyle w:val="null3"/>
                  </w:pPr>
                  <w:r>
                    <w:rPr>
                      <w:rFonts w:ascii="仿宋_GB2312" w:hAnsi="仿宋_GB2312" w:cs="仿宋_GB2312" w:eastAsia="仿宋_GB2312"/>
                      <w:sz w:val="19"/>
                    </w:rPr>
                    <w:t xml:space="preserve"> </w:t>
                  </w:r>
                </w:p>
              </w:tc>
              <w:tc>
                <w:tcPr>
                  <w:tcW w:type="dxa" w:w="65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color w:val="000000"/>
                      <w:shd w:fill="FFFFFF" w:val="clear"/>
                    </w:rPr>
                    <w:t>电视</w:t>
                  </w:r>
                </w:p>
              </w:tc>
              <w:tc>
                <w:tcPr>
                  <w:tcW w:type="dxa" w:w="740"/>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color w:val="000000"/>
                      <w:shd w:fill="FFFFFF" w:val="clear"/>
                    </w:rPr>
                    <w:t>是否采购节能产品</w:t>
                  </w:r>
                </w:p>
              </w:tc>
              <w:tc>
                <w:tcPr>
                  <w:tcW w:type="dxa" w:w="48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color w:val="000000"/>
                      <w:shd w:fill="FFFFFF" w:val="clear"/>
                    </w:rPr>
                    <w:t>是</w:t>
                  </w:r>
                </w:p>
              </w:tc>
            </w:tr>
            <w:tr>
              <w:tc>
                <w:tcPr>
                  <w:tcW w:type="dxa" w:w="6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color w:val="000000"/>
                      <w:shd w:fill="FFFFFF" w:val="clear"/>
                    </w:rPr>
                    <w:t>数量</w:t>
                  </w:r>
                </w:p>
              </w:tc>
              <w:tc>
                <w:tcPr>
                  <w:tcW w:type="dxa" w:w="6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color w:val="000000"/>
                    </w:rPr>
                    <w:t>2</w:t>
                  </w:r>
                </w:p>
              </w:tc>
              <w:tc>
                <w:tcPr>
                  <w:tcW w:type="dxa" w:w="74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color w:val="000000"/>
                      <w:shd w:fill="FFFFFF" w:val="clear"/>
                    </w:rPr>
                    <w:t>单位</w:t>
                  </w:r>
                </w:p>
              </w:tc>
              <w:tc>
                <w:tcPr>
                  <w:tcW w:type="dxa" w:w="48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color w:val="000000"/>
                    </w:rPr>
                    <w:t>套</w:t>
                  </w:r>
                </w:p>
              </w:tc>
            </w:tr>
          </w:tbl>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尺寸与分辨率：</w:t>
            </w:r>
            <w:r>
              <w:rPr>
                <w:rFonts w:ascii="仿宋_GB2312" w:hAnsi="仿宋_GB2312" w:cs="仿宋_GB2312" w:eastAsia="仿宋_GB2312"/>
                <w:sz w:val="20"/>
                <w:color w:val="000000"/>
              </w:rPr>
              <w:t>65英寸，3840×2160 (4K)。</w:t>
            </w:r>
          </w:p>
          <w:p>
            <w:pPr>
              <w:pStyle w:val="null3"/>
              <w:jc w:val="left"/>
            </w:pPr>
            <w:r>
              <w:rPr>
                <w:rFonts w:ascii="仿宋_GB2312" w:hAnsi="仿宋_GB2312" w:cs="仿宋_GB2312" w:eastAsia="仿宋_GB2312"/>
                <w:sz w:val="20"/>
                <w:color w:val="000000"/>
              </w:rPr>
              <w:t>核心接口：</w:t>
            </w:r>
            <w:r>
              <w:rPr>
                <w:rFonts w:ascii="仿宋_GB2312" w:hAnsi="仿宋_GB2312" w:cs="仿宋_GB2312" w:eastAsia="仿宋_GB2312"/>
                <w:sz w:val="20"/>
                <w:color w:val="000000"/>
              </w:rPr>
              <w:t>≥2个HDMI输入，支持基本音频输出或同轴输出。</w:t>
            </w:r>
          </w:p>
          <w:p>
            <w:pPr>
              <w:pStyle w:val="null3"/>
              <w:jc w:val="left"/>
            </w:pPr>
            <w:r>
              <w:rPr>
                <w:rFonts w:ascii="仿宋_GB2312" w:hAnsi="仿宋_GB2312" w:cs="仿宋_GB2312" w:eastAsia="仿宋_GB2312"/>
                <w:sz w:val="20"/>
                <w:color w:val="000000"/>
              </w:rPr>
              <w:t>显示性能：可视角度</w:t>
            </w:r>
            <w:r>
              <w:rPr>
                <w:rFonts w:ascii="仿宋_GB2312" w:hAnsi="仿宋_GB2312" w:cs="仿宋_GB2312" w:eastAsia="仿宋_GB2312"/>
                <w:sz w:val="20"/>
                <w:color w:val="000000"/>
              </w:rPr>
              <w:t>≥178°。</w:t>
            </w:r>
          </w:p>
          <w:p>
            <w:pPr>
              <w:pStyle w:val="null3"/>
              <w:jc w:val="left"/>
            </w:pPr>
            <w:r>
              <w:rPr>
                <w:rFonts w:ascii="仿宋_GB2312" w:hAnsi="仿宋_GB2312" w:cs="仿宋_GB2312" w:eastAsia="仿宋_GB2312"/>
                <w:sz w:val="20"/>
                <w:color w:val="000000"/>
              </w:rPr>
              <w:t>基础功能：支持壁挂，配套：原装遥控器。</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带倾角调节功能的壁挂支架（核心）。倾角调节：支持向下倾斜</w:t>
            </w:r>
            <w:r>
              <w:rPr>
                <w:rFonts w:ascii="仿宋_GB2312" w:hAnsi="仿宋_GB2312" w:cs="仿宋_GB2312" w:eastAsia="仿宋_GB2312"/>
                <w:sz w:val="20"/>
                <w:color w:val="000000"/>
              </w:rPr>
              <w:t>≥15°。</w:t>
            </w:r>
          </w:p>
          <w:p>
            <w:pPr>
              <w:pStyle w:val="null3"/>
              <w:jc w:val="left"/>
            </w:pPr>
            <w:r>
              <w:rPr>
                <w:rFonts w:ascii="仿宋_GB2312" w:hAnsi="仿宋_GB2312" w:cs="仿宋_GB2312" w:eastAsia="仿宋_GB2312"/>
                <w:sz w:val="20"/>
                <w:color w:val="000000"/>
              </w:rPr>
              <w:t>承重能力：</w:t>
            </w:r>
            <w:r>
              <w:rPr>
                <w:rFonts w:ascii="仿宋_GB2312" w:hAnsi="仿宋_GB2312" w:cs="仿宋_GB2312" w:eastAsia="仿宋_GB2312"/>
                <w:sz w:val="20"/>
                <w:color w:val="000000"/>
              </w:rPr>
              <w:t>≥50kg。</w:t>
            </w:r>
          </w:p>
          <w:p>
            <w:pPr>
              <w:pStyle w:val="null3"/>
              <w:jc w:val="left"/>
            </w:pPr>
            <w:r>
              <w:rPr>
                <w:rFonts w:ascii="仿宋_GB2312" w:hAnsi="仿宋_GB2312" w:cs="仿宋_GB2312" w:eastAsia="仿宋_GB2312"/>
                <w:sz w:val="20"/>
                <w:color w:val="000000"/>
              </w:rPr>
              <w:t>基础调节：支持水平微调，以辅助安装对位。</w:t>
            </w:r>
          </w:p>
          <w:p>
            <w:pPr>
              <w:pStyle w:val="null3"/>
              <w:jc w:val="left"/>
            </w:pPr>
            <w:r>
              <w:rPr>
                <w:rFonts w:ascii="仿宋_GB2312" w:hAnsi="仿宋_GB2312" w:cs="仿宋_GB2312" w:eastAsia="仿宋_GB2312"/>
                <w:sz w:val="20"/>
                <w:color w:val="000000"/>
              </w:rPr>
              <w:t>材质工艺：采用冷轧钢板，防锈处理，配备防脱落安全锁扣。</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现场墙体勘测，确保墙体承重。</w:t>
            </w:r>
          </w:p>
          <w:p>
            <w:pPr>
              <w:pStyle w:val="null3"/>
              <w:jc w:val="left"/>
            </w:pPr>
            <w:r>
              <w:rPr>
                <w:rFonts w:ascii="仿宋_GB2312" w:hAnsi="仿宋_GB2312" w:cs="仿宋_GB2312" w:eastAsia="仿宋_GB2312"/>
                <w:sz w:val="20"/>
                <w:color w:val="000000"/>
              </w:rPr>
              <w:t>完成电视壁挂安装。</w:t>
            </w:r>
          </w:p>
          <w:p>
            <w:pPr>
              <w:pStyle w:val="null3"/>
              <w:jc w:val="left"/>
            </w:pPr>
            <w:r>
              <w:rPr>
                <w:rFonts w:ascii="仿宋_GB2312" w:hAnsi="仿宋_GB2312" w:cs="仿宋_GB2312" w:eastAsia="仿宋_GB2312"/>
                <w:sz w:val="20"/>
                <w:color w:val="000000"/>
              </w:rPr>
              <w:t>布设</w:t>
            </w:r>
            <w:r>
              <w:rPr>
                <w:rFonts w:ascii="仿宋_GB2312" w:hAnsi="仿宋_GB2312" w:cs="仿宋_GB2312" w:eastAsia="仿宋_GB2312"/>
                <w:sz w:val="20"/>
                <w:color w:val="000000"/>
              </w:rPr>
              <w:t>HDMI线缆，接入教室多媒体系统。</w:t>
            </w:r>
          </w:p>
          <w:p>
            <w:pPr>
              <w:pStyle w:val="null3"/>
            </w:pPr>
            <w:r>
              <w:rPr>
                <w:rFonts w:ascii="仿宋_GB2312" w:hAnsi="仿宋_GB2312" w:cs="仿宋_GB2312" w:eastAsia="仿宋_GB2312"/>
                <w:sz w:val="20"/>
              </w:rPr>
              <w:t>★</w:t>
            </w:r>
            <w:r>
              <w:rPr>
                <w:rFonts w:ascii="仿宋_GB2312" w:hAnsi="仿宋_GB2312" w:cs="仿宋_GB2312" w:eastAsia="仿宋_GB2312"/>
                <w:sz w:val="20"/>
              </w:rPr>
              <w:t>4、电视设备为强制节能产品，需提供有效节能认证。</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Ind w:type="dxa" w:w="45"/>
              <w:tblBorders>
                <w:top w:val="none" w:color="000000" w:sz="4"/>
                <w:left w:val="none" w:color="000000" w:sz="4"/>
                <w:bottom w:val="none" w:color="000000" w:sz="4"/>
                <w:right w:val="none" w:color="000000" w:sz="4"/>
                <w:insideH w:val="none"/>
                <w:insideV w:val="none"/>
              </w:tblBorders>
            </w:tblPr>
            <w:tblGrid>
              <w:gridCol w:w="657"/>
              <w:gridCol w:w="657"/>
              <w:gridCol w:w="742"/>
              <w:gridCol w:w="486"/>
            </w:tblGrid>
            <w:tr>
              <w:tc>
                <w:tcPr>
                  <w:tcW w:type="dxa" w:w="65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color w:val="000000"/>
                      <w:shd w:fill="FFFFFF" w:val="clear"/>
                    </w:rPr>
                    <w:t>采购品目</w:t>
                  </w:r>
                  <w:r>
                    <w:rPr>
                      <w:rFonts w:ascii="仿宋_GB2312" w:hAnsi="仿宋_GB2312" w:cs="仿宋_GB2312" w:eastAsia="仿宋_GB2312"/>
                      <w:sz w:val="20"/>
                      <w:b/>
                      <w:color w:val="000000"/>
                      <w:shd w:fill="FFFFFF" w:val="clear"/>
                    </w:rPr>
                    <w:t>7</w:t>
                  </w:r>
                </w:p>
                <w:p>
                  <w:pPr>
                    <w:pStyle w:val="null3"/>
                  </w:pPr>
                  <w:r>
                    <w:rPr>
                      <w:rFonts w:ascii="仿宋_GB2312" w:hAnsi="仿宋_GB2312" w:cs="仿宋_GB2312" w:eastAsia="仿宋_GB2312"/>
                      <w:sz w:val="19"/>
                    </w:rPr>
                    <w:t xml:space="preserve"> </w:t>
                  </w:r>
                </w:p>
              </w:tc>
              <w:tc>
                <w:tcPr>
                  <w:tcW w:type="dxa" w:w="65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color w:val="000000"/>
                      <w:shd w:fill="FFFFFF" w:val="clear"/>
                    </w:rPr>
                    <w:t>多媒体讲台</w:t>
                  </w:r>
                </w:p>
              </w:tc>
              <w:tc>
                <w:tcPr>
                  <w:tcW w:type="dxa" w:w="74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color w:val="000000"/>
                      <w:shd w:fill="FFFFFF" w:val="clear"/>
                    </w:rPr>
                    <w:t>是否采购节能产品</w:t>
                  </w:r>
                </w:p>
              </w:tc>
              <w:tc>
                <w:tcPr>
                  <w:tcW w:type="dxa" w:w="48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color w:val="000000"/>
                      <w:u w:val="single"/>
                      <w:shd w:fill="FFFFFF" w:val="clear"/>
                    </w:rPr>
                    <w:t>否</w:t>
                  </w:r>
                </w:p>
              </w:tc>
            </w:tr>
            <w:tr>
              <w:tc>
                <w:tcPr>
                  <w:tcW w:type="dxa" w:w="6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color w:val="000000"/>
                      <w:shd w:fill="FFFFFF" w:val="clear"/>
                    </w:rPr>
                    <w:t>数量</w:t>
                  </w:r>
                </w:p>
              </w:tc>
              <w:tc>
                <w:tcPr>
                  <w:tcW w:type="dxa" w:w="6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color w:val="000000"/>
                      <w:u w:val="single"/>
                    </w:rPr>
                    <w:t>1</w:t>
                  </w:r>
                </w:p>
              </w:tc>
              <w:tc>
                <w:tcPr>
                  <w:tcW w:type="dxa" w:w="74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color w:val="000000"/>
                      <w:shd w:fill="FFFFFF" w:val="clear"/>
                    </w:rPr>
                    <w:t>单位</w:t>
                  </w:r>
                </w:p>
              </w:tc>
              <w:tc>
                <w:tcPr>
                  <w:tcW w:type="dxa" w:w="4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color w:val="000000"/>
                      <w:u w:val="single"/>
                    </w:rPr>
                    <w:t>套</w:t>
                  </w:r>
                </w:p>
              </w:tc>
            </w:tr>
          </w:tbl>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支持安装</w:t>
            </w:r>
            <w:r>
              <w:rPr>
                <w:rFonts w:ascii="仿宋_GB2312" w:hAnsi="仿宋_GB2312" w:cs="仿宋_GB2312" w:eastAsia="仿宋_GB2312"/>
                <w:sz w:val="20"/>
                <w:color w:val="000000"/>
              </w:rPr>
              <w:t>27英寸 显示器（朝上掀盖/翻转式）</w:t>
            </w:r>
          </w:p>
          <w:p>
            <w:pPr>
              <w:pStyle w:val="null3"/>
              <w:jc w:val="left"/>
            </w:pPr>
            <w:r>
              <w:rPr>
                <w:rFonts w:ascii="仿宋_GB2312" w:hAnsi="仿宋_GB2312" w:cs="仿宋_GB2312" w:eastAsia="仿宋_GB2312"/>
                <w:sz w:val="20"/>
                <w:color w:val="000000"/>
              </w:rPr>
              <w:t>2、内嵌多媒体中央控制系统，具备</w:t>
            </w:r>
            <w:r>
              <w:rPr>
                <w:rFonts w:ascii="仿宋_GB2312" w:hAnsi="仿宋_GB2312" w:cs="仿宋_GB2312" w:eastAsia="仿宋_GB2312"/>
                <w:sz w:val="20"/>
                <w:color w:val="000000"/>
              </w:rPr>
              <w:t>“一键上课/下课”功能，可集中控制投影、屏幕、音量等设备；</w:t>
            </w:r>
          </w:p>
          <w:p>
            <w:pPr>
              <w:pStyle w:val="null3"/>
              <w:jc w:val="left"/>
            </w:pPr>
            <w:r>
              <w:rPr>
                <w:rFonts w:ascii="仿宋_GB2312" w:hAnsi="仿宋_GB2312" w:cs="仿宋_GB2312" w:eastAsia="仿宋_GB2312"/>
                <w:sz w:val="20"/>
                <w:color w:val="000000"/>
              </w:rPr>
              <w:t>3、内置</w:t>
            </w:r>
            <w:r>
              <w:rPr>
                <w:rFonts w:ascii="仿宋_GB2312" w:hAnsi="仿宋_GB2312" w:cs="仿宋_GB2312" w:eastAsia="仿宋_GB2312"/>
                <w:sz w:val="20"/>
                <w:color w:val="000000"/>
              </w:rPr>
              <w:t>HDMI切换矩阵，支持 ≥3路输入、≥3路输出，可实现台式电脑、笔记本等多路信号一键切换至投影仪</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4、台面预留笔记本接入接口（</w:t>
            </w:r>
            <w:r>
              <w:rPr>
                <w:rFonts w:ascii="仿宋_GB2312" w:hAnsi="仿宋_GB2312" w:cs="仿宋_GB2312" w:eastAsia="仿宋_GB2312"/>
                <w:sz w:val="20"/>
                <w:color w:val="000000"/>
              </w:rPr>
              <w:t>HDMI、USB、网口），讲台内置≥4口千兆交换机，≥2路RS232控制接口</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54"/>
              <w:gridCol w:w="637"/>
              <w:gridCol w:w="754"/>
              <w:gridCol w:w="602"/>
            </w:tblGrid>
            <w:tr>
              <w:tc>
                <w:tcPr>
                  <w:tcW w:type="dxa" w:w="5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b/>
                      <w:color w:val="000000"/>
                      <w:shd w:fill="FFFFFF" w:val="clear"/>
                    </w:rPr>
                    <w:t>采购品目</w:t>
                  </w:r>
                  <w:r>
                    <w:rPr>
                      <w:rFonts w:ascii="仿宋_GB2312" w:hAnsi="仿宋_GB2312" w:cs="仿宋_GB2312" w:eastAsia="仿宋_GB2312"/>
                      <w:sz w:val="20"/>
                      <w:b/>
                      <w:color w:val="000000"/>
                      <w:shd w:fill="FFFFFF" w:val="clear"/>
                    </w:rPr>
                    <w:t>8</w:t>
                  </w:r>
                </w:p>
                <w:p>
                  <w:pPr>
                    <w:pStyle w:val="null3"/>
                  </w:pPr>
                  <w:r>
                    <w:rPr>
                      <w:rFonts w:ascii="仿宋_GB2312" w:hAnsi="仿宋_GB2312" w:cs="仿宋_GB2312" w:eastAsia="仿宋_GB2312"/>
                    </w:rPr>
                    <w:t xml:space="preserve"> </w:t>
                  </w:r>
                </w:p>
              </w:tc>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工作站统一管理平台</w:t>
                  </w:r>
                </w:p>
              </w:tc>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b/>
                      <w:color w:val="000000"/>
                      <w:shd w:fill="FFFFFF" w:val="clear"/>
                    </w:rPr>
                    <w:t>是否采购节能产品</w:t>
                  </w:r>
                </w:p>
              </w:tc>
              <w:tc>
                <w:tcPr>
                  <w:tcW w:type="dxa" w:w="6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color w:val="000000"/>
                      <w:u w:val="single"/>
                    </w:rPr>
                    <w:t>否</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b/>
                      <w:color w:val="000000"/>
                      <w:shd w:fill="FFFFFF" w:val="clear"/>
                    </w:rPr>
                    <w:t>数量</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color w:val="000000"/>
                      <w:u w:val="single"/>
                    </w:rPr>
                    <w:t>1</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b/>
                      <w:color w:val="000000"/>
                      <w:shd w:fill="FFFFFF" w:val="clear"/>
                    </w:rPr>
                    <w:t>单位</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u w:val="single"/>
                    </w:rPr>
                    <w:t>套</w:t>
                  </w:r>
                </w:p>
              </w:tc>
            </w:tr>
          </w:tbl>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管理员可以对在线终端统一进行还原、维护、升级等桌面策略类型的切换操作；管理员可以对在线的同规格的多系统终端统一进行桌面切换操作；</w:t>
            </w:r>
          </w:p>
          <w:p>
            <w:pPr>
              <w:pStyle w:val="null3"/>
              <w:jc w:val="left"/>
            </w:pPr>
            <w:r>
              <w:rPr>
                <w:rFonts w:ascii="仿宋_GB2312" w:hAnsi="仿宋_GB2312" w:cs="仿宋_GB2312" w:eastAsia="仿宋_GB2312"/>
                <w:sz w:val="20"/>
              </w:rPr>
              <w:t>2、系统同传与断点续传：支持网络同传功能，可根据发送端数据自动判断需传输的数据量，支持断电和断点续传（网络中断后可从断点继续传输）；</w:t>
            </w:r>
          </w:p>
          <w:p>
            <w:pPr>
              <w:pStyle w:val="null3"/>
              <w:jc w:val="left"/>
            </w:pPr>
            <w:r>
              <w:rPr>
                <w:rFonts w:ascii="仿宋_GB2312" w:hAnsi="仿宋_GB2312" w:cs="仿宋_GB2312" w:eastAsia="仿宋_GB2312"/>
                <w:sz w:val="20"/>
              </w:rPr>
              <w:t>3、多点还原：支持树状多点还原技术，最高支持创建不少于</w:t>
            </w:r>
            <w:r>
              <w:rPr>
                <w:rFonts w:ascii="仿宋_GB2312" w:hAnsi="仿宋_GB2312" w:cs="仿宋_GB2312" w:eastAsia="仿宋_GB2312"/>
                <w:sz w:val="20"/>
              </w:rPr>
              <w:t>256个还原点，每个还原点可各自独立；支持对系统盘、数据盘单独设置还原策略（包括不还原、每次开机还原、每天还原、每周还原、每月还原）</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多媒体教学（电子教室功能）：屏幕广播支持将教师机画面实时广播至全体或指定学生；支持学生演示、分组教学、文件分发与作业提交</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远程监控与控制：教师端可远程监看所有学生机屏幕画面（多画面实时显示），并将某一学生机画面推送至全体学生机，支持远程控制学生端电脑、远程锁定学生机键盘</w:t>
            </w:r>
            <w:r>
              <w:rPr>
                <w:rFonts w:ascii="仿宋_GB2312" w:hAnsi="仿宋_GB2312" w:cs="仿宋_GB2312" w:eastAsia="仿宋_GB2312"/>
                <w:sz w:val="20"/>
              </w:rPr>
              <w:t>/鼠标/USB接口</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网络控制与行为管理：支持黑屏肃静（一键锁定所有学生屏幕）、禁止上网、程序限制、网址黑白名单过滤、断网自动锁屏等课堂纪律管控功能</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操作系统兼容性：兼容</w:t>
            </w:r>
            <w:r>
              <w:rPr>
                <w:rFonts w:ascii="仿宋_GB2312" w:hAnsi="仿宋_GB2312" w:cs="仿宋_GB2312" w:eastAsia="仿宋_GB2312"/>
                <w:sz w:val="20"/>
              </w:rPr>
              <w:t>Windows 10/11专业版、统信UOS、银河麒麟等主流操作系统；支持跨网段部署</w:t>
            </w:r>
            <w:r>
              <w:rPr>
                <w:rFonts w:ascii="仿宋_GB2312" w:hAnsi="仿宋_GB2312" w:cs="仿宋_GB2312" w:eastAsia="仿宋_GB2312"/>
                <w:sz w:val="20"/>
              </w:rPr>
              <w:t>；</w:t>
            </w:r>
          </w:p>
          <w:p>
            <w:pPr>
              <w:pStyle w:val="null3"/>
            </w:pPr>
            <w:r>
              <w:rPr>
                <w:rFonts w:ascii="仿宋_GB2312" w:hAnsi="仿宋_GB2312" w:cs="仿宋_GB2312" w:eastAsia="仿宋_GB2312"/>
                <w:sz w:val="20"/>
              </w:rPr>
              <w:t>8、</w:t>
            </w:r>
            <w:r>
              <w:rPr>
                <w:rFonts w:ascii="仿宋_GB2312" w:hAnsi="仿宋_GB2312" w:cs="仿宋_GB2312" w:eastAsia="仿宋_GB2312"/>
                <w:sz w:val="20"/>
              </w:rPr>
              <w:t>产品资质：提供所投软件的软件著作权证书及正版授权证明；供应商须提供不少于</w:t>
            </w:r>
            <w:r>
              <w:rPr>
                <w:rFonts w:ascii="仿宋_GB2312" w:hAnsi="仿宋_GB2312" w:cs="仿宋_GB2312" w:eastAsia="仿宋_GB2312"/>
                <w:sz w:val="20"/>
              </w:rPr>
              <w:t>2年免费升级及技术支持服务；须承诺交付时完成平台安装部署及所有终端的接入配置</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tbl>
            <w:tblPr>
              <w:tblInd w:type="dxa" w:w="45"/>
              <w:tblBorders>
                <w:top w:val="none" w:color="000000" w:sz="4"/>
                <w:left w:val="none" w:color="000000" w:sz="4"/>
                <w:bottom w:val="none" w:color="000000" w:sz="4"/>
                <w:right w:val="none" w:color="000000" w:sz="4"/>
                <w:insideH w:val="none"/>
                <w:insideV w:val="none"/>
              </w:tblBorders>
            </w:tblPr>
            <w:tblGrid>
              <w:gridCol w:w="657"/>
              <w:gridCol w:w="657"/>
              <w:gridCol w:w="742"/>
              <w:gridCol w:w="482"/>
            </w:tblGrid>
            <w:tr>
              <w:tc>
                <w:tcPr>
                  <w:tcW w:type="dxa" w:w="65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color w:val="000000"/>
                      <w:shd w:fill="FFFFFF" w:val="clear"/>
                    </w:rPr>
                    <w:t>采购品目</w:t>
                  </w:r>
                  <w:r>
                    <w:rPr>
                      <w:rFonts w:ascii="仿宋_GB2312" w:hAnsi="仿宋_GB2312" w:cs="仿宋_GB2312" w:eastAsia="仿宋_GB2312"/>
                      <w:sz w:val="20"/>
                      <w:b/>
                      <w:color w:val="000000"/>
                      <w:shd w:fill="FFFFFF" w:val="clear"/>
                    </w:rPr>
                    <w:t>9</w:t>
                  </w:r>
                </w:p>
                <w:p>
                  <w:pPr>
                    <w:pStyle w:val="null3"/>
                  </w:pPr>
                  <w:r>
                    <w:rPr>
                      <w:rFonts w:ascii="仿宋_GB2312" w:hAnsi="仿宋_GB2312" w:cs="仿宋_GB2312" w:eastAsia="仿宋_GB2312"/>
                      <w:sz w:val="19"/>
                    </w:rPr>
                    <w:t xml:space="preserve"> </w:t>
                  </w:r>
                </w:p>
              </w:tc>
              <w:tc>
                <w:tcPr>
                  <w:tcW w:type="dxa" w:w="65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color w:val="000000"/>
                      <w:shd w:fill="FFFFFF" w:val="clear"/>
                    </w:rPr>
                    <w:t>文件柜</w:t>
                  </w:r>
                </w:p>
              </w:tc>
              <w:tc>
                <w:tcPr>
                  <w:tcW w:type="dxa" w:w="74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color w:val="000000"/>
                      <w:shd w:fill="FFFFFF" w:val="clear"/>
                    </w:rPr>
                    <w:t>是否采购节能产品</w:t>
                  </w:r>
                </w:p>
              </w:tc>
              <w:tc>
                <w:tcPr>
                  <w:tcW w:type="dxa" w:w="48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color w:val="000000"/>
                      <w:u w:val="single"/>
                      <w:shd w:fill="FFFFFF" w:val="clear"/>
                    </w:rPr>
                    <w:t>否</w:t>
                  </w:r>
                </w:p>
              </w:tc>
            </w:tr>
            <w:tr>
              <w:tc>
                <w:tcPr>
                  <w:tcW w:type="dxa" w:w="6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color w:val="000000"/>
                      <w:shd w:fill="FFFFFF" w:val="clear"/>
                    </w:rPr>
                    <w:t>数量</w:t>
                  </w:r>
                </w:p>
              </w:tc>
              <w:tc>
                <w:tcPr>
                  <w:tcW w:type="dxa" w:w="6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color w:val="000000"/>
                      <w:u w:val="single"/>
                    </w:rPr>
                    <w:t>5</w:t>
                  </w:r>
                </w:p>
              </w:tc>
              <w:tc>
                <w:tcPr>
                  <w:tcW w:type="dxa" w:w="74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color w:val="000000"/>
                      <w:shd w:fill="FFFFFF" w:val="clear"/>
                    </w:rPr>
                    <w:t>单位</w:t>
                  </w:r>
                </w:p>
              </w:tc>
              <w:tc>
                <w:tcPr>
                  <w:tcW w:type="dxa" w:w="48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color w:val="000000"/>
                      <w:u w:val="single"/>
                    </w:rPr>
                    <w:t>套</w:t>
                  </w:r>
                </w:p>
              </w:tc>
            </w:tr>
          </w:tbl>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高度</w:t>
            </w:r>
            <w:r>
              <w:rPr>
                <w:rFonts w:ascii="仿宋_GB2312" w:hAnsi="仿宋_GB2312" w:cs="仿宋_GB2312" w:eastAsia="仿宋_GB2312"/>
                <w:sz w:val="20"/>
                <w:color w:val="000000"/>
              </w:rPr>
              <w:t>900-1100mm，宽度800-1000mm，深度400mm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单节柜采用对开门设计，门板钢板厚度</w:t>
            </w:r>
            <w:r>
              <w:rPr>
                <w:rFonts w:ascii="仿宋_GB2312" w:hAnsi="仿宋_GB2312" w:cs="仿宋_GB2312" w:eastAsia="仿宋_GB2312"/>
                <w:sz w:val="20"/>
                <w:color w:val="000000"/>
              </w:rPr>
              <w:t>≥0.8mm，采用优质合页或铰链连接</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每节柜内置</w:t>
            </w:r>
            <w:r>
              <w:rPr>
                <w:rFonts w:ascii="仿宋_GB2312" w:hAnsi="仿宋_GB2312" w:cs="仿宋_GB2312" w:eastAsia="仿宋_GB2312"/>
                <w:sz w:val="20"/>
                <w:color w:val="000000"/>
              </w:rPr>
              <w:t>≥2块活动层板，层板钢板厚度≥1.0mm，折弯加强；层板承重≥35kg</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tbl>
            <w:tblPr>
              <w:tblInd w:type="dxa" w:w="45"/>
              <w:tblBorders>
                <w:top w:val="none" w:color="000000" w:sz="4"/>
                <w:left w:val="none" w:color="000000" w:sz="4"/>
                <w:bottom w:val="none" w:color="000000" w:sz="4"/>
                <w:right w:val="none" w:color="000000" w:sz="4"/>
                <w:insideH w:val="none"/>
                <w:insideV w:val="none"/>
              </w:tblBorders>
            </w:tblPr>
            <w:tblGrid>
              <w:gridCol w:w="656"/>
              <w:gridCol w:w="660"/>
              <w:gridCol w:w="740"/>
              <w:gridCol w:w="486"/>
            </w:tblGrid>
            <w:tr>
              <w:tc>
                <w:tcPr>
                  <w:tcW w:type="dxa" w:w="65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color w:val="000000"/>
                      <w:shd w:fill="FFFFFF" w:val="clear"/>
                    </w:rPr>
                    <w:t>采购品目</w:t>
                  </w:r>
                  <w:r>
                    <w:rPr>
                      <w:rFonts w:ascii="仿宋_GB2312" w:hAnsi="仿宋_GB2312" w:cs="仿宋_GB2312" w:eastAsia="仿宋_GB2312"/>
                      <w:sz w:val="20"/>
                      <w:b/>
                      <w:color w:val="000000"/>
                      <w:shd w:fill="FFFFFF" w:val="clear"/>
                    </w:rPr>
                    <w:t>10</w:t>
                  </w:r>
                </w:p>
                <w:p>
                  <w:pPr>
                    <w:pStyle w:val="null3"/>
                  </w:pPr>
                  <w:r>
                    <w:rPr>
                      <w:rFonts w:ascii="仿宋_GB2312" w:hAnsi="仿宋_GB2312" w:cs="仿宋_GB2312" w:eastAsia="仿宋_GB2312"/>
                      <w:sz w:val="19"/>
                    </w:rPr>
                    <w:t xml:space="preserve"> </w:t>
                  </w:r>
                </w:p>
              </w:tc>
              <w:tc>
                <w:tcPr>
                  <w:tcW w:type="dxa" w:w="660"/>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color w:val="000000"/>
                      <w:shd w:fill="FFFFFF" w:val="clear"/>
                    </w:rPr>
                    <w:t>磁吸白板</w:t>
                  </w:r>
                </w:p>
              </w:tc>
              <w:tc>
                <w:tcPr>
                  <w:tcW w:type="dxa" w:w="740"/>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color w:val="000000"/>
                      <w:shd w:fill="FFFFFF" w:val="clear"/>
                    </w:rPr>
                    <w:t>是否采购节能产品</w:t>
                  </w:r>
                </w:p>
              </w:tc>
              <w:tc>
                <w:tcPr>
                  <w:tcW w:type="dxa" w:w="48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color w:val="000000"/>
                      <w:u w:val="single"/>
                      <w:shd w:fill="FFFFFF" w:val="clear"/>
                    </w:rPr>
                    <w:t>否</w:t>
                  </w:r>
                </w:p>
              </w:tc>
            </w:tr>
            <w:tr>
              <w:tc>
                <w:tcPr>
                  <w:tcW w:type="dxa" w:w="6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color w:val="000000"/>
                      <w:shd w:fill="FFFFFF" w:val="clear"/>
                    </w:rPr>
                    <w:t>数量</w:t>
                  </w:r>
                </w:p>
              </w:tc>
              <w:tc>
                <w:tcPr>
                  <w:tcW w:type="dxa" w:w="66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color w:val="000000"/>
                      <w:u w:val="single"/>
                    </w:rPr>
                    <w:t>1</w:t>
                  </w:r>
                </w:p>
              </w:tc>
              <w:tc>
                <w:tcPr>
                  <w:tcW w:type="dxa" w:w="74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color w:val="000000"/>
                      <w:shd w:fill="FFFFFF" w:val="clear"/>
                    </w:rPr>
                    <w:t>单位</w:t>
                  </w:r>
                </w:p>
              </w:tc>
              <w:tc>
                <w:tcPr>
                  <w:tcW w:type="dxa" w:w="4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color w:val="000000"/>
                      <w:u w:val="single"/>
                    </w:rPr>
                    <w:t>套</w:t>
                  </w:r>
                </w:p>
              </w:tc>
            </w:tr>
          </w:tbl>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长</w:t>
            </w:r>
            <w:r>
              <w:rPr>
                <w:rFonts w:ascii="仿宋_GB2312" w:hAnsi="仿宋_GB2312" w:cs="仿宋_GB2312" w:eastAsia="仿宋_GB2312"/>
                <w:sz w:val="20"/>
                <w:color w:val="000000"/>
              </w:rPr>
              <w:t>120-150cm，宽100-120cm，加粗s型支架，超白钢化玻璃，四周圆角，配白板笔≥10支和无磁板擦。</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tbl>
            <w:tblPr>
              <w:tblInd w:type="dxa" w:w="45"/>
              <w:tblBorders>
                <w:top w:val="none" w:color="000000" w:sz="4"/>
                <w:left w:val="none" w:color="000000" w:sz="4"/>
                <w:bottom w:val="none" w:color="000000" w:sz="4"/>
                <w:right w:val="none" w:color="000000" w:sz="4"/>
                <w:insideH w:val="none"/>
                <w:insideV w:val="none"/>
              </w:tblBorders>
            </w:tblPr>
            <w:tblGrid>
              <w:gridCol w:w="654"/>
              <w:gridCol w:w="575"/>
              <w:gridCol w:w="822"/>
              <w:gridCol w:w="491"/>
            </w:tblGrid>
            <w:tr>
              <w:tc>
                <w:tcPr>
                  <w:tcW w:type="dxa" w:w="654"/>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color w:val="000000"/>
                      <w:shd w:fill="FFFFFF" w:val="clear"/>
                    </w:rPr>
                    <w:t>采购品目</w:t>
                  </w:r>
                  <w:r>
                    <w:rPr>
                      <w:rFonts w:ascii="仿宋_GB2312" w:hAnsi="仿宋_GB2312" w:cs="仿宋_GB2312" w:eastAsia="仿宋_GB2312"/>
                      <w:sz w:val="20"/>
                      <w:b/>
                      <w:color w:val="000000"/>
                      <w:shd w:fill="FFFFFF" w:val="clear"/>
                    </w:rPr>
                    <w:t>11</w:t>
                  </w:r>
                </w:p>
                <w:p>
                  <w:pPr>
                    <w:pStyle w:val="null3"/>
                  </w:pPr>
                  <w:r>
                    <w:rPr>
                      <w:rFonts w:ascii="仿宋_GB2312" w:hAnsi="仿宋_GB2312" w:cs="仿宋_GB2312" w:eastAsia="仿宋_GB2312"/>
                      <w:sz w:val="19"/>
                    </w:rPr>
                    <w:t xml:space="preserve"> </w:t>
                  </w:r>
                </w:p>
              </w:tc>
              <w:tc>
                <w:tcPr>
                  <w:tcW w:type="dxa" w:w="57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color w:val="000000"/>
                      <w:shd w:fill="FFFFFF" w:val="clear"/>
                    </w:rPr>
                    <w:t>交换机及网络布线</w:t>
                  </w:r>
                </w:p>
              </w:tc>
              <w:tc>
                <w:tcPr>
                  <w:tcW w:type="dxa" w:w="82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color w:val="000000"/>
                      <w:shd w:fill="FFFFFF" w:val="clear"/>
                    </w:rPr>
                    <w:t>是否采购节能产品</w:t>
                  </w:r>
                </w:p>
              </w:tc>
              <w:tc>
                <w:tcPr>
                  <w:tcW w:type="dxa" w:w="49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color w:val="000000"/>
                      <w:u w:val="single"/>
                      <w:shd w:fill="FFFFFF" w:val="clear"/>
                    </w:rPr>
                    <w:t>否</w:t>
                  </w:r>
                </w:p>
              </w:tc>
            </w:tr>
            <w:tr>
              <w:tc>
                <w:tcPr>
                  <w:tcW w:type="dxa" w:w="65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color w:val="000000"/>
                      <w:shd w:fill="FFFFFF" w:val="clear"/>
                    </w:rPr>
                    <w:t>数量</w:t>
                  </w:r>
                </w:p>
              </w:tc>
              <w:tc>
                <w:tcPr>
                  <w:tcW w:type="dxa" w:w="57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color w:val="000000"/>
                      <w:u w:val="single"/>
                    </w:rPr>
                    <w:t>1</w:t>
                  </w:r>
                </w:p>
              </w:tc>
              <w:tc>
                <w:tcPr>
                  <w:tcW w:type="dxa" w:w="8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color w:val="000000"/>
                      <w:shd w:fill="FFFFFF" w:val="clear"/>
                    </w:rPr>
                    <w:t>单位</w:t>
                  </w:r>
                </w:p>
              </w:tc>
              <w:tc>
                <w:tcPr>
                  <w:tcW w:type="dxa" w:w="4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color w:val="000000"/>
                      <w:u w:val="single"/>
                    </w:rPr>
                    <w:t>套</w:t>
                  </w:r>
                </w:p>
              </w:tc>
            </w:tr>
          </w:tbl>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配置</w:t>
            </w:r>
            <w:r>
              <w:rPr>
                <w:rFonts w:ascii="仿宋_GB2312" w:hAnsi="仿宋_GB2312" w:cs="仿宋_GB2312" w:eastAsia="仿宋_GB2312"/>
                <w:sz w:val="20"/>
                <w:color w:val="000000"/>
              </w:rPr>
              <w:t>1个≥48口的10/100/1000M自适应以太网交换机，并完成机柜内安装接线。</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布好实训室教学网。教学网需连接所有工作站和实训室其他既有设备，并实现数据交互；网线与电源线须分开布设，间距</w:t>
            </w:r>
            <w:r>
              <w:rPr>
                <w:rFonts w:ascii="仿宋_GB2312" w:hAnsi="仿宋_GB2312" w:cs="仿宋_GB2312" w:eastAsia="仿宋_GB2312"/>
                <w:sz w:val="20"/>
                <w:color w:val="000000"/>
              </w:rPr>
              <w:t>≥30cm，避免电磁干扰。所有网线汇聚至机柜，统一接入配线架，连接至交换机。布线须根据业务类型和区域分开并做好标签区别。需压铝合金圆弧盖板线槽。</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color w:val="000000"/>
              </w:rPr>
              <w:t>5台虚实一体编程调试工作站中，1台讲台侧工作站需使用双网卡实现外网连接和教学网连接控制，4台设备侧工作站需使用双网卡实现教学网连接和实训台架连接控制。</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tbl>
            <w:tblPr>
              <w:tblInd w:type="dxa" w:w="45"/>
              <w:tblBorders>
                <w:top w:val="none" w:color="000000" w:sz="4"/>
                <w:left w:val="none" w:color="000000" w:sz="4"/>
                <w:bottom w:val="none" w:color="000000" w:sz="4"/>
                <w:right w:val="none" w:color="000000" w:sz="4"/>
                <w:insideH w:val="none"/>
                <w:insideV w:val="none"/>
              </w:tblBorders>
            </w:tblPr>
            <w:tblGrid>
              <w:gridCol w:w="496"/>
              <w:gridCol w:w="675"/>
              <w:gridCol w:w="784"/>
              <w:gridCol w:w="583"/>
            </w:tblGrid>
            <w:tr>
              <w:tc>
                <w:tcPr>
                  <w:tcW w:type="dxa" w:w="49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color w:val="000000"/>
                      <w:shd w:fill="FFFFFF" w:val="clear"/>
                    </w:rPr>
                    <w:t>采购品目</w:t>
                  </w:r>
                  <w:r>
                    <w:rPr>
                      <w:rFonts w:ascii="仿宋_GB2312" w:hAnsi="仿宋_GB2312" w:cs="仿宋_GB2312" w:eastAsia="仿宋_GB2312"/>
                      <w:sz w:val="20"/>
                      <w:b/>
                      <w:color w:val="000000"/>
                      <w:shd w:fill="FFFFFF" w:val="clear"/>
                    </w:rPr>
                    <w:t>12</w:t>
                  </w:r>
                </w:p>
                <w:p>
                  <w:pPr>
                    <w:pStyle w:val="null3"/>
                  </w:pPr>
                  <w:r>
                    <w:rPr>
                      <w:rFonts w:ascii="仿宋_GB2312" w:hAnsi="仿宋_GB2312" w:cs="仿宋_GB2312" w:eastAsia="仿宋_GB2312"/>
                      <w:sz w:val="19"/>
                    </w:rPr>
                    <w:t xml:space="preserve"> </w:t>
                  </w:r>
                </w:p>
              </w:tc>
              <w:tc>
                <w:tcPr>
                  <w:tcW w:type="dxa" w:w="67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color w:val="000000"/>
                      <w:shd w:fill="FFFFFF" w:val="clear"/>
                    </w:rPr>
                    <w:t>HDMI分配器及视频布线</w:t>
                  </w:r>
                </w:p>
              </w:tc>
              <w:tc>
                <w:tcPr>
                  <w:tcW w:type="dxa" w:w="784"/>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color w:val="000000"/>
                      <w:shd w:fill="FFFFFF" w:val="clear"/>
                    </w:rPr>
                    <w:t>是否采购环保产品</w:t>
                  </w:r>
                </w:p>
              </w:tc>
              <w:tc>
                <w:tcPr>
                  <w:tcW w:type="dxa" w:w="58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color w:val="000000"/>
                      <w:shd w:fill="FFFFFF" w:val="clear"/>
                    </w:rPr>
                    <w:t>否</w:t>
                  </w:r>
                </w:p>
              </w:tc>
            </w:tr>
            <w:tr>
              <w:tc>
                <w:tcPr>
                  <w:tcW w:type="dxa" w:w="4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color w:val="000000"/>
                      <w:shd w:fill="FFFFFF" w:val="clear"/>
                    </w:rPr>
                    <w:t>数量</w:t>
                  </w:r>
                </w:p>
              </w:tc>
              <w:tc>
                <w:tcPr>
                  <w:tcW w:type="dxa" w:w="67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color w:val="000000"/>
                      <w:u w:val="single"/>
                    </w:rPr>
                    <w:t>1</w:t>
                  </w:r>
                </w:p>
              </w:tc>
              <w:tc>
                <w:tcPr>
                  <w:tcW w:type="dxa" w:w="78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200"/>
                    <w:jc w:val="center"/>
                  </w:pPr>
                  <w:r>
                    <w:rPr>
                      <w:rFonts w:ascii="仿宋_GB2312" w:hAnsi="仿宋_GB2312" w:cs="仿宋_GB2312" w:eastAsia="仿宋_GB2312"/>
                      <w:sz w:val="20"/>
                      <w:b/>
                      <w:color w:val="000000"/>
                      <w:shd w:fill="FFFFFF" w:val="clear"/>
                    </w:rPr>
                    <w:t>单位</w:t>
                  </w:r>
                </w:p>
              </w:tc>
              <w:tc>
                <w:tcPr>
                  <w:tcW w:type="dxa" w:w="58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color w:val="000000"/>
                      <w:u w:val="single"/>
                    </w:rPr>
                    <w:t>套</w:t>
                  </w:r>
                </w:p>
              </w:tc>
            </w:tr>
          </w:tbl>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配置</w:t>
            </w:r>
            <w:r>
              <w:rPr>
                <w:rFonts w:ascii="仿宋_GB2312" w:hAnsi="仿宋_GB2312" w:cs="仿宋_GB2312" w:eastAsia="仿宋_GB2312"/>
                <w:sz w:val="20"/>
                <w:color w:val="000000"/>
              </w:rPr>
              <w:t>1个≥5口（1进4出）HDMI分配器，并安装在多媒体讲台侧，完成讲台侧工作站为视频信号源，投影仪和2台电视为显示设备的HDMI信号布线，使投影仪和电视能实时显示讲台侧工作站画面。</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连接投影仪和电视的</w:t>
            </w:r>
            <w:r>
              <w:rPr>
                <w:rFonts w:ascii="仿宋_GB2312" w:hAnsi="仿宋_GB2312" w:cs="仿宋_GB2312" w:eastAsia="仿宋_GB2312"/>
                <w:sz w:val="20"/>
                <w:color w:val="000000"/>
              </w:rPr>
              <w:t>HDMI线走天花板内，墙面走线需压线槽。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签订合同后30天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汉中职业技术学院内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进度款，设备安装到位验收合格后，达到付款条件起10个工作日内，支付合同总金额的100.0%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试运行1周后组织验收，按照招标文件、投标文件和合同约定进行验收。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在承诺的质保期内对所有产品及时进行免费的售后服务，电子产品保修期为3年。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身份证明》及《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法定代表人身份证明或授权委托书.docx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拟参与本项目的投标人应按照汉中市财政局《关于全面推行政府采购供应商基本资格条件承诺制的通知》(汉财办采管(2024)20 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本项⽬不接受联合体投标，需提供⾮联合体书⾯声明。</w:t>
            </w:r>
          </w:p>
        </w:tc>
        <w:tc>
          <w:tcPr>
            <w:tcW w:type="dxa" w:w="1661"/>
          </w:tcPr>
          <w:p>
            <w:pPr>
              <w:pStyle w:val="null3"/>
            </w:pPr>
            <w:r>
              <w:rPr>
                <w:rFonts w:ascii="仿宋_GB2312" w:hAnsi="仿宋_GB2312" w:cs="仿宋_GB2312" w:eastAsia="仿宋_GB2312"/>
              </w:rPr>
              <w:t>非联合体声明.docx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投标⽂件有效期</w:t>
            </w:r>
          </w:p>
        </w:tc>
        <w:tc>
          <w:tcPr>
            <w:tcW w:type="dxa" w:w="3322"/>
          </w:tcPr>
          <w:p>
            <w:pPr>
              <w:pStyle w:val="null3"/>
            </w:pPr>
            <w:r>
              <w:rPr>
                <w:rFonts w:ascii="仿宋_GB2312" w:hAnsi="仿宋_GB2312" w:cs="仿宋_GB2312" w:eastAsia="仿宋_GB2312"/>
              </w:rPr>
              <w:t>投标⽂件有效期符合招标⽂件要求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符合招标⽂件要求，投标⽂件内容⻬全、⽆遗漏</w:t>
            </w:r>
          </w:p>
        </w:tc>
        <w:tc>
          <w:tcPr>
            <w:tcW w:type="dxa" w:w="1661"/>
          </w:tcPr>
          <w:p>
            <w:pPr>
              <w:pStyle w:val="null3"/>
            </w:pPr>
            <w:r>
              <w:rPr>
                <w:rFonts w:ascii="仿宋_GB2312" w:hAnsi="仿宋_GB2312" w:cs="仿宋_GB2312" w:eastAsia="仿宋_GB2312"/>
              </w:rPr>
              <w:t>开标一览表 技术方案.docx 中小企业声明函 商务应答表 汉中市政府采购供应商资格承诺函.docx 投标人应提交的相关资格证明材料 法定代表人身份证明或授权委托书.docx 投标分项报价表.docx 产品技术参数表 非联合体声明.docx 技术偏离表.docx 投标函 拟投入本项目人员配置情况表.docx 残疾人福利性单位声明函 标的清单 投标文件封面 业绩相关证明材料.docx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带“★”符合“技术参数与性能指标”要求，⽆偏差</w:t>
            </w:r>
          </w:p>
        </w:tc>
        <w:tc>
          <w:tcPr>
            <w:tcW w:type="dxa" w:w="1661"/>
          </w:tcPr>
          <w:p>
            <w:pPr>
              <w:pStyle w:val="null3"/>
            </w:pPr>
            <w:r>
              <w:rPr>
                <w:rFonts w:ascii="仿宋_GB2312" w:hAnsi="仿宋_GB2312" w:cs="仿宋_GB2312" w:eastAsia="仿宋_GB2312"/>
              </w:rPr>
              <w:t>产品技术参数表 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均按招标⽂件要求签字盖章</w:t>
            </w:r>
          </w:p>
        </w:tc>
        <w:tc>
          <w:tcPr>
            <w:tcW w:type="dxa" w:w="1661"/>
          </w:tcPr>
          <w:p>
            <w:pPr>
              <w:pStyle w:val="null3"/>
            </w:pPr>
            <w:r>
              <w:rPr>
                <w:rFonts w:ascii="仿宋_GB2312" w:hAnsi="仿宋_GB2312" w:cs="仿宋_GB2312" w:eastAsia="仿宋_GB2312"/>
              </w:rPr>
              <w:t>开标一览表 技术方案.docx 中小企业声明函 商务应答表 汉中市政府采购供应商资格承诺函.docx 投标人应提交的相关资格证明材料 法定代表人身份证明或授权委托书.docx 投标分项报价表.docx 产品技术参数表 非联合体声明.docx 技术偏离表.docx 投标函 拟投入本项目人员配置情况表.docx 残疾人福利性单位声明函 标的清单 投标文件封面 业绩相关证明材料.docx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合同签订日期为准）至今完成的类似项目业绩，每提供一份得2.5分，最高得5分。注：类似业绩指以供应商（含制造商）为合同主体，以本次所投产品为合同内容的类似业绩，提供成交通知书或协议书（合同）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vMerge/>
          </w:tcP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文件中共27项▲指标，每项完全符合得1分，负偏离扣1分。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团队人员资质</w:t>
            </w:r>
          </w:p>
        </w:tc>
        <w:tc>
          <w:tcPr>
            <w:tcW w:type="dxa" w:w="2492"/>
          </w:tcPr>
          <w:p>
            <w:pPr>
              <w:pStyle w:val="null3"/>
            </w:pPr>
            <w:r>
              <w:rPr>
                <w:rFonts w:ascii="仿宋_GB2312" w:hAnsi="仿宋_GB2312" w:cs="仿宋_GB2312" w:eastAsia="仿宋_GB2312"/>
              </w:rPr>
              <w:t>①项目技术负责人持有机器人相关职业技能等级证书（高级）或工业机器人相关工程师证书，得3分；②现场实施工程师持有工业机器人相关职业技能等级证书，每提供1份得2分，最多4分。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企业能力</w:t>
            </w:r>
          </w:p>
        </w:tc>
        <w:tc>
          <w:tcPr>
            <w:tcW w:type="dxa" w:w="2492"/>
          </w:tcPr>
          <w:p>
            <w:pPr>
              <w:pStyle w:val="null3"/>
            </w:pPr>
            <w:r>
              <w:rPr>
                <w:rFonts w:ascii="仿宋_GB2312" w:hAnsi="仿宋_GB2312" w:cs="仿宋_GB2312" w:eastAsia="仿宋_GB2312"/>
              </w:rPr>
              <w:t>①供应商或拟供产品制造厂商近五年来，具有省级及以上技能大赛技术支持经验，每一项得3分；以行政部门文件或颁发证书为准。②供应商或拟供产品制造厂商具有人社部门备案的职业技能等级认定资格得2分。以文件及系统查询截图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企业能力.docx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采购品目3、8如能提供现场演示，每提供一个品目得3分，满分6分。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一、评审内容包含：①项目执行计划表②实训建设方案③验收方案④培训方案。二、评审标准：以上内容全面详细、阐述条理清晰详尽、可落地实施符合本项目需求得8分。 三、赋分标准：评审内容每缺一项扣2分，评审内容有缺陷的扣1分，未提供不得分。 注：缺陷是指内容不合理、逻辑漏洞、虽有内容但不完善、内容表述前后不一致、套用其他项目方案或与项目需求不匹配及其他不利于项目实施等任意一种情形。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售后运维保障方案</w:t>
            </w:r>
          </w:p>
        </w:tc>
        <w:tc>
          <w:tcPr>
            <w:tcW w:type="dxa" w:w="2492"/>
          </w:tcPr>
          <w:p>
            <w:pPr>
              <w:pStyle w:val="null3"/>
            </w:pPr>
            <w:r>
              <w:rPr>
                <w:rFonts w:ascii="仿宋_GB2312" w:hAnsi="仿宋_GB2312" w:cs="仿宋_GB2312" w:eastAsia="仿宋_GB2312"/>
              </w:rPr>
              <w:t>一、评审内容包含：①质保服务体系②故障响应与上门运维③定期巡检与预防性维护。二、评审标准：以上内容全面详细、阐述条理清晰详尽、可落地实施符合本项目需求得6分。 三、赋分标准：评审内容每缺一项扣2分，评审内容有缺陷的扣1分，未提供不得分。 注：缺陷是指内容不合理、逻辑漏洞、虽有内容但不完善、内容表述前后不一致、套用其他项目方案或与项目需求不匹配及其他不利于项目实施等任意一种情形。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一、评审内容包含：①培训整体规划②培训师资保障③分模块课程内容。二、评审标准：以上内容全面详细、阐述条理清晰详尽、可落地实施符合本项目需求得6分。 三、赋分标准：评审内容每缺一项扣2分，评审内容有缺陷的扣1分，未提供不得分。 注：缺陷是指内容不合理、逻辑漏洞、虽有内容但不完善、内容表述前后不一致、套用其他项目方案或与项目需求不匹配及其他不利于项目实施等任意一种情形。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1、上限为最高限价，即报价大于上限价视为无效标； 2、以满足本次采购文件要求的最低报价为评审基准价，其价格为满分； 3、供应商报价得分=（评审基准价/最终报价）*30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详见附件：企业能力.docx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