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9110BB">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outlineLvl w:val="0"/>
        <w:rPr>
          <w:rFonts w:hint="eastAsia" w:ascii="宋体" w:hAnsi="宋体" w:eastAsia="宋体" w:cs="宋体"/>
          <w:b/>
          <w:sz w:val="32"/>
          <w:szCs w:val="32"/>
          <w:highlight w:val="none"/>
        </w:rPr>
      </w:pPr>
      <w:r>
        <w:rPr>
          <w:rFonts w:hint="eastAsia" w:ascii="宋体" w:hAnsi="宋体" w:eastAsia="宋体" w:cs="宋体"/>
          <w:b/>
          <w:sz w:val="32"/>
          <w:szCs w:val="32"/>
          <w:highlight w:val="none"/>
        </w:rPr>
        <w:t>合同格式</w:t>
      </w:r>
    </w:p>
    <w:p w14:paraId="1ED6D145">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委托方（以下简称甲方）： </w:t>
      </w:r>
    </w:p>
    <w:p w14:paraId="1A88AF5A">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承接方（以下简称乙方）：</w:t>
      </w:r>
      <w:r>
        <w:rPr>
          <w:rFonts w:hint="eastAsia" w:asciiTheme="minorEastAsia" w:hAnsiTheme="minorEastAsia" w:eastAsiaTheme="minorEastAsia" w:cstheme="minorEastAsia"/>
          <w:color w:val="auto"/>
          <w:sz w:val="24"/>
          <w:szCs w:val="24"/>
          <w:highlight w:val="none"/>
          <w:lang w:val="en-US" w:eastAsia="zh-CN"/>
        </w:rPr>
        <w:t xml:space="preserve"> </w:t>
      </w:r>
    </w:p>
    <w:p w14:paraId="57BD485F">
      <w:pPr>
        <w:pStyle w:val="11"/>
        <w:pageBreakBefore w:val="0"/>
        <w:kinsoku/>
        <w:wordWrap/>
        <w:overflowPunct/>
        <w:topLinePunct w:val="0"/>
        <w:autoSpaceDE/>
        <w:autoSpaceDN/>
        <w:bidi w:val="0"/>
        <w:adjustRightInd/>
        <w:spacing w:before="156" w:beforeLines="50"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根据《中华人民共和国政府采购法》及实施条例、《中华人民共和国民法典》和甲方</w:t>
      </w:r>
      <w:r>
        <w:rPr>
          <w:rFonts w:hint="eastAsia" w:asciiTheme="minorEastAsia" w:hAnsiTheme="minorEastAsia" w:eastAsiaTheme="minorEastAsia" w:cstheme="minorEastAsia"/>
          <w:i/>
          <w:iCs/>
          <w:sz w:val="24"/>
          <w:szCs w:val="24"/>
          <w:highlight w:val="none"/>
          <w:u w:val="single"/>
        </w:rPr>
        <w:t xml:space="preserve">      </w:t>
      </w:r>
      <w:r>
        <w:rPr>
          <w:rFonts w:hint="eastAsia" w:asciiTheme="minorEastAsia" w:hAnsiTheme="minorEastAsia" w:eastAsiaTheme="minorEastAsia" w:cstheme="minorEastAsia"/>
          <w:i w:val="0"/>
          <w:iCs w:val="0"/>
          <w:sz w:val="24"/>
          <w:szCs w:val="24"/>
          <w:highlight w:val="none"/>
          <w:u w:val="single"/>
        </w:rPr>
        <w:t>（</w:t>
      </w:r>
      <w:r>
        <w:rPr>
          <w:rFonts w:hint="eastAsia" w:asciiTheme="minorEastAsia" w:hAnsiTheme="minorEastAsia" w:eastAsiaTheme="minorEastAsia" w:cstheme="minorEastAsia"/>
          <w:i/>
          <w:iCs/>
          <w:sz w:val="24"/>
          <w:szCs w:val="24"/>
          <w:highlight w:val="none"/>
          <w:u w:val="single"/>
        </w:rPr>
        <w:t>采购项目名称</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i/>
          <w:iCs/>
          <w:sz w:val="24"/>
          <w:szCs w:val="24"/>
          <w:highlight w:val="none"/>
        </w:rPr>
        <w:t>采购项目编号：</w:t>
      </w:r>
      <w:r>
        <w:rPr>
          <w:rFonts w:hint="eastAsia" w:asciiTheme="minorEastAsia" w:hAnsiTheme="minorEastAsia" w:eastAsiaTheme="minorEastAsia" w:cstheme="minorEastAsia"/>
          <w:i/>
          <w:iCs/>
          <w:sz w:val="24"/>
          <w:szCs w:val="24"/>
          <w:highlight w:val="none"/>
          <w:u w:val="single"/>
        </w:rPr>
        <w:t xml:space="preserve">          </w:t>
      </w:r>
      <w:r>
        <w:rPr>
          <w:rFonts w:hint="eastAsia" w:asciiTheme="minorEastAsia" w:hAnsiTheme="minorEastAsia" w:eastAsiaTheme="minorEastAsia" w:cstheme="minorEastAsia"/>
          <w:sz w:val="24"/>
          <w:szCs w:val="24"/>
          <w:highlight w:val="none"/>
        </w:rPr>
        <w:t>）的</w:t>
      </w:r>
      <w:r>
        <w:rPr>
          <w:rFonts w:hint="eastAsia" w:asciiTheme="minorEastAsia" w:hAnsiTheme="minorEastAsia" w:eastAsiaTheme="minorEastAsia" w:cstheme="minorEastAsia"/>
          <w:sz w:val="24"/>
          <w:szCs w:val="24"/>
          <w:highlight w:val="none"/>
          <w:lang w:eastAsia="zh-CN"/>
        </w:rPr>
        <w:t>招标</w:t>
      </w:r>
      <w:r>
        <w:rPr>
          <w:rFonts w:hint="eastAsia" w:asciiTheme="minorEastAsia" w:hAnsiTheme="minorEastAsia" w:eastAsiaTheme="minorEastAsia" w:cstheme="minorEastAsia"/>
          <w:sz w:val="24"/>
          <w:szCs w:val="24"/>
          <w:highlight w:val="none"/>
        </w:rPr>
        <w:t>文件、</w:t>
      </w:r>
      <w:r>
        <w:rPr>
          <w:rFonts w:hint="eastAsia" w:asciiTheme="minorEastAsia" w:hAnsiTheme="minorEastAsia" w:eastAsiaTheme="minorEastAsia" w:cstheme="minorEastAsia"/>
          <w:sz w:val="24"/>
          <w:szCs w:val="24"/>
          <w:highlight w:val="none"/>
          <w:lang w:val="en-US" w:eastAsia="zh-CN"/>
        </w:rPr>
        <w:t>投标文件</w:t>
      </w:r>
      <w:r>
        <w:rPr>
          <w:rFonts w:hint="eastAsia" w:asciiTheme="minorEastAsia" w:hAnsiTheme="minorEastAsia" w:eastAsiaTheme="minorEastAsia" w:cstheme="minorEastAsia"/>
          <w:sz w:val="24"/>
          <w:szCs w:val="24"/>
          <w:highlight w:val="none"/>
        </w:rPr>
        <w:t>等有关规定，为确保甲方采购项目的顺利实施，甲、乙双方在平等自愿原则下签订本合同，并共同遵守如下条款：</w:t>
      </w:r>
    </w:p>
    <w:p w14:paraId="608FAD02">
      <w:pPr>
        <w:pStyle w:val="11"/>
        <w:pageBreakBefore w:val="0"/>
        <w:kinsoku/>
        <w:wordWrap/>
        <w:overflowPunct/>
        <w:topLinePunct w:val="0"/>
        <w:autoSpaceDE/>
        <w:autoSpaceDN/>
        <w:bidi w:val="0"/>
        <w:adjustRightInd/>
        <w:spacing w:before="156" w:beforeLines="50" w:line="360" w:lineRule="auto"/>
        <w:ind w:firstLine="0" w:firstLineChars="0"/>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第一条 合同标的及数量</w:t>
      </w:r>
    </w:p>
    <w:p w14:paraId="0A7555C1">
      <w:pPr>
        <w:pStyle w:val="11"/>
        <w:pageBreakBefore w:val="0"/>
        <w:widowControl/>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sz w:val="24"/>
          <w:szCs w:val="24"/>
          <w:highlight w:val="none"/>
        </w:rPr>
        <w:t>乙方向甲方提供下列货物（产品）：</w:t>
      </w:r>
    </w:p>
    <w:p w14:paraId="77FFE737">
      <w:pPr>
        <w:pStyle w:val="5"/>
        <w:pageBreakBefore w:val="0"/>
        <w:widowControl/>
        <w:kinsoku/>
        <w:wordWrap/>
        <w:overflowPunct/>
        <w:topLinePunct w:val="0"/>
        <w:autoSpaceDE/>
        <w:autoSpaceDN/>
        <w:bidi w:val="0"/>
        <w:adjustRightInd/>
        <w:spacing w:line="360" w:lineRule="auto"/>
        <w:ind w:firstLine="482"/>
        <w:jc w:val="center"/>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供货一览表</w:t>
      </w:r>
    </w:p>
    <w:tbl>
      <w:tblPr>
        <w:tblStyle w:val="7"/>
        <w:tblpPr w:leftFromText="180" w:rightFromText="180" w:vertAnchor="text" w:horzAnchor="margin" w:tblpXSpec="center" w:tblpY="309"/>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2"/>
        <w:gridCol w:w="1133"/>
        <w:gridCol w:w="1134"/>
        <w:gridCol w:w="1249"/>
        <w:gridCol w:w="675"/>
        <w:gridCol w:w="1134"/>
        <w:gridCol w:w="678"/>
        <w:gridCol w:w="1299"/>
        <w:gridCol w:w="1313"/>
      </w:tblGrid>
      <w:tr w14:paraId="5A95AA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69" w:hRule="atLeast"/>
        </w:trPr>
        <w:tc>
          <w:tcPr>
            <w:tcW w:w="361" w:type="pct"/>
            <w:tcBorders>
              <w:top w:val="single" w:color="auto" w:sz="12" w:space="0"/>
              <w:left w:val="single" w:color="auto" w:sz="12" w:space="0"/>
              <w:bottom w:val="single" w:color="auto" w:sz="4" w:space="0"/>
              <w:right w:val="single" w:color="auto" w:sz="4" w:space="0"/>
            </w:tcBorders>
            <w:noWrap/>
            <w:vAlign w:val="center"/>
          </w:tcPr>
          <w:p w14:paraId="174D77B3">
            <w:pPr>
              <w:pageBreakBefore w:val="0"/>
              <w:kinsoku/>
              <w:wordWrap/>
              <w:overflowPunct/>
              <w:topLinePunct w:val="0"/>
              <w:autoSpaceDE/>
              <w:autoSpaceDN/>
              <w:bidi w:val="0"/>
              <w:adjustRightInd/>
              <w:spacing w:before="0"/>
              <w:ind w:left="0"/>
              <w:jc w:val="center"/>
              <w:outlineLvl w:val="9"/>
              <w:rPr>
                <w:rFonts w:hint="eastAsia" w:asciiTheme="minorEastAsia" w:hAnsiTheme="minorEastAsia" w:eastAsiaTheme="minorEastAsia" w:cstheme="minorEastAsia"/>
                <w:color w:val="000000"/>
                <w:kern w:val="2"/>
                <w:sz w:val="24"/>
                <w:szCs w:val="24"/>
                <w:highlight w:val="none"/>
              </w:rPr>
            </w:pPr>
            <w:bookmarkStart w:id="0" w:name="_Toc11029"/>
            <w:bookmarkStart w:id="1" w:name="_Toc731"/>
            <w:bookmarkStart w:id="2" w:name="_Toc12862"/>
            <w:bookmarkStart w:id="3" w:name="_Toc30936"/>
            <w:bookmarkStart w:id="4" w:name="_Toc8098"/>
            <w:r>
              <w:rPr>
                <w:rFonts w:hint="eastAsia" w:asciiTheme="minorEastAsia" w:hAnsiTheme="minorEastAsia" w:eastAsiaTheme="minorEastAsia" w:cstheme="minorEastAsia"/>
                <w:color w:val="000000"/>
                <w:kern w:val="2"/>
                <w:sz w:val="24"/>
                <w:szCs w:val="24"/>
                <w:highlight w:val="none"/>
              </w:rPr>
              <w:t>序号</w:t>
            </w:r>
            <w:bookmarkEnd w:id="0"/>
            <w:bookmarkEnd w:id="1"/>
            <w:bookmarkEnd w:id="2"/>
            <w:bookmarkEnd w:id="3"/>
            <w:bookmarkEnd w:id="4"/>
          </w:p>
        </w:tc>
        <w:tc>
          <w:tcPr>
            <w:tcW w:w="609" w:type="pct"/>
            <w:tcBorders>
              <w:top w:val="single" w:color="auto" w:sz="12" w:space="0"/>
              <w:left w:val="single" w:color="auto" w:sz="4" w:space="0"/>
              <w:bottom w:val="single" w:color="auto" w:sz="4" w:space="0"/>
              <w:right w:val="single" w:color="auto" w:sz="4" w:space="0"/>
            </w:tcBorders>
            <w:noWrap/>
            <w:vAlign w:val="center"/>
          </w:tcPr>
          <w:p w14:paraId="15E5E70D">
            <w:pPr>
              <w:pageBreakBefore w:val="0"/>
              <w:kinsoku/>
              <w:wordWrap/>
              <w:overflowPunct/>
              <w:topLinePunct w:val="0"/>
              <w:autoSpaceDE/>
              <w:autoSpaceDN/>
              <w:bidi w:val="0"/>
              <w:adjustRightInd/>
              <w:spacing w:before="0"/>
              <w:ind w:left="0"/>
              <w:jc w:val="center"/>
              <w:outlineLvl w:val="9"/>
              <w:rPr>
                <w:rFonts w:hint="eastAsia" w:asciiTheme="minorEastAsia" w:hAnsiTheme="minorEastAsia" w:eastAsiaTheme="minorEastAsia" w:cstheme="minorEastAsia"/>
                <w:color w:val="000000"/>
                <w:kern w:val="2"/>
                <w:sz w:val="24"/>
                <w:szCs w:val="24"/>
                <w:highlight w:val="none"/>
              </w:rPr>
            </w:pPr>
            <w:bookmarkStart w:id="5" w:name="_Toc18138"/>
            <w:bookmarkStart w:id="6" w:name="_Toc10937"/>
            <w:bookmarkStart w:id="7" w:name="_Toc12848"/>
            <w:bookmarkStart w:id="8" w:name="_Toc11846"/>
            <w:bookmarkStart w:id="9" w:name="_Toc14606"/>
            <w:r>
              <w:rPr>
                <w:rFonts w:hint="eastAsia" w:asciiTheme="minorEastAsia" w:hAnsiTheme="minorEastAsia" w:eastAsiaTheme="minorEastAsia" w:cstheme="minorEastAsia"/>
                <w:color w:val="000000"/>
                <w:kern w:val="2"/>
                <w:sz w:val="24"/>
                <w:szCs w:val="24"/>
                <w:highlight w:val="none"/>
              </w:rPr>
              <w:t>货物名称</w:t>
            </w:r>
            <w:bookmarkEnd w:id="5"/>
            <w:bookmarkEnd w:id="6"/>
            <w:bookmarkEnd w:id="7"/>
            <w:bookmarkEnd w:id="8"/>
            <w:bookmarkEnd w:id="9"/>
          </w:p>
        </w:tc>
        <w:tc>
          <w:tcPr>
            <w:tcW w:w="610" w:type="pct"/>
            <w:tcBorders>
              <w:top w:val="single" w:color="auto" w:sz="12" w:space="0"/>
              <w:left w:val="single" w:color="auto" w:sz="4" w:space="0"/>
              <w:bottom w:val="single" w:color="auto" w:sz="4" w:space="0"/>
              <w:right w:val="single" w:color="auto" w:sz="4" w:space="0"/>
            </w:tcBorders>
            <w:noWrap/>
            <w:vAlign w:val="center"/>
          </w:tcPr>
          <w:p w14:paraId="0A1A0487">
            <w:pPr>
              <w:pageBreakBefore w:val="0"/>
              <w:kinsoku/>
              <w:wordWrap/>
              <w:overflowPunct/>
              <w:topLinePunct w:val="0"/>
              <w:autoSpaceDE/>
              <w:autoSpaceDN/>
              <w:bidi w:val="0"/>
              <w:adjustRightInd/>
              <w:spacing w:before="0"/>
              <w:ind w:left="0"/>
              <w:jc w:val="center"/>
              <w:outlineLvl w:val="9"/>
              <w:rPr>
                <w:rFonts w:hint="eastAsia" w:asciiTheme="minorEastAsia" w:hAnsiTheme="minorEastAsia" w:eastAsiaTheme="minorEastAsia" w:cstheme="minorEastAsia"/>
                <w:color w:val="000000"/>
                <w:kern w:val="2"/>
                <w:sz w:val="24"/>
                <w:szCs w:val="24"/>
                <w:highlight w:val="none"/>
              </w:rPr>
            </w:pPr>
            <w:bookmarkStart w:id="10" w:name="_Toc30052"/>
            <w:bookmarkStart w:id="11" w:name="_Toc24749"/>
            <w:bookmarkStart w:id="12" w:name="_Toc10792"/>
            <w:bookmarkStart w:id="13" w:name="_Toc32341"/>
            <w:bookmarkStart w:id="14" w:name="_Toc11018"/>
            <w:r>
              <w:rPr>
                <w:rFonts w:hint="eastAsia" w:asciiTheme="minorEastAsia" w:hAnsiTheme="minorEastAsia" w:eastAsiaTheme="minorEastAsia" w:cstheme="minorEastAsia"/>
                <w:color w:val="000000"/>
                <w:kern w:val="2"/>
                <w:sz w:val="24"/>
                <w:szCs w:val="24"/>
                <w:highlight w:val="none"/>
              </w:rPr>
              <w:t>品目代码</w:t>
            </w:r>
            <w:bookmarkEnd w:id="10"/>
            <w:bookmarkEnd w:id="11"/>
            <w:bookmarkEnd w:id="12"/>
            <w:bookmarkEnd w:id="13"/>
            <w:bookmarkEnd w:id="14"/>
          </w:p>
        </w:tc>
        <w:tc>
          <w:tcPr>
            <w:tcW w:w="672" w:type="pct"/>
            <w:tcBorders>
              <w:top w:val="single" w:color="auto" w:sz="12" w:space="0"/>
              <w:left w:val="single" w:color="auto" w:sz="4" w:space="0"/>
              <w:bottom w:val="single" w:color="auto" w:sz="4" w:space="0"/>
              <w:right w:val="single" w:color="auto" w:sz="4" w:space="0"/>
            </w:tcBorders>
            <w:noWrap/>
            <w:vAlign w:val="center"/>
          </w:tcPr>
          <w:p w14:paraId="491F4148">
            <w:pPr>
              <w:pageBreakBefore w:val="0"/>
              <w:kinsoku/>
              <w:wordWrap/>
              <w:overflowPunct/>
              <w:topLinePunct w:val="0"/>
              <w:autoSpaceDE/>
              <w:autoSpaceDN/>
              <w:bidi w:val="0"/>
              <w:adjustRightInd/>
              <w:spacing w:before="0"/>
              <w:ind w:left="0"/>
              <w:jc w:val="center"/>
              <w:outlineLvl w:val="9"/>
              <w:rPr>
                <w:rFonts w:hint="eastAsia" w:asciiTheme="minorEastAsia" w:hAnsiTheme="minorEastAsia" w:eastAsiaTheme="minorEastAsia" w:cstheme="minorEastAsia"/>
                <w:color w:val="000000"/>
                <w:kern w:val="2"/>
                <w:sz w:val="24"/>
                <w:szCs w:val="24"/>
                <w:highlight w:val="none"/>
              </w:rPr>
            </w:pPr>
            <w:bookmarkStart w:id="15" w:name="_Toc31993"/>
            <w:bookmarkStart w:id="16" w:name="_Toc18279"/>
            <w:bookmarkStart w:id="17" w:name="_Toc2505"/>
            <w:bookmarkStart w:id="18" w:name="_Toc30994"/>
            <w:bookmarkStart w:id="19" w:name="_Toc23775"/>
            <w:r>
              <w:rPr>
                <w:rFonts w:hint="eastAsia" w:asciiTheme="minorEastAsia" w:hAnsiTheme="minorEastAsia" w:eastAsiaTheme="minorEastAsia" w:cstheme="minorEastAsia"/>
                <w:color w:val="000000"/>
                <w:kern w:val="2"/>
                <w:sz w:val="24"/>
                <w:szCs w:val="24"/>
                <w:highlight w:val="none"/>
              </w:rPr>
              <w:t>品牌/型号</w:t>
            </w:r>
            <w:bookmarkEnd w:id="15"/>
            <w:bookmarkEnd w:id="16"/>
            <w:bookmarkEnd w:id="17"/>
            <w:bookmarkEnd w:id="18"/>
            <w:bookmarkEnd w:id="19"/>
          </w:p>
        </w:tc>
        <w:tc>
          <w:tcPr>
            <w:tcW w:w="363" w:type="pct"/>
            <w:tcBorders>
              <w:top w:val="single" w:color="auto" w:sz="12" w:space="0"/>
              <w:left w:val="single" w:color="auto" w:sz="4" w:space="0"/>
              <w:bottom w:val="single" w:color="auto" w:sz="4" w:space="0"/>
              <w:right w:val="single" w:color="auto" w:sz="4" w:space="0"/>
            </w:tcBorders>
            <w:noWrap/>
            <w:vAlign w:val="center"/>
          </w:tcPr>
          <w:p w14:paraId="590CCBEB">
            <w:pPr>
              <w:pageBreakBefore w:val="0"/>
              <w:kinsoku/>
              <w:wordWrap/>
              <w:overflowPunct/>
              <w:topLinePunct w:val="0"/>
              <w:autoSpaceDE/>
              <w:autoSpaceDN/>
              <w:bidi w:val="0"/>
              <w:adjustRightInd/>
              <w:spacing w:before="0"/>
              <w:ind w:left="0"/>
              <w:jc w:val="center"/>
              <w:outlineLvl w:val="9"/>
              <w:rPr>
                <w:rFonts w:hint="eastAsia" w:asciiTheme="minorEastAsia" w:hAnsiTheme="minorEastAsia" w:eastAsiaTheme="minorEastAsia" w:cstheme="minorEastAsia"/>
                <w:color w:val="000000"/>
                <w:kern w:val="2"/>
                <w:sz w:val="24"/>
                <w:szCs w:val="24"/>
                <w:highlight w:val="none"/>
              </w:rPr>
            </w:pPr>
            <w:bookmarkStart w:id="20" w:name="_Toc19146"/>
            <w:bookmarkStart w:id="21" w:name="_Toc20736"/>
            <w:bookmarkStart w:id="22" w:name="_Toc16809"/>
            <w:bookmarkStart w:id="23" w:name="_Toc8038"/>
            <w:bookmarkStart w:id="24" w:name="_Toc28515"/>
            <w:r>
              <w:rPr>
                <w:rFonts w:hint="eastAsia" w:asciiTheme="minorEastAsia" w:hAnsiTheme="minorEastAsia" w:eastAsiaTheme="minorEastAsia" w:cstheme="minorEastAsia"/>
                <w:color w:val="000000"/>
                <w:kern w:val="2"/>
                <w:sz w:val="24"/>
                <w:szCs w:val="24"/>
                <w:highlight w:val="none"/>
              </w:rPr>
              <w:t>规格</w:t>
            </w:r>
            <w:bookmarkEnd w:id="20"/>
            <w:bookmarkEnd w:id="21"/>
            <w:bookmarkEnd w:id="22"/>
            <w:bookmarkEnd w:id="23"/>
            <w:bookmarkEnd w:id="24"/>
          </w:p>
        </w:tc>
        <w:tc>
          <w:tcPr>
            <w:tcW w:w="610" w:type="pct"/>
            <w:tcBorders>
              <w:top w:val="single" w:color="auto" w:sz="12" w:space="0"/>
              <w:left w:val="single" w:color="auto" w:sz="4" w:space="0"/>
              <w:bottom w:val="single" w:color="auto" w:sz="4" w:space="0"/>
              <w:right w:val="single" w:color="auto" w:sz="4" w:space="0"/>
            </w:tcBorders>
            <w:noWrap/>
            <w:vAlign w:val="center"/>
          </w:tcPr>
          <w:p w14:paraId="6D697D42">
            <w:pPr>
              <w:pageBreakBefore w:val="0"/>
              <w:kinsoku/>
              <w:wordWrap/>
              <w:overflowPunct/>
              <w:topLinePunct w:val="0"/>
              <w:autoSpaceDE/>
              <w:autoSpaceDN/>
              <w:bidi w:val="0"/>
              <w:adjustRightInd/>
              <w:spacing w:before="0"/>
              <w:ind w:left="0"/>
              <w:jc w:val="center"/>
              <w:outlineLvl w:val="9"/>
              <w:rPr>
                <w:rFonts w:hint="eastAsia" w:asciiTheme="minorEastAsia" w:hAnsiTheme="minorEastAsia" w:eastAsiaTheme="minorEastAsia" w:cstheme="minorEastAsia"/>
                <w:color w:val="000000"/>
                <w:kern w:val="2"/>
                <w:sz w:val="24"/>
                <w:szCs w:val="24"/>
                <w:highlight w:val="none"/>
              </w:rPr>
            </w:pPr>
            <w:bookmarkStart w:id="25" w:name="_Toc13868"/>
            <w:bookmarkStart w:id="26" w:name="_Toc9385"/>
            <w:bookmarkStart w:id="27" w:name="_Toc21245"/>
            <w:bookmarkStart w:id="28" w:name="_Toc8453"/>
            <w:bookmarkStart w:id="29" w:name="_Toc12530"/>
            <w:r>
              <w:rPr>
                <w:rFonts w:hint="eastAsia" w:asciiTheme="minorEastAsia" w:hAnsiTheme="minorEastAsia" w:eastAsiaTheme="minorEastAsia" w:cstheme="minorEastAsia"/>
                <w:color w:val="000000"/>
                <w:kern w:val="2"/>
                <w:sz w:val="24"/>
                <w:szCs w:val="24"/>
                <w:highlight w:val="none"/>
              </w:rPr>
              <w:t>计量单位</w:t>
            </w:r>
            <w:bookmarkEnd w:id="25"/>
            <w:bookmarkEnd w:id="26"/>
            <w:bookmarkEnd w:id="27"/>
            <w:bookmarkEnd w:id="28"/>
            <w:bookmarkEnd w:id="29"/>
          </w:p>
        </w:tc>
        <w:tc>
          <w:tcPr>
            <w:tcW w:w="365" w:type="pct"/>
            <w:tcBorders>
              <w:top w:val="single" w:color="auto" w:sz="12" w:space="0"/>
              <w:left w:val="single" w:color="auto" w:sz="4" w:space="0"/>
              <w:bottom w:val="single" w:color="auto" w:sz="4" w:space="0"/>
              <w:right w:val="single" w:color="auto" w:sz="4" w:space="0"/>
            </w:tcBorders>
            <w:noWrap/>
            <w:vAlign w:val="center"/>
          </w:tcPr>
          <w:p w14:paraId="104F76C4">
            <w:pPr>
              <w:pageBreakBefore w:val="0"/>
              <w:kinsoku/>
              <w:wordWrap/>
              <w:overflowPunct/>
              <w:topLinePunct w:val="0"/>
              <w:autoSpaceDE/>
              <w:autoSpaceDN/>
              <w:bidi w:val="0"/>
              <w:adjustRightInd/>
              <w:spacing w:before="0"/>
              <w:ind w:left="0"/>
              <w:jc w:val="center"/>
              <w:outlineLvl w:val="9"/>
              <w:rPr>
                <w:rFonts w:hint="eastAsia" w:asciiTheme="minorEastAsia" w:hAnsiTheme="minorEastAsia" w:eastAsiaTheme="minorEastAsia" w:cstheme="minorEastAsia"/>
                <w:color w:val="000000"/>
                <w:kern w:val="2"/>
                <w:sz w:val="24"/>
                <w:szCs w:val="24"/>
                <w:highlight w:val="none"/>
              </w:rPr>
            </w:pPr>
            <w:bookmarkStart w:id="30" w:name="_Toc13771"/>
            <w:bookmarkStart w:id="31" w:name="_Toc31770"/>
            <w:bookmarkStart w:id="32" w:name="_Toc26700"/>
            <w:bookmarkStart w:id="33" w:name="_Toc25464"/>
            <w:bookmarkStart w:id="34" w:name="_Toc2753"/>
            <w:r>
              <w:rPr>
                <w:rFonts w:hint="eastAsia" w:asciiTheme="minorEastAsia" w:hAnsiTheme="minorEastAsia" w:eastAsiaTheme="minorEastAsia" w:cstheme="minorEastAsia"/>
                <w:color w:val="000000"/>
                <w:kern w:val="2"/>
                <w:sz w:val="24"/>
                <w:szCs w:val="24"/>
                <w:highlight w:val="none"/>
              </w:rPr>
              <w:t>数量</w:t>
            </w:r>
            <w:bookmarkEnd w:id="30"/>
            <w:bookmarkEnd w:id="31"/>
            <w:bookmarkEnd w:id="32"/>
            <w:bookmarkEnd w:id="33"/>
            <w:bookmarkEnd w:id="34"/>
          </w:p>
        </w:tc>
        <w:tc>
          <w:tcPr>
            <w:tcW w:w="699" w:type="pct"/>
            <w:tcBorders>
              <w:top w:val="single" w:color="auto" w:sz="12" w:space="0"/>
              <w:left w:val="single" w:color="auto" w:sz="4" w:space="0"/>
              <w:bottom w:val="single" w:color="auto" w:sz="4" w:space="0"/>
              <w:right w:val="single" w:color="auto" w:sz="4" w:space="0"/>
            </w:tcBorders>
            <w:noWrap/>
            <w:vAlign w:val="center"/>
          </w:tcPr>
          <w:p w14:paraId="3FA2812F">
            <w:pPr>
              <w:pageBreakBefore w:val="0"/>
              <w:kinsoku/>
              <w:wordWrap/>
              <w:overflowPunct/>
              <w:topLinePunct w:val="0"/>
              <w:autoSpaceDE/>
              <w:autoSpaceDN/>
              <w:bidi w:val="0"/>
              <w:adjustRightInd/>
              <w:spacing w:before="0"/>
              <w:ind w:left="0"/>
              <w:jc w:val="center"/>
              <w:outlineLvl w:val="9"/>
              <w:rPr>
                <w:rFonts w:hint="eastAsia" w:asciiTheme="minorEastAsia" w:hAnsiTheme="minorEastAsia" w:eastAsiaTheme="minorEastAsia" w:cstheme="minorEastAsia"/>
                <w:color w:val="000000"/>
                <w:kern w:val="2"/>
                <w:sz w:val="24"/>
                <w:szCs w:val="24"/>
                <w:highlight w:val="none"/>
              </w:rPr>
            </w:pPr>
            <w:bookmarkStart w:id="35" w:name="_Toc13068"/>
            <w:bookmarkStart w:id="36" w:name="_Toc1099"/>
            <w:bookmarkStart w:id="37" w:name="_Toc12281"/>
            <w:bookmarkStart w:id="38" w:name="_Toc8363"/>
            <w:bookmarkStart w:id="39" w:name="_Toc18214"/>
            <w:r>
              <w:rPr>
                <w:rFonts w:hint="eastAsia" w:asciiTheme="minorEastAsia" w:hAnsiTheme="minorEastAsia" w:eastAsiaTheme="minorEastAsia" w:cstheme="minorEastAsia"/>
                <w:color w:val="000000"/>
                <w:kern w:val="2"/>
                <w:sz w:val="24"/>
                <w:szCs w:val="24"/>
                <w:highlight w:val="none"/>
              </w:rPr>
              <w:t>单价</w:t>
            </w:r>
          </w:p>
          <w:p w14:paraId="7206E87F">
            <w:pPr>
              <w:pageBreakBefore w:val="0"/>
              <w:kinsoku/>
              <w:wordWrap/>
              <w:overflowPunct/>
              <w:topLinePunct w:val="0"/>
              <w:autoSpaceDE/>
              <w:autoSpaceDN/>
              <w:bidi w:val="0"/>
              <w:adjustRightInd/>
              <w:spacing w:before="0"/>
              <w:ind w:left="0"/>
              <w:jc w:val="center"/>
              <w:outlineLvl w:val="9"/>
              <w:rPr>
                <w:rFonts w:hint="eastAsia" w:asciiTheme="minorEastAsia" w:hAnsiTheme="minorEastAsia" w:eastAsiaTheme="minorEastAsia" w:cstheme="minorEastAsia"/>
                <w:color w:val="000000"/>
                <w:kern w:val="2"/>
                <w:sz w:val="24"/>
                <w:szCs w:val="24"/>
                <w:highlight w:val="none"/>
              </w:rPr>
            </w:pPr>
            <w:r>
              <w:rPr>
                <w:rFonts w:hint="eastAsia" w:asciiTheme="minorEastAsia" w:hAnsiTheme="minorEastAsia" w:eastAsiaTheme="minorEastAsia" w:cstheme="minorEastAsia"/>
                <w:color w:val="000000"/>
                <w:kern w:val="2"/>
                <w:sz w:val="24"/>
                <w:szCs w:val="24"/>
                <w:highlight w:val="none"/>
              </w:rPr>
              <w:t>（元）</w:t>
            </w:r>
            <w:bookmarkEnd w:id="35"/>
            <w:bookmarkEnd w:id="36"/>
            <w:bookmarkEnd w:id="37"/>
            <w:bookmarkEnd w:id="38"/>
            <w:bookmarkEnd w:id="39"/>
          </w:p>
        </w:tc>
        <w:tc>
          <w:tcPr>
            <w:tcW w:w="706" w:type="pct"/>
            <w:tcBorders>
              <w:top w:val="single" w:color="auto" w:sz="12" w:space="0"/>
              <w:left w:val="single" w:color="auto" w:sz="4" w:space="0"/>
              <w:bottom w:val="single" w:color="auto" w:sz="4" w:space="0"/>
              <w:right w:val="single" w:color="auto" w:sz="12" w:space="0"/>
            </w:tcBorders>
            <w:noWrap/>
            <w:vAlign w:val="center"/>
          </w:tcPr>
          <w:p w14:paraId="3ADEA8EF">
            <w:pPr>
              <w:pageBreakBefore w:val="0"/>
              <w:kinsoku/>
              <w:wordWrap/>
              <w:overflowPunct/>
              <w:topLinePunct w:val="0"/>
              <w:autoSpaceDE/>
              <w:autoSpaceDN/>
              <w:bidi w:val="0"/>
              <w:adjustRightInd/>
              <w:spacing w:before="0"/>
              <w:ind w:left="207" w:hanging="235" w:hangingChars="98"/>
              <w:jc w:val="center"/>
              <w:outlineLvl w:val="9"/>
              <w:rPr>
                <w:rFonts w:hint="eastAsia" w:asciiTheme="minorEastAsia" w:hAnsiTheme="minorEastAsia" w:eastAsiaTheme="minorEastAsia" w:cstheme="minorEastAsia"/>
                <w:color w:val="000000"/>
                <w:kern w:val="2"/>
                <w:sz w:val="24"/>
                <w:szCs w:val="24"/>
                <w:highlight w:val="none"/>
              </w:rPr>
            </w:pPr>
            <w:bookmarkStart w:id="40" w:name="_Toc23208"/>
            <w:bookmarkStart w:id="41" w:name="_Toc16235"/>
            <w:bookmarkStart w:id="42" w:name="_Toc3069"/>
            <w:bookmarkStart w:id="43" w:name="_Toc30167"/>
            <w:bookmarkStart w:id="44" w:name="_Toc32252"/>
            <w:r>
              <w:rPr>
                <w:rFonts w:hint="eastAsia" w:asciiTheme="minorEastAsia" w:hAnsiTheme="minorEastAsia" w:eastAsiaTheme="minorEastAsia" w:cstheme="minorEastAsia"/>
                <w:color w:val="000000"/>
                <w:kern w:val="2"/>
                <w:sz w:val="24"/>
                <w:szCs w:val="24"/>
                <w:highlight w:val="none"/>
              </w:rPr>
              <w:t xml:space="preserve">金额 </w:t>
            </w:r>
          </w:p>
          <w:p w14:paraId="5FD625EA">
            <w:pPr>
              <w:pageBreakBefore w:val="0"/>
              <w:kinsoku/>
              <w:wordWrap/>
              <w:overflowPunct/>
              <w:topLinePunct w:val="0"/>
              <w:autoSpaceDE/>
              <w:autoSpaceDN/>
              <w:bidi w:val="0"/>
              <w:adjustRightInd/>
              <w:spacing w:before="0"/>
              <w:ind w:left="207" w:hanging="235" w:hangingChars="98"/>
              <w:jc w:val="center"/>
              <w:outlineLvl w:val="9"/>
              <w:rPr>
                <w:rFonts w:hint="eastAsia" w:asciiTheme="minorEastAsia" w:hAnsiTheme="minorEastAsia" w:eastAsiaTheme="minorEastAsia" w:cstheme="minorEastAsia"/>
                <w:color w:val="000000"/>
                <w:kern w:val="2"/>
                <w:sz w:val="24"/>
                <w:szCs w:val="24"/>
                <w:highlight w:val="none"/>
              </w:rPr>
            </w:pPr>
            <w:r>
              <w:rPr>
                <w:rFonts w:hint="eastAsia" w:asciiTheme="minorEastAsia" w:hAnsiTheme="minorEastAsia" w:eastAsiaTheme="minorEastAsia" w:cstheme="minorEastAsia"/>
                <w:color w:val="000000"/>
                <w:kern w:val="2"/>
                <w:sz w:val="24"/>
                <w:szCs w:val="24"/>
                <w:highlight w:val="none"/>
              </w:rPr>
              <w:t>(元)</w:t>
            </w:r>
            <w:bookmarkEnd w:id="40"/>
            <w:bookmarkEnd w:id="41"/>
            <w:bookmarkEnd w:id="42"/>
            <w:bookmarkEnd w:id="43"/>
            <w:bookmarkEnd w:id="44"/>
          </w:p>
        </w:tc>
      </w:tr>
      <w:tr w14:paraId="332E86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361" w:type="pct"/>
            <w:tcBorders>
              <w:top w:val="single" w:color="auto" w:sz="4" w:space="0"/>
              <w:left w:val="single" w:color="auto" w:sz="12" w:space="0"/>
              <w:bottom w:val="single" w:color="auto" w:sz="4" w:space="0"/>
              <w:right w:val="single" w:color="auto" w:sz="4" w:space="0"/>
            </w:tcBorders>
            <w:noWrap/>
            <w:vAlign w:val="top"/>
          </w:tcPr>
          <w:p w14:paraId="43E0D368">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09" w:type="pct"/>
            <w:tcBorders>
              <w:top w:val="single" w:color="auto" w:sz="4" w:space="0"/>
              <w:left w:val="single" w:color="auto" w:sz="4" w:space="0"/>
              <w:bottom w:val="single" w:color="auto" w:sz="4" w:space="0"/>
              <w:right w:val="single" w:color="auto" w:sz="4" w:space="0"/>
            </w:tcBorders>
            <w:noWrap/>
            <w:vAlign w:val="top"/>
          </w:tcPr>
          <w:p w14:paraId="724C4D58">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23B06BC1">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72" w:type="pct"/>
            <w:tcBorders>
              <w:top w:val="single" w:color="auto" w:sz="4" w:space="0"/>
              <w:left w:val="single" w:color="auto" w:sz="4" w:space="0"/>
              <w:bottom w:val="single" w:color="auto" w:sz="4" w:space="0"/>
              <w:right w:val="single" w:color="auto" w:sz="4" w:space="0"/>
            </w:tcBorders>
            <w:noWrap/>
            <w:vAlign w:val="top"/>
          </w:tcPr>
          <w:p w14:paraId="34EBFF2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3" w:type="pct"/>
            <w:tcBorders>
              <w:top w:val="single" w:color="auto" w:sz="4" w:space="0"/>
              <w:left w:val="single" w:color="auto" w:sz="4" w:space="0"/>
              <w:bottom w:val="single" w:color="auto" w:sz="4" w:space="0"/>
              <w:right w:val="single" w:color="auto" w:sz="4" w:space="0"/>
            </w:tcBorders>
            <w:noWrap/>
            <w:vAlign w:val="top"/>
          </w:tcPr>
          <w:p w14:paraId="42BFA6A9">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5CB42826">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5" w:type="pct"/>
            <w:tcBorders>
              <w:top w:val="single" w:color="auto" w:sz="4" w:space="0"/>
              <w:left w:val="single" w:color="auto" w:sz="4" w:space="0"/>
              <w:bottom w:val="single" w:color="auto" w:sz="4" w:space="0"/>
              <w:right w:val="single" w:color="auto" w:sz="4" w:space="0"/>
            </w:tcBorders>
            <w:noWrap/>
            <w:vAlign w:val="top"/>
          </w:tcPr>
          <w:p w14:paraId="637835FF">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0FE5D562">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706" w:type="pct"/>
            <w:tcBorders>
              <w:top w:val="single" w:color="auto" w:sz="4" w:space="0"/>
              <w:left w:val="single" w:color="auto" w:sz="4" w:space="0"/>
              <w:bottom w:val="single" w:color="auto" w:sz="4" w:space="0"/>
              <w:right w:val="single" w:color="auto" w:sz="12" w:space="0"/>
            </w:tcBorders>
            <w:noWrap/>
            <w:vAlign w:val="top"/>
          </w:tcPr>
          <w:p w14:paraId="3B354EBF">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2020E0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trPr>
        <w:tc>
          <w:tcPr>
            <w:tcW w:w="361" w:type="pct"/>
            <w:tcBorders>
              <w:top w:val="single" w:color="auto" w:sz="4" w:space="0"/>
              <w:left w:val="single" w:color="auto" w:sz="12" w:space="0"/>
              <w:bottom w:val="single" w:color="auto" w:sz="4" w:space="0"/>
              <w:right w:val="single" w:color="auto" w:sz="4" w:space="0"/>
            </w:tcBorders>
            <w:noWrap/>
            <w:vAlign w:val="top"/>
          </w:tcPr>
          <w:p w14:paraId="5C148A6C">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09" w:type="pct"/>
            <w:tcBorders>
              <w:top w:val="single" w:color="auto" w:sz="4" w:space="0"/>
              <w:left w:val="single" w:color="auto" w:sz="4" w:space="0"/>
              <w:bottom w:val="single" w:color="auto" w:sz="4" w:space="0"/>
              <w:right w:val="single" w:color="auto" w:sz="4" w:space="0"/>
            </w:tcBorders>
            <w:noWrap/>
            <w:vAlign w:val="top"/>
          </w:tcPr>
          <w:p w14:paraId="4E557692">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56FE5AAE">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p>
        </w:tc>
        <w:tc>
          <w:tcPr>
            <w:tcW w:w="672" w:type="pct"/>
            <w:tcBorders>
              <w:top w:val="single" w:color="auto" w:sz="4" w:space="0"/>
              <w:left w:val="single" w:color="auto" w:sz="4" w:space="0"/>
              <w:bottom w:val="single" w:color="auto" w:sz="4" w:space="0"/>
              <w:right w:val="single" w:color="auto" w:sz="4" w:space="0"/>
            </w:tcBorders>
            <w:noWrap/>
            <w:vAlign w:val="top"/>
          </w:tcPr>
          <w:p w14:paraId="31407191">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3" w:type="pct"/>
            <w:tcBorders>
              <w:top w:val="single" w:color="auto" w:sz="4" w:space="0"/>
              <w:left w:val="single" w:color="auto" w:sz="4" w:space="0"/>
              <w:bottom w:val="single" w:color="auto" w:sz="4" w:space="0"/>
              <w:right w:val="single" w:color="auto" w:sz="4" w:space="0"/>
            </w:tcBorders>
            <w:noWrap/>
            <w:vAlign w:val="top"/>
          </w:tcPr>
          <w:p w14:paraId="6AC0E589">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598943B2">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5" w:type="pct"/>
            <w:tcBorders>
              <w:top w:val="single" w:color="auto" w:sz="4" w:space="0"/>
              <w:left w:val="single" w:color="auto" w:sz="4" w:space="0"/>
              <w:bottom w:val="single" w:color="auto" w:sz="4" w:space="0"/>
              <w:right w:val="single" w:color="auto" w:sz="4" w:space="0"/>
            </w:tcBorders>
            <w:noWrap/>
            <w:vAlign w:val="top"/>
          </w:tcPr>
          <w:p w14:paraId="58EB4BB9">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1B110AF8">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706" w:type="pct"/>
            <w:tcBorders>
              <w:top w:val="single" w:color="auto" w:sz="4" w:space="0"/>
              <w:left w:val="single" w:color="auto" w:sz="4" w:space="0"/>
              <w:bottom w:val="single" w:color="auto" w:sz="4" w:space="0"/>
              <w:right w:val="single" w:color="auto" w:sz="12" w:space="0"/>
            </w:tcBorders>
            <w:noWrap/>
            <w:vAlign w:val="top"/>
          </w:tcPr>
          <w:p w14:paraId="0FB69525">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3C9426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1" w:type="pct"/>
            <w:tcBorders>
              <w:top w:val="single" w:color="auto" w:sz="4" w:space="0"/>
              <w:left w:val="single" w:color="auto" w:sz="12" w:space="0"/>
              <w:bottom w:val="single" w:color="auto" w:sz="4" w:space="0"/>
              <w:right w:val="single" w:color="auto" w:sz="4" w:space="0"/>
            </w:tcBorders>
            <w:noWrap/>
            <w:vAlign w:val="top"/>
          </w:tcPr>
          <w:p w14:paraId="3DADFA6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09" w:type="pct"/>
            <w:tcBorders>
              <w:top w:val="single" w:color="auto" w:sz="4" w:space="0"/>
              <w:left w:val="single" w:color="auto" w:sz="4" w:space="0"/>
              <w:bottom w:val="single" w:color="auto" w:sz="4" w:space="0"/>
              <w:right w:val="single" w:color="auto" w:sz="4" w:space="0"/>
            </w:tcBorders>
            <w:noWrap/>
            <w:vAlign w:val="top"/>
          </w:tcPr>
          <w:p w14:paraId="39975879">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0D1029FB">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p>
        </w:tc>
        <w:tc>
          <w:tcPr>
            <w:tcW w:w="672" w:type="pct"/>
            <w:tcBorders>
              <w:top w:val="single" w:color="auto" w:sz="4" w:space="0"/>
              <w:left w:val="single" w:color="auto" w:sz="4" w:space="0"/>
              <w:bottom w:val="single" w:color="auto" w:sz="4" w:space="0"/>
              <w:right w:val="single" w:color="auto" w:sz="4" w:space="0"/>
            </w:tcBorders>
            <w:noWrap/>
            <w:vAlign w:val="top"/>
          </w:tcPr>
          <w:p w14:paraId="27F352DD">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3" w:type="pct"/>
            <w:tcBorders>
              <w:top w:val="single" w:color="auto" w:sz="4" w:space="0"/>
              <w:left w:val="single" w:color="auto" w:sz="4" w:space="0"/>
              <w:bottom w:val="single" w:color="auto" w:sz="4" w:space="0"/>
              <w:right w:val="single" w:color="auto" w:sz="4" w:space="0"/>
            </w:tcBorders>
            <w:noWrap/>
            <w:vAlign w:val="top"/>
          </w:tcPr>
          <w:p w14:paraId="7D3A8E5A">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31E7806B">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5" w:type="pct"/>
            <w:tcBorders>
              <w:top w:val="single" w:color="auto" w:sz="4" w:space="0"/>
              <w:left w:val="single" w:color="auto" w:sz="4" w:space="0"/>
              <w:bottom w:val="single" w:color="auto" w:sz="4" w:space="0"/>
              <w:right w:val="single" w:color="auto" w:sz="4" w:space="0"/>
            </w:tcBorders>
            <w:noWrap/>
            <w:vAlign w:val="top"/>
          </w:tcPr>
          <w:p w14:paraId="4D85C698">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4ABB68A1">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706" w:type="pct"/>
            <w:tcBorders>
              <w:top w:val="single" w:color="auto" w:sz="4" w:space="0"/>
              <w:left w:val="single" w:color="auto" w:sz="4" w:space="0"/>
              <w:bottom w:val="single" w:color="auto" w:sz="4" w:space="0"/>
              <w:right w:val="single" w:color="auto" w:sz="12" w:space="0"/>
            </w:tcBorders>
            <w:noWrap/>
            <w:vAlign w:val="top"/>
          </w:tcPr>
          <w:p w14:paraId="5FC10FCA">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0AE5D4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1" w:type="pct"/>
            <w:tcBorders>
              <w:top w:val="single" w:color="auto" w:sz="4" w:space="0"/>
              <w:left w:val="single" w:color="auto" w:sz="12" w:space="0"/>
              <w:bottom w:val="single" w:color="auto" w:sz="4" w:space="0"/>
              <w:right w:val="single" w:color="auto" w:sz="4" w:space="0"/>
            </w:tcBorders>
            <w:noWrap/>
            <w:vAlign w:val="top"/>
          </w:tcPr>
          <w:p w14:paraId="360C3CE3">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09" w:type="pct"/>
            <w:tcBorders>
              <w:top w:val="single" w:color="auto" w:sz="4" w:space="0"/>
              <w:left w:val="single" w:color="auto" w:sz="4" w:space="0"/>
              <w:bottom w:val="single" w:color="auto" w:sz="4" w:space="0"/>
              <w:right w:val="single" w:color="auto" w:sz="4" w:space="0"/>
            </w:tcBorders>
            <w:noWrap/>
            <w:vAlign w:val="top"/>
          </w:tcPr>
          <w:p w14:paraId="65CE198A">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779C47A3">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p>
        </w:tc>
        <w:tc>
          <w:tcPr>
            <w:tcW w:w="672" w:type="pct"/>
            <w:tcBorders>
              <w:top w:val="single" w:color="auto" w:sz="4" w:space="0"/>
              <w:left w:val="single" w:color="auto" w:sz="4" w:space="0"/>
              <w:bottom w:val="single" w:color="auto" w:sz="4" w:space="0"/>
              <w:right w:val="single" w:color="auto" w:sz="4" w:space="0"/>
            </w:tcBorders>
            <w:noWrap/>
            <w:vAlign w:val="top"/>
          </w:tcPr>
          <w:p w14:paraId="0247176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3" w:type="pct"/>
            <w:tcBorders>
              <w:top w:val="single" w:color="auto" w:sz="4" w:space="0"/>
              <w:left w:val="single" w:color="auto" w:sz="4" w:space="0"/>
              <w:bottom w:val="single" w:color="auto" w:sz="4" w:space="0"/>
              <w:right w:val="single" w:color="auto" w:sz="4" w:space="0"/>
            </w:tcBorders>
            <w:noWrap/>
            <w:vAlign w:val="top"/>
          </w:tcPr>
          <w:p w14:paraId="3852BD4D">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621B24BC">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5" w:type="pct"/>
            <w:tcBorders>
              <w:top w:val="single" w:color="auto" w:sz="4" w:space="0"/>
              <w:left w:val="single" w:color="auto" w:sz="4" w:space="0"/>
              <w:bottom w:val="single" w:color="auto" w:sz="4" w:space="0"/>
              <w:right w:val="single" w:color="auto" w:sz="4" w:space="0"/>
            </w:tcBorders>
            <w:noWrap/>
            <w:vAlign w:val="top"/>
          </w:tcPr>
          <w:p w14:paraId="3853112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40C31184">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706" w:type="pct"/>
            <w:tcBorders>
              <w:top w:val="single" w:color="auto" w:sz="4" w:space="0"/>
              <w:left w:val="single" w:color="auto" w:sz="4" w:space="0"/>
              <w:bottom w:val="single" w:color="auto" w:sz="4" w:space="0"/>
              <w:right w:val="single" w:color="auto" w:sz="12" w:space="0"/>
            </w:tcBorders>
            <w:noWrap/>
            <w:vAlign w:val="top"/>
          </w:tcPr>
          <w:p w14:paraId="50F83E4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469D57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1" w:type="pct"/>
            <w:tcBorders>
              <w:top w:val="single" w:color="auto" w:sz="4" w:space="0"/>
              <w:left w:val="single" w:color="auto" w:sz="12" w:space="0"/>
              <w:bottom w:val="single" w:color="auto" w:sz="4" w:space="0"/>
              <w:right w:val="single" w:color="auto" w:sz="4" w:space="0"/>
            </w:tcBorders>
            <w:noWrap/>
            <w:vAlign w:val="top"/>
          </w:tcPr>
          <w:p w14:paraId="27ADF710">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09" w:type="pct"/>
            <w:tcBorders>
              <w:top w:val="single" w:color="auto" w:sz="4" w:space="0"/>
              <w:left w:val="single" w:color="auto" w:sz="4" w:space="0"/>
              <w:bottom w:val="single" w:color="auto" w:sz="4" w:space="0"/>
              <w:right w:val="single" w:color="auto" w:sz="4" w:space="0"/>
            </w:tcBorders>
            <w:noWrap/>
            <w:vAlign w:val="top"/>
          </w:tcPr>
          <w:p w14:paraId="6AB12CF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6CA75813">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72" w:type="pct"/>
            <w:tcBorders>
              <w:top w:val="single" w:color="auto" w:sz="4" w:space="0"/>
              <w:left w:val="single" w:color="auto" w:sz="4" w:space="0"/>
              <w:bottom w:val="single" w:color="auto" w:sz="4" w:space="0"/>
              <w:right w:val="single" w:color="auto" w:sz="4" w:space="0"/>
            </w:tcBorders>
            <w:noWrap/>
            <w:vAlign w:val="top"/>
          </w:tcPr>
          <w:p w14:paraId="59009861">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3" w:type="pct"/>
            <w:tcBorders>
              <w:top w:val="single" w:color="auto" w:sz="4" w:space="0"/>
              <w:left w:val="single" w:color="auto" w:sz="4" w:space="0"/>
              <w:bottom w:val="single" w:color="auto" w:sz="4" w:space="0"/>
              <w:right w:val="single" w:color="auto" w:sz="4" w:space="0"/>
            </w:tcBorders>
            <w:noWrap/>
            <w:vAlign w:val="top"/>
          </w:tcPr>
          <w:p w14:paraId="3D9B16E4">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244477F9">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5" w:type="pct"/>
            <w:tcBorders>
              <w:top w:val="single" w:color="auto" w:sz="4" w:space="0"/>
              <w:left w:val="single" w:color="auto" w:sz="4" w:space="0"/>
              <w:bottom w:val="single" w:color="auto" w:sz="4" w:space="0"/>
              <w:right w:val="single" w:color="auto" w:sz="4" w:space="0"/>
            </w:tcBorders>
            <w:noWrap/>
            <w:vAlign w:val="top"/>
          </w:tcPr>
          <w:p w14:paraId="60778A1B">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06A5D426">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706" w:type="pct"/>
            <w:tcBorders>
              <w:top w:val="single" w:color="auto" w:sz="4" w:space="0"/>
              <w:left w:val="single" w:color="auto" w:sz="4" w:space="0"/>
              <w:bottom w:val="single" w:color="auto" w:sz="4" w:space="0"/>
              <w:right w:val="single" w:color="auto" w:sz="12" w:space="0"/>
            </w:tcBorders>
            <w:noWrap/>
            <w:vAlign w:val="top"/>
          </w:tcPr>
          <w:p w14:paraId="776F4F8B">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09CA1B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1" w:type="pct"/>
            <w:tcBorders>
              <w:top w:val="single" w:color="auto" w:sz="4" w:space="0"/>
              <w:left w:val="single" w:color="auto" w:sz="12" w:space="0"/>
              <w:bottom w:val="single" w:color="auto" w:sz="4" w:space="0"/>
              <w:right w:val="single" w:color="auto" w:sz="4" w:space="0"/>
            </w:tcBorders>
            <w:noWrap/>
            <w:vAlign w:val="top"/>
          </w:tcPr>
          <w:p w14:paraId="772D7BDC">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09" w:type="pct"/>
            <w:tcBorders>
              <w:top w:val="single" w:color="auto" w:sz="4" w:space="0"/>
              <w:left w:val="single" w:color="auto" w:sz="4" w:space="0"/>
              <w:bottom w:val="single" w:color="auto" w:sz="4" w:space="0"/>
              <w:right w:val="single" w:color="auto" w:sz="4" w:space="0"/>
            </w:tcBorders>
            <w:noWrap/>
            <w:vAlign w:val="top"/>
          </w:tcPr>
          <w:p w14:paraId="370391D1">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43942378">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72" w:type="pct"/>
            <w:tcBorders>
              <w:top w:val="single" w:color="auto" w:sz="4" w:space="0"/>
              <w:left w:val="single" w:color="auto" w:sz="4" w:space="0"/>
              <w:bottom w:val="single" w:color="auto" w:sz="4" w:space="0"/>
              <w:right w:val="single" w:color="auto" w:sz="4" w:space="0"/>
            </w:tcBorders>
            <w:noWrap/>
            <w:vAlign w:val="top"/>
          </w:tcPr>
          <w:p w14:paraId="292C3302">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3" w:type="pct"/>
            <w:tcBorders>
              <w:top w:val="single" w:color="auto" w:sz="4" w:space="0"/>
              <w:left w:val="single" w:color="auto" w:sz="4" w:space="0"/>
              <w:bottom w:val="single" w:color="auto" w:sz="4" w:space="0"/>
              <w:right w:val="single" w:color="auto" w:sz="4" w:space="0"/>
            </w:tcBorders>
            <w:noWrap/>
            <w:vAlign w:val="top"/>
          </w:tcPr>
          <w:p w14:paraId="1928CFF4">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10" w:type="pct"/>
            <w:tcBorders>
              <w:top w:val="single" w:color="auto" w:sz="4" w:space="0"/>
              <w:left w:val="single" w:color="auto" w:sz="4" w:space="0"/>
              <w:bottom w:val="single" w:color="auto" w:sz="4" w:space="0"/>
              <w:right w:val="single" w:color="auto" w:sz="4" w:space="0"/>
            </w:tcBorders>
            <w:noWrap/>
            <w:vAlign w:val="top"/>
          </w:tcPr>
          <w:p w14:paraId="2E8562D0">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5" w:type="pct"/>
            <w:tcBorders>
              <w:top w:val="single" w:color="auto" w:sz="4" w:space="0"/>
              <w:left w:val="single" w:color="auto" w:sz="4" w:space="0"/>
              <w:bottom w:val="single" w:color="auto" w:sz="4" w:space="0"/>
              <w:right w:val="single" w:color="auto" w:sz="4" w:space="0"/>
            </w:tcBorders>
            <w:noWrap/>
            <w:vAlign w:val="top"/>
          </w:tcPr>
          <w:p w14:paraId="78770077">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7032FA56">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706" w:type="pct"/>
            <w:tcBorders>
              <w:top w:val="single" w:color="auto" w:sz="4" w:space="0"/>
              <w:left w:val="single" w:color="auto" w:sz="4" w:space="0"/>
              <w:bottom w:val="single" w:color="auto" w:sz="4" w:space="0"/>
              <w:right w:val="single" w:color="auto" w:sz="12" w:space="0"/>
            </w:tcBorders>
            <w:noWrap/>
            <w:vAlign w:val="top"/>
          </w:tcPr>
          <w:p w14:paraId="568EAC2D">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2DF390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361" w:type="pct"/>
            <w:tcBorders>
              <w:top w:val="single" w:color="auto" w:sz="4" w:space="0"/>
              <w:left w:val="single" w:color="auto" w:sz="12" w:space="0"/>
              <w:bottom w:val="single" w:color="auto" w:sz="12" w:space="0"/>
              <w:right w:val="single" w:color="auto" w:sz="4" w:space="0"/>
            </w:tcBorders>
            <w:noWrap/>
            <w:vAlign w:val="top"/>
          </w:tcPr>
          <w:p w14:paraId="163E0D75">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09" w:type="pct"/>
            <w:tcBorders>
              <w:top w:val="single" w:color="auto" w:sz="4" w:space="0"/>
              <w:left w:val="single" w:color="auto" w:sz="4" w:space="0"/>
              <w:bottom w:val="single" w:color="auto" w:sz="12" w:space="0"/>
              <w:right w:val="single" w:color="auto" w:sz="4" w:space="0"/>
            </w:tcBorders>
            <w:noWrap/>
            <w:vAlign w:val="center"/>
          </w:tcPr>
          <w:p w14:paraId="022D4884">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bookmarkStart w:id="45" w:name="_Toc32106"/>
            <w:bookmarkStart w:id="46" w:name="_Toc19191"/>
            <w:bookmarkStart w:id="47" w:name="_Toc21829"/>
            <w:bookmarkStart w:id="48" w:name="_Toc29310"/>
            <w:bookmarkStart w:id="49" w:name="_Toc19124"/>
            <w:r>
              <w:rPr>
                <w:rFonts w:hint="eastAsia" w:asciiTheme="minorEastAsia" w:hAnsiTheme="minorEastAsia" w:eastAsiaTheme="minorEastAsia" w:cstheme="minorEastAsia"/>
                <w:color w:val="000000"/>
                <w:kern w:val="2"/>
                <w:sz w:val="24"/>
                <w:szCs w:val="24"/>
                <w:highlight w:val="none"/>
              </w:rPr>
              <w:t>合计</w:t>
            </w:r>
            <w:bookmarkEnd w:id="45"/>
            <w:bookmarkEnd w:id="46"/>
            <w:bookmarkEnd w:id="47"/>
            <w:bookmarkEnd w:id="48"/>
            <w:bookmarkEnd w:id="49"/>
          </w:p>
        </w:tc>
        <w:tc>
          <w:tcPr>
            <w:tcW w:w="2621" w:type="pct"/>
            <w:gridSpan w:val="5"/>
            <w:tcBorders>
              <w:top w:val="single" w:color="auto" w:sz="4" w:space="0"/>
              <w:left w:val="single" w:color="auto" w:sz="4" w:space="0"/>
              <w:bottom w:val="single" w:color="auto" w:sz="12" w:space="0"/>
              <w:right w:val="single" w:color="auto" w:sz="4" w:space="0"/>
            </w:tcBorders>
            <w:noWrap/>
            <w:vAlign w:val="center"/>
          </w:tcPr>
          <w:p w14:paraId="0FE9D337">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bookmarkStart w:id="50" w:name="_Toc2960"/>
            <w:bookmarkStart w:id="51" w:name="_Toc25331"/>
            <w:bookmarkStart w:id="52" w:name="_Toc17082"/>
            <w:bookmarkStart w:id="53" w:name="_Toc4152"/>
            <w:bookmarkStart w:id="54" w:name="_Toc14595"/>
            <w:r>
              <w:rPr>
                <w:rFonts w:hint="eastAsia" w:asciiTheme="minorEastAsia" w:hAnsiTheme="minorEastAsia" w:eastAsiaTheme="minorEastAsia" w:cstheme="minorEastAsia"/>
                <w:color w:val="000000"/>
                <w:kern w:val="2"/>
                <w:sz w:val="24"/>
                <w:szCs w:val="24"/>
                <w:highlight w:val="none"/>
              </w:rPr>
              <w:t>大写</w:t>
            </w:r>
            <w:bookmarkEnd w:id="50"/>
            <w:bookmarkEnd w:id="51"/>
            <w:bookmarkEnd w:id="52"/>
            <w:bookmarkEnd w:id="53"/>
            <w:bookmarkEnd w:id="54"/>
          </w:p>
        </w:tc>
        <w:tc>
          <w:tcPr>
            <w:tcW w:w="1406" w:type="pct"/>
            <w:gridSpan w:val="2"/>
            <w:tcBorders>
              <w:top w:val="single" w:color="auto" w:sz="4" w:space="0"/>
              <w:left w:val="single" w:color="auto" w:sz="4" w:space="0"/>
              <w:bottom w:val="single" w:color="auto" w:sz="12" w:space="0"/>
              <w:right w:val="single" w:color="auto" w:sz="12" w:space="0"/>
            </w:tcBorders>
            <w:noWrap/>
            <w:vAlign w:val="center"/>
          </w:tcPr>
          <w:p w14:paraId="747A1AD5">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bookmarkStart w:id="55" w:name="_Toc10954"/>
            <w:bookmarkStart w:id="56" w:name="_Toc29773"/>
            <w:bookmarkStart w:id="57" w:name="_Toc28580"/>
            <w:bookmarkStart w:id="58" w:name="_Toc7999"/>
            <w:bookmarkStart w:id="59" w:name="_Toc13206"/>
            <w:r>
              <w:rPr>
                <w:rFonts w:hint="eastAsia" w:asciiTheme="minorEastAsia" w:hAnsiTheme="minorEastAsia" w:eastAsiaTheme="minorEastAsia" w:cstheme="minorEastAsia"/>
                <w:color w:val="000000"/>
                <w:kern w:val="2"/>
                <w:sz w:val="24"/>
                <w:szCs w:val="24"/>
                <w:highlight w:val="none"/>
              </w:rPr>
              <w:t>¥</w:t>
            </w:r>
            <w:bookmarkEnd w:id="55"/>
            <w:bookmarkEnd w:id="56"/>
            <w:bookmarkEnd w:id="57"/>
            <w:bookmarkEnd w:id="58"/>
            <w:bookmarkEnd w:id="59"/>
          </w:p>
        </w:tc>
      </w:tr>
    </w:tbl>
    <w:p w14:paraId="621614B4">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bCs/>
          <w:sz w:val="24"/>
          <w:szCs w:val="24"/>
          <w:highlight w:val="none"/>
        </w:rPr>
      </w:pPr>
      <w:bookmarkStart w:id="60" w:name="_Toc25260"/>
      <w:r>
        <w:rPr>
          <w:rFonts w:hint="eastAsia" w:asciiTheme="minorEastAsia" w:hAnsiTheme="minorEastAsia" w:eastAsiaTheme="minorEastAsia" w:cstheme="minorEastAsia"/>
          <w:b/>
          <w:bCs/>
          <w:sz w:val="24"/>
          <w:szCs w:val="24"/>
          <w:highlight w:val="none"/>
        </w:rPr>
        <w:t>第二条 合同价款</w:t>
      </w:r>
      <w:bookmarkEnd w:id="60"/>
    </w:p>
    <w:p w14:paraId="234309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1" w:name="_Toc12829"/>
      <w:r>
        <w:rPr>
          <w:rFonts w:hint="eastAsia" w:asciiTheme="minorEastAsia" w:hAnsiTheme="minorEastAsia" w:eastAsiaTheme="minorEastAsia" w:cstheme="minorEastAsia"/>
          <w:sz w:val="24"/>
          <w:szCs w:val="24"/>
          <w:highlight w:val="none"/>
        </w:rPr>
        <w:t>1、合同总价</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人民币（大写）</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元，（</w:t>
      </w:r>
      <w:r>
        <w:rPr>
          <w:rFonts w:hint="eastAsia" w:asciiTheme="minorEastAsia" w:hAnsiTheme="minorEastAsia" w:eastAsiaTheme="minorEastAsia" w:cstheme="minorEastAsia"/>
          <w:b w:val="0"/>
          <w:sz w:val="24"/>
          <w:szCs w:val="24"/>
        </w:rPr>
        <w:t>¥</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sz w:val="24"/>
          <w:szCs w:val="24"/>
          <w:highlight w:val="none"/>
        </w:rPr>
        <w:t>）。</w:t>
      </w:r>
      <w:bookmarkEnd w:id="61"/>
    </w:p>
    <w:p w14:paraId="497EEC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2" w:name="_Toc29915"/>
      <w:r>
        <w:rPr>
          <w:rFonts w:hint="eastAsia" w:asciiTheme="minorEastAsia" w:hAnsiTheme="minorEastAsia" w:eastAsiaTheme="minorEastAsia" w:cstheme="minorEastAsia"/>
          <w:sz w:val="24"/>
          <w:szCs w:val="24"/>
          <w:highlight w:val="none"/>
        </w:rPr>
        <w:t>2、本合同总价是供应商为完成本次</w:t>
      </w:r>
      <w:r>
        <w:rPr>
          <w:rFonts w:hint="eastAsia" w:asciiTheme="minorEastAsia" w:hAnsiTheme="minorEastAsia" w:eastAsiaTheme="minorEastAsia" w:cstheme="minorEastAsia"/>
          <w:sz w:val="24"/>
          <w:szCs w:val="24"/>
          <w:highlight w:val="none"/>
          <w:lang w:val="en-US" w:eastAsia="zh-CN"/>
        </w:rPr>
        <w:t>招标</w:t>
      </w:r>
      <w:r>
        <w:rPr>
          <w:rFonts w:hint="eastAsia" w:asciiTheme="minorEastAsia" w:hAnsiTheme="minorEastAsia" w:eastAsiaTheme="minorEastAsia" w:cstheme="minorEastAsia"/>
          <w:sz w:val="24"/>
          <w:szCs w:val="24"/>
          <w:highlight w:val="none"/>
        </w:rPr>
        <w:t>所要求的货物、服务且验收合格的所有费用，包括但不限于产品(设备)费、材料、安装调试费、运杂费（含保险）、仓储保管费、技术培训费、检测费、劳务、风险、利润、规费、税金、验收</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政策性文件规定的各项应有费用等其他一切相关费用。供应商所报的价格应考虑到可能发生的所有与完成本次</w:t>
      </w:r>
      <w:r>
        <w:rPr>
          <w:rFonts w:hint="eastAsia" w:asciiTheme="minorEastAsia" w:hAnsiTheme="minorEastAsia" w:eastAsiaTheme="minorEastAsia" w:cstheme="minorEastAsia"/>
          <w:sz w:val="24"/>
          <w:szCs w:val="24"/>
          <w:highlight w:val="none"/>
          <w:lang w:val="en-US" w:eastAsia="zh-CN"/>
        </w:rPr>
        <w:t>招标</w:t>
      </w:r>
      <w:r>
        <w:rPr>
          <w:rFonts w:hint="eastAsia" w:asciiTheme="minorEastAsia" w:hAnsiTheme="minorEastAsia" w:eastAsiaTheme="minorEastAsia" w:cstheme="minorEastAsia"/>
          <w:sz w:val="24"/>
          <w:szCs w:val="24"/>
          <w:highlight w:val="none"/>
        </w:rPr>
        <w:t>相关货物、服务及履行合同义务有关的一切费用。</w:t>
      </w:r>
      <w:bookmarkEnd w:id="62"/>
    </w:p>
    <w:p w14:paraId="03EF22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3" w:name="_Toc22881"/>
      <w:r>
        <w:rPr>
          <w:rFonts w:hint="eastAsia" w:asciiTheme="minorEastAsia" w:hAnsiTheme="minorEastAsia" w:eastAsiaTheme="minorEastAsia" w:cstheme="minorEastAsia"/>
          <w:sz w:val="24"/>
          <w:szCs w:val="24"/>
          <w:highlight w:val="none"/>
        </w:rPr>
        <w:t>3、本合同总价还包含乙方应当提供的伴随服务和售后服务费用。</w:t>
      </w:r>
      <w:bookmarkEnd w:id="63"/>
    </w:p>
    <w:p w14:paraId="1BDA3D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4" w:name="_Toc9657"/>
      <w:r>
        <w:rPr>
          <w:rFonts w:hint="eastAsia" w:asciiTheme="minorEastAsia" w:hAnsiTheme="minorEastAsia" w:eastAsiaTheme="minorEastAsia" w:cstheme="minorEastAsia"/>
          <w:sz w:val="24"/>
          <w:szCs w:val="24"/>
          <w:highlight w:val="none"/>
        </w:rPr>
        <w:t>4、本合同执行期间合同总价不变，甲方无须另向乙方支付本合同规定之外的其他任何费用。</w:t>
      </w:r>
      <w:bookmarkEnd w:id="64"/>
    </w:p>
    <w:p w14:paraId="0139C4D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sz w:val="24"/>
          <w:szCs w:val="24"/>
          <w:highlight w:val="none"/>
        </w:rPr>
        <w:t>第三</w:t>
      </w:r>
      <w:r>
        <w:rPr>
          <w:rFonts w:hint="eastAsia" w:asciiTheme="minorEastAsia" w:hAnsiTheme="minorEastAsia" w:eastAsiaTheme="minorEastAsia" w:cstheme="minorEastAsia"/>
          <w:b/>
          <w:bCs/>
          <w:color w:val="auto"/>
          <w:sz w:val="24"/>
          <w:szCs w:val="24"/>
          <w:highlight w:val="none"/>
        </w:rPr>
        <w:t>条</w:t>
      </w:r>
      <w:r>
        <w:rPr>
          <w:rFonts w:hint="eastAsia" w:asciiTheme="minorEastAsia" w:hAnsiTheme="minorEastAsia" w:eastAsiaTheme="minorEastAsia" w:cstheme="minorEastAsia"/>
          <w:b/>
          <w:bCs/>
          <w:color w:val="auto"/>
          <w:sz w:val="24"/>
          <w:szCs w:val="24"/>
          <w:highlight w:val="none"/>
          <w:lang w:val="en-US" w:eastAsia="zh-CN"/>
        </w:rPr>
        <w:t xml:space="preserve"> </w:t>
      </w:r>
      <w:r>
        <w:rPr>
          <w:rFonts w:hint="eastAsia" w:asciiTheme="minorEastAsia" w:hAnsiTheme="minorEastAsia" w:eastAsiaTheme="minorEastAsia" w:cstheme="minorEastAsia"/>
          <w:b/>
          <w:bCs/>
          <w:color w:val="auto"/>
          <w:sz w:val="24"/>
          <w:szCs w:val="24"/>
          <w:highlight w:val="none"/>
        </w:rPr>
        <w:t>款项结算</w:t>
      </w:r>
    </w:p>
    <w:p w14:paraId="17FDD1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付款条件说明：第一阶段：货物全部运到采购人指定地方，安装调试完毕后，卖方持送货清单和等额发票在买方处办理百分之七十（70%）货款的支付手续。第二阶段：经终验合格后，卖方持《终验合格单》原件和等额发票在买方处办理百分之三十（30%）货款的支付手续。</w:t>
      </w:r>
    </w:p>
    <w:p w14:paraId="12512D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2、乙方须向甲方出具合法有效的完税发票，甲方进行支付结算。</w:t>
      </w:r>
    </w:p>
    <w:p w14:paraId="06DB08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5" w:name="_Toc10542"/>
      <w:r>
        <w:rPr>
          <w:rFonts w:hint="eastAsia" w:asciiTheme="minorEastAsia" w:hAnsiTheme="minorEastAsia" w:eastAsiaTheme="minorEastAsia" w:cstheme="minorEastAsia"/>
          <w:sz w:val="24"/>
          <w:szCs w:val="24"/>
          <w:highlight w:val="none"/>
        </w:rPr>
        <w:t>3、结算方式：银行转账。</w:t>
      </w:r>
      <w:bookmarkEnd w:id="65"/>
    </w:p>
    <w:p w14:paraId="606B61FB">
      <w:pPr>
        <w:pStyle w:val="6"/>
        <w:pageBreakBefore w:val="0"/>
        <w:kinsoku/>
        <w:wordWrap/>
        <w:overflowPunct/>
        <w:topLinePunct w:val="0"/>
        <w:autoSpaceDE/>
        <w:autoSpaceDN/>
        <w:bidi w:val="0"/>
        <w:adjustRightInd/>
        <w:spacing w:line="360" w:lineRule="auto"/>
        <w:outlineLvl w:val="9"/>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第四条</w:t>
      </w:r>
      <w:r>
        <w:rPr>
          <w:rFonts w:hint="eastAsia" w:asciiTheme="minorEastAsia" w:hAnsiTheme="minorEastAsia" w:eastAsiaTheme="minorEastAsia" w:cstheme="minorEastAsia"/>
          <w:b/>
          <w:bCs/>
          <w:sz w:val="24"/>
          <w:szCs w:val="24"/>
          <w:highlight w:val="none"/>
          <w:lang w:val="en-US" w:eastAsia="zh-CN"/>
        </w:rPr>
        <w:t xml:space="preserve"> </w:t>
      </w:r>
      <w:r>
        <w:rPr>
          <w:rFonts w:hint="eastAsia" w:asciiTheme="minorEastAsia" w:hAnsiTheme="minorEastAsia" w:eastAsiaTheme="minorEastAsia" w:cstheme="minorEastAsia"/>
          <w:b/>
          <w:bCs/>
          <w:sz w:val="24"/>
          <w:szCs w:val="24"/>
          <w:highlight w:val="none"/>
        </w:rPr>
        <w:t>权利保证</w:t>
      </w:r>
    </w:p>
    <w:p w14:paraId="30C01544">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1、乙方保证对其出售的货物享有合法的权利。</w:t>
      </w:r>
    </w:p>
    <w:p w14:paraId="2E5DEC95">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2、乙方保证对其出售的货物上不存在任何未曾向甲方透露的担保物权，如抵押权、质押权、留置权。</w:t>
      </w:r>
    </w:p>
    <w:p w14:paraId="2C0A86A7">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3、乙方保证对其出售的货物或其任何一部分没有侵犯第三方的专利权、版权、商标权或其他权利。</w:t>
      </w:r>
    </w:p>
    <w:p w14:paraId="20A3BB2C">
      <w:pPr>
        <w:pStyle w:val="11"/>
        <w:pageBreakBefore w:val="0"/>
        <w:kinsoku/>
        <w:wordWrap/>
        <w:overflowPunct/>
        <w:topLinePunct w:val="0"/>
        <w:autoSpaceDE/>
        <w:autoSpaceDN/>
        <w:bidi w:val="0"/>
        <w:adjustRightInd/>
        <w:spacing w:line="360" w:lineRule="auto"/>
        <w:ind w:left="161" w:leftChars="67" w:firstLine="360" w:firstLineChars="150"/>
        <w:outlineLvl w:val="9"/>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4、如甲方在使用该货物构成上述侵权的，则由乙方承担全部责任。</w:t>
      </w:r>
    </w:p>
    <w:p w14:paraId="09A22217">
      <w:pPr>
        <w:pStyle w:val="6"/>
        <w:pageBreakBefore w:val="0"/>
        <w:kinsoku/>
        <w:wordWrap/>
        <w:overflowPunct/>
        <w:topLinePunct w:val="0"/>
        <w:autoSpaceDE/>
        <w:autoSpaceDN/>
        <w:bidi w:val="0"/>
        <w:adjustRightInd/>
        <w:spacing w:line="360" w:lineRule="auto"/>
        <w:outlineLvl w:val="9"/>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第五条</w:t>
      </w:r>
      <w:r>
        <w:rPr>
          <w:rFonts w:hint="eastAsia" w:asciiTheme="minorEastAsia" w:hAnsiTheme="minorEastAsia" w:eastAsiaTheme="minorEastAsia" w:cstheme="minorEastAsia"/>
          <w:b/>
          <w:bCs/>
          <w:sz w:val="24"/>
          <w:szCs w:val="24"/>
          <w:highlight w:val="none"/>
          <w:lang w:val="en-US" w:eastAsia="zh-CN"/>
        </w:rPr>
        <w:t xml:space="preserve"> </w:t>
      </w:r>
      <w:r>
        <w:rPr>
          <w:rFonts w:hint="eastAsia" w:asciiTheme="minorEastAsia" w:hAnsiTheme="minorEastAsia" w:eastAsiaTheme="minorEastAsia" w:cstheme="minorEastAsia"/>
          <w:b/>
          <w:bCs/>
          <w:sz w:val="24"/>
          <w:szCs w:val="24"/>
          <w:highlight w:val="none"/>
        </w:rPr>
        <w:t>交货时间与地点</w:t>
      </w:r>
    </w:p>
    <w:p w14:paraId="6B12CD01">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乙方在合同签订生效之日起，按甲方指定时间、地点交货。</w:t>
      </w:r>
      <w:bookmarkStart w:id="66" w:name="_GoBack"/>
      <w:bookmarkEnd w:id="66"/>
    </w:p>
    <w:p w14:paraId="1EF9468D">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sz w:val="24"/>
          <w:szCs w:val="24"/>
          <w:highlight w:val="none"/>
        </w:rPr>
        <w:t>1、交货</w:t>
      </w:r>
      <w:r>
        <w:rPr>
          <w:rFonts w:hint="eastAsia" w:asciiTheme="minorEastAsia" w:hAnsiTheme="minorEastAsia" w:eastAsiaTheme="minorEastAsia" w:cstheme="minorEastAsia"/>
          <w:color w:val="auto"/>
          <w:sz w:val="24"/>
          <w:szCs w:val="24"/>
          <w:highlight w:val="none"/>
          <w:lang w:val="en-US" w:eastAsia="zh-CN"/>
        </w:rPr>
        <w:t>时间</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kern w:val="0"/>
          <w:sz w:val="24"/>
          <w:szCs w:val="24"/>
          <w:highlight w:val="none"/>
          <w:lang w:val="en-US" w:eastAsia="zh-CN"/>
        </w:rPr>
        <w:t>自合同签订之日起</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lang w:val="en-US" w:eastAsia="zh-CN"/>
        </w:rPr>
        <w:t xml:space="preserve">个日历日内完成交货、安装、调试、验收。 </w:t>
      </w:r>
    </w:p>
    <w:p w14:paraId="471EC06C">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2、交货地点：</w:t>
      </w:r>
      <w:r>
        <w:rPr>
          <w:rFonts w:hint="eastAsia" w:asciiTheme="minorEastAsia" w:hAnsiTheme="minorEastAsia" w:eastAsiaTheme="minorEastAsia" w:cstheme="minorEastAsia"/>
          <w:color w:val="auto"/>
          <w:sz w:val="24"/>
          <w:szCs w:val="24"/>
          <w:highlight w:val="none"/>
          <w:lang w:eastAsia="zh-CN"/>
        </w:rPr>
        <w:t>西安市长安区第三</w:t>
      </w:r>
      <w:r>
        <w:rPr>
          <w:rFonts w:hint="eastAsia" w:asciiTheme="minorEastAsia" w:hAnsiTheme="minorEastAsia" w:eastAsiaTheme="minorEastAsia" w:cstheme="minorEastAsia"/>
          <w:color w:val="auto"/>
          <w:sz w:val="24"/>
          <w:szCs w:val="24"/>
          <w:highlight w:val="none"/>
          <w:lang w:eastAsia="zh-CN"/>
        </w:rPr>
        <w:t>中学</w:t>
      </w:r>
    </w:p>
    <w:p w14:paraId="0E979DFB">
      <w:pPr>
        <w:pStyle w:val="11"/>
        <w:pageBreakBefore w:val="0"/>
        <w:kinsoku/>
        <w:wordWrap/>
        <w:overflowPunct/>
        <w:topLinePunct w:val="0"/>
        <w:autoSpaceDE/>
        <w:autoSpaceDN/>
        <w:bidi w:val="0"/>
        <w:adjustRightInd/>
        <w:spacing w:line="360" w:lineRule="auto"/>
        <w:ind w:firstLine="0" w:firstLineChars="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 xml:space="preserve">第六条 包装与运输  </w:t>
      </w:r>
    </w:p>
    <w:p w14:paraId="745B0A41">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lang w:val="en-US" w:eastAsia="zh-Hans"/>
        </w:rPr>
      </w:pPr>
      <w:r>
        <w:rPr>
          <w:rFonts w:hint="eastAsia" w:asciiTheme="minorEastAsia" w:hAnsiTheme="minorEastAsia" w:eastAsiaTheme="minorEastAsia" w:cstheme="minorEastAsia"/>
          <w:color w:val="auto"/>
          <w:sz w:val="24"/>
          <w:szCs w:val="24"/>
          <w:highlight w:val="none"/>
          <w:lang w:val="en-US" w:eastAsia="zh-Hans"/>
        </w:rPr>
        <w:t>①包装：应采取防潮、防晒、防腐蚀、防震动及防止其它损坏的必要措施。成交人应承担由于其包装或防护措施不妥而引起的货物损坏和丢失等任何损失造成的责任或费用。②运输：选择运输风险小、运费低、距离短的运输路线。运杂费一次包死在总价内，包括生产厂到收货地所需的装卸、运输（含保险费）、现场保管费、二次倒运费等费用。</w:t>
      </w:r>
    </w:p>
    <w:p w14:paraId="02FE57F7">
      <w:pPr>
        <w:pStyle w:val="11"/>
        <w:pageBreakBefore w:val="0"/>
        <w:kinsoku/>
        <w:wordWrap/>
        <w:overflowPunct/>
        <w:topLinePunct w:val="0"/>
        <w:autoSpaceDE/>
        <w:autoSpaceDN/>
        <w:bidi w:val="0"/>
        <w:adjustRightInd/>
        <w:spacing w:before="156" w:beforeLines="50" w:after="156" w:afterLines="50" w:line="360" w:lineRule="auto"/>
        <w:ind w:firstLine="0" w:firstLineChars="0"/>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第七条 质量保证</w:t>
      </w:r>
    </w:p>
    <w:p w14:paraId="6199D039">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lang w:val="en-US" w:eastAsia="zh-Hans"/>
        </w:rPr>
      </w:pPr>
      <w:r>
        <w:rPr>
          <w:rFonts w:hint="eastAsia" w:asciiTheme="minorEastAsia" w:hAnsiTheme="minorEastAsia" w:eastAsiaTheme="minorEastAsia" w:cstheme="minorEastAsia"/>
          <w:color w:val="auto"/>
          <w:sz w:val="24"/>
          <w:szCs w:val="24"/>
          <w:highlight w:val="none"/>
          <w:lang w:val="en-US" w:eastAsia="zh-Hans"/>
        </w:rPr>
        <w:t>1、质保期：</w:t>
      </w:r>
      <w:r>
        <w:rPr>
          <w:rFonts w:hint="eastAsia" w:asciiTheme="minorEastAsia" w:hAnsiTheme="minorEastAsia" w:eastAsiaTheme="minorEastAsia" w:cstheme="minorEastAsia"/>
          <w:color w:val="auto"/>
          <w:sz w:val="24"/>
          <w:szCs w:val="24"/>
          <w:highlight w:val="none"/>
          <w:lang w:val="en-US" w:eastAsia="zh-CN"/>
        </w:rPr>
        <w:t>符合国家及行业要求</w:t>
      </w:r>
      <w:r>
        <w:rPr>
          <w:rFonts w:hint="eastAsia" w:asciiTheme="minorEastAsia" w:hAnsiTheme="minorEastAsia" w:eastAsiaTheme="minorEastAsia" w:cstheme="minorEastAsia"/>
          <w:color w:val="auto"/>
          <w:sz w:val="24"/>
          <w:szCs w:val="24"/>
          <w:highlight w:val="none"/>
          <w:lang w:val="en-US" w:eastAsia="zh-Hans"/>
        </w:rPr>
        <w:t xml:space="preserve">。 </w:t>
      </w:r>
    </w:p>
    <w:p w14:paraId="0AF2705F">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lang w:val="en-US" w:eastAsia="zh-Hans"/>
        </w:rPr>
      </w:pPr>
      <w:r>
        <w:rPr>
          <w:rFonts w:hint="eastAsia" w:asciiTheme="minorEastAsia" w:hAnsiTheme="minorEastAsia" w:eastAsiaTheme="minorEastAsia" w:cstheme="minorEastAsia"/>
          <w:color w:val="auto"/>
          <w:sz w:val="24"/>
          <w:szCs w:val="24"/>
          <w:highlight w:val="none"/>
          <w:lang w:val="en-US" w:eastAsia="zh-Hans"/>
        </w:rPr>
        <w:t>2、供应商提供的产品及材料必须保证质量可靠，为市场最新或主流产品，进货渠道正常，配置合理齐全，应全面满足招标文件的要求，招标文件未明确要求的内容，供应商须按招标产品主流标准配置或以采购人的补充要求为准。所供产品工艺质量应严格按国家最新发布的规范标准执行，如发生质量问题由供应商承担全部责任。</w:t>
      </w:r>
    </w:p>
    <w:p w14:paraId="53E95CB7">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lang w:val="en-US" w:eastAsia="zh-Hans"/>
        </w:rPr>
      </w:pPr>
      <w:r>
        <w:rPr>
          <w:rFonts w:hint="eastAsia" w:asciiTheme="minorEastAsia" w:hAnsiTheme="minorEastAsia" w:eastAsiaTheme="minorEastAsia" w:cstheme="minorEastAsia"/>
          <w:color w:val="auto"/>
          <w:sz w:val="24"/>
          <w:szCs w:val="24"/>
          <w:highlight w:val="none"/>
          <w:lang w:val="en-US" w:eastAsia="zh-Hans"/>
        </w:rPr>
        <w:t>3、供应商应保证所有产品的完好无损（包括配套包装），如有缺漏、损坏，由供应商负责调换、补齐或赔偿。</w:t>
      </w:r>
    </w:p>
    <w:p w14:paraId="31A1B66B">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lang w:val="en-US" w:eastAsia="zh-Hans"/>
        </w:rPr>
      </w:pPr>
      <w:r>
        <w:rPr>
          <w:rFonts w:hint="eastAsia" w:asciiTheme="minorEastAsia" w:hAnsiTheme="minorEastAsia" w:eastAsiaTheme="minorEastAsia" w:cstheme="minorEastAsia"/>
          <w:color w:val="auto"/>
          <w:sz w:val="24"/>
          <w:szCs w:val="24"/>
          <w:highlight w:val="none"/>
          <w:lang w:val="en-US" w:eastAsia="zh-Hans"/>
        </w:rPr>
        <w:t>4、供应商必须严格按照采购人要求和国家颁布的有关技术规范、标准提供货物。</w:t>
      </w:r>
    </w:p>
    <w:p w14:paraId="7BE15B6F">
      <w:pPr>
        <w:pStyle w:val="11"/>
        <w:pageBreakBefore w:val="0"/>
        <w:kinsoku/>
        <w:wordWrap/>
        <w:overflowPunct/>
        <w:topLinePunct w:val="0"/>
        <w:autoSpaceDE/>
        <w:autoSpaceDN/>
        <w:bidi w:val="0"/>
        <w:adjustRightInd/>
        <w:spacing w:before="156" w:beforeLines="50" w:after="156" w:afterLines="50" w:line="360" w:lineRule="auto"/>
        <w:ind w:firstLine="0" w:firstLineChars="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第八条 货物验收</w:t>
      </w:r>
    </w:p>
    <w:p w14:paraId="4A558EE4">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1.供方提供的产品性能及质量有国家标准的应符合国家标准，无国家标准的应符合行业标准或企业标准，并满足采购人要求；</w:t>
      </w:r>
    </w:p>
    <w:p w14:paraId="0BB3B88F">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 2.验收:货到当场验收，供方需提供合格证或有效质量证明材料。如发现货物的规格,数量,质量有任何问题，供方需无条件更换，并承担一切责任。所有产品验收以招标文件技术要求为准逐条进行验收，不符合者则验收不予通过。</w:t>
      </w:r>
    </w:p>
    <w:p w14:paraId="71974C80">
      <w:pPr>
        <w:pStyle w:val="11"/>
        <w:pageBreakBefore w:val="0"/>
        <w:kinsoku/>
        <w:wordWrap/>
        <w:overflowPunct/>
        <w:topLinePunct w:val="0"/>
        <w:autoSpaceDE/>
        <w:autoSpaceDN/>
        <w:bidi w:val="0"/>
        <w:adjustRightInd/>
        <w:spacing w:line="360" w:lineRule="auto"/>
        <w:ind w:left="480" w:leftChars="200" w:firstLine="0" w:firstLineChars="0"/>
        <w:outlineLvl w:val="9"/>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 3.中标人向采购人提供项目履约过程中的所有资料,以便采购人日后管理和维护。 4.验收依据</w:t>
      </w:r>
    </w:p>
    <w:p w14:paraId="19442098">
      <w:pPr>
        <w:pStyle w:val="11"/>
        <w:pageBreakBefore w:val="0"/>
        <w:kinsoku/>
        <w:wordWrap/>
        <w:overflowPunct/>
        <w:topLinePunct w:val="0"/>
        <w:autoSpaceDE/>
        <w:autoSpaceDN/>
        <w:bidi w:val="0"/>
        <w:adjustRightInd/>
        <w:spacing w:line="360" w:lineRule="auto"/>
        <w:outlineLvl w:val="9"/>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4.1招标文件、投标文件、澄清表（如有）； </w:t>
      </w:r>
    </w:p>
    <w:p w14:paraId="6D8E6E5F">
      <w:pPr>
        <w:pStyle w:val="11"/>
        <w:pageBreakBefore w:val="0"/>
        <w:kinsoku/>
        <w:wordWrap/>
        <w:overflowPunct/>
        <w:topLinePunct w:val="0"/>
        <w:autoSpaceDE/>
        <w:autoSpaceDN/>
        <w:bidi w:val="0"/>
        <w:adjustRightInd/>
        <w:spacing w:line="360" w:lineRule="auto"/>
        <w:ind w:left="480" w:leftChars="200" w:firstLine="0" w:firstLineChars="0"/>
        <w:outlineLvl w:val="9"/>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4.2本合同及附件文本； </w:t>
      </w:r>
    </w:p>
    <w:p w14:paraId="7301B890">
      <w:pPr>
        <w:pStyle w:val="11"/>
        <w:pageBreakBefore w:val="0"/>
        <w:kinsoku/>
        <w:wordWrap/>
        <w:overflowPunct/>
        <w:topLinePunct w:val="0"/>
        <w:autoSpaceDE/>
        <w:autoSpaceDN/>
        <w:bidi w:val="0"/>
        <w:adjustRightInd/>
        <w:spacing w:line="360" w:lineRule="auto"/>
        <w:ind w:left="480" w:leftChars="200" w:firstLine="0" w:firstLineChars="0"/>
        <w:outlineLvl w:val="9"/>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4.3国家相应的标准、规范； </w:t>
      </w:r>
    </w:p>
    <w:p w14:paraId="3B0580B3">
      <w:pPr>
        <w:pStyle w:val="11"/>
        <w:pageBreakBefore w:val="0"/>
        <w:kinsoku/>
        <w:wordWrap/>
        <w:overflowPunct/>
        <w:topLinePunct w:val="0"/>
        <w:autoSpaceDE/>
        <w:autoSpaceDN/>
        <w:bidi w:val="0"/>
        <w:adjustRightInd/>
        <w:spacing w:before="156" w:beforeLines="50" w:after="156" w:afterLines="50" w:line="360" w:lineRule="auto"/>
        <w:ind w:firstLine="0" w:firstLineChars="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第九条 售后服务</w:t>
      </w:r>
      <w:r>
        <w:rPr>
          <w:rFonts w:hint="eastAsia" w:asciiTheme="minorEastAsia" w:hAnsiTheme="minorEastAsia" w:eastAsiaTheme="minorEastAsia" w:cstheme="minorEastAsia"/>
          <w:sz w:val="24"/>
          <w:szCs w:val="24"/>
          <w:highlight w:val="none"/>
        </w:rPr>
        <w:t xml:space="preserve">            </w:t>
      </w:r>
    </w:p>
    <w:p w14:paraId="6456E894">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1</w:t>
      </w:r>
      <w:r>
        <w:rPr>
          <w:rFonts w:hint="eastAsia" w:asciiTheme="minorEastAsia" w:hAnsiTheme="minorEastAsia" w:eastAsiaTheme="minorEastAsia" w:cstheme="minorEastAsia"/>
          <w:sz w:val="24"/>
          <w:szCs w:val="24"/>
          <w:highlight w:val="none"/>
        </w:rPr>
        <w:t>、货物（产品）的现场安装、调试和启动监督；</w:t>
      </w:r>
    </w:p>
    <w:p w14:paraId="208F2A64">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2</w:t>
      </w:r>
      <w:r>
        <w:rPr>
          <w:rFonts w:hint="eastAsia" w:asciiTheme="minorEastAsia" w:hAnsiTheme="minorEastAsia" w:eastAsiaTheme="minorEastAsia" w:cstheme="minorEastAsia"/>
          <w:sz w:val="24"/>
          <w:szCs w:val="24"/>
          <w:highlight w:val="none"/>
        </w:rPr>
        <w:t>、就货物的安装、启动、运行及维护等对采购人的人员进行免费培训。主要培训内容为货物的基本结构、性能、主要部件的构造及处理，日常使用操作、保养与管理、常见故障的排除、紧急情况的处理等，如采购人未使用过同类型货物，成交供应商还需就货物的功能对采购人的人员进行相应的技术培训，培训地点主要在货物安装现场或由采购人安排。</w:t>
      </w:r>
    </w:p>
    <w:p w14:paraId="40204BE9">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rPr>
        <w:t>、质保期自采购人在货物质量验收单（终验）上签字之日起计算，质保费用计入总价；</w:t>
      </w:r>
    </w:p>
    <w:p w14:paraId="1F83782B">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4</w:t>
      </w:r>
      <w:r>
        <w:rPr>
          <w:rFonts w:hint="eastAsia" w:asciiTheme="minorEastAsia" w:hAnsiTheme="minorEastAsia" w:eastAsiaTheme="minorEastAsia" w:cstheme="minorEastAsia"/>
          <w:sz w:val="24"/>
          <w:szCs w:val="24"/>
          <w:highlight w:val="none"/>
        </w:rPr>
        <w:t>、服务响应时限：7*24小时服务，提供售后服务电话（应具有：固定电话、移动电话）；</w:t>
      </w:r>
    </w:p>
    <w:p w14:paraId="67F9F5EE">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5</w:t>
      </w:r>
      <w:r>
        <w:rPr>
          <w:rFonts w:hint="eastAsia" w:asciiTheme="minorEastAsia" w:hAnsiTheme="minorEastAsia" w:eastAsiaTheme="minorEastAsia" w:cstheme="minorEastAsia"/>
          <w:sz w:val="24"/>
          <w:szCs w:val="24"/>
          <w:highlight w:val="none"/>
        </w:rPr>
        <w:t>、成交供应商在接到采购人通知后维修工作时间不大于24小时，更换工作时间不大于72小时。</w:t>
      </w:r>
    </w:p>
    <w:p w14:paraId="2B6E6266">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6</w:t>
      </w:r>
      <w:r>
        <w:rPr>
          <w:rFonts w:hint="eastAsia" w:asciiTheme="minorEastAsia" w:hAnsiTheme="minorEastAsia" w:eastAsiaTheme="minorEastAsia" w:cstheme="minorEastAsia"/>
          <w:sz w:val="24"/>
          <w:szCs w:val="24"/>
          <w:highlight w:val="none"/>
        </w:rPr>
        <w:t>、所有货物服务方式均为成交供应商上门服务，即由成交供应商派员到货物使用现场维修，由此产生的一切费用均由成交供应商承担；</w:t>
      </w:r>
    </w:p>
    <w:p w14:paraId="4ACD6529">
      <w:pPr>
        <w:pStyle w:val="11"/>
        <w:pageBreakBefore w:val="0"/>
        <w:kinsoku/>
        <w:wordWrap/>
        <w:overflowPunct/>
        <w:topLinePunct w:val="0"/>
        <w:autoSpaceDE/>
        <w:autoSpaceDN/>
        <w:bidi w:val="0"/>
        <w:adjustRightInd/>
        <w:spacing w:after="156" w:afterLines="50" w:line="360" w:lineRule="auto"/>
        <w:ind w:firstLine="0" w:firstLineChars="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第十条</w:t>
      </w:r>
      <w:r>
        <w:rPr>
          <w:rFonts w:hint="eastAsia" w:asciiTheme="minorEastAsia" w:hAnsiTheme="minorEastAsia" w:eastAsiaTheme="minorEastAsia" w:cstheme="minorEastAsia"/>
          <w:b/>
          <w:sz w:val="24"/>
          <w:szCs w:val="24"/>
          <w:highlight w:val="none"/>
          <w:lang w:val="en-US" w:eastAsia="zh-CN"/>
        </w:rPr>
        <w:t xml:space="preserve"> </w:t>
      </w:r>
      <w:r>
        <w:rPr>
          <w:rFonts w:hint="eastAsia" w:asciiTheme="minorEastAsia" w:hAnsiTheme="minorEastAsia" w:eastAsiaTheme="minorEastAsia" w:cstheme="minorEastAsia"/>
          <w:b/>
          <w:sz w:val="24"/>
          <w:szCs w:val="24"/>
          <w:highlight w:val="none"/>
        </w:rPr>
        <w:t>违约责任</w:t>
      </w:r>
    </w:p>
    <w:p w14:paraId="7E1B105D">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1、按《中华人民共和国民法典》中的相关条款执行。 </w:t>
      </w:r>
    </w:p>
    <w:p w14:paraId="1691B49B">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2、未按要求提供产品质量不能满足技术要求，采购人有权终止合同，并对供货方违约行为进行追究，同时按《中华人民共和国政府采购法》的有关规定进行处罚。</w:t>
      </w:r>
    </w:p>
    <w:p w14:paraId="525E3BEC">
      <w:pPr>
        <w:pageBreakBefore w:val="0"/>
        <w:kinsoku/>
        <w:wordWrap/>
        <w:overflowPunct/>
        <w:topLinePunct w:val="0"/>
        <w:autoSpaceDE/>
        <w:autoSpaceDN/>
        <w:bidi w:val="0"/>
        <w:adjustRightInd/>
        <w:spacing w:before="156" w:beforeLines="50" w:after="156" w:afterLines="50" w:line="360" w:lineRule="auto"/>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第十</w:t>
      </w:r>
      <w:r>
        <w:rPr>
          <w:rFonts w:hint="eastAsia" w:asciiTheme="minorEastAsia" w:hAnsiTheme="minorEastAsia" w:eastAsiaTheme="minorEastAsia" w:cstheme="minorEastAsia"/>
          <w:b/>
          <w:sz w:val="24"/>
          <w:szCs w:val="24"/>
          <w:highlight w:val="none"/>
          <w:lang w:val="en-US" w:eastAsia="zh-CN"/>
        </w:rPr>
        <w:t>一</w:t>
      </w:r>
      <w:r>
        <w:rPr>
          <w:rFonts w:hint="eastAsia" w:asciiTheme="minorEastAsia" w:hAnsiTheme="minorEastAsia" w:eastAsiaTheme="minorEastAsia" w:cstheme="minorEastAsia"/>
          <w:b/>
          <w:sz w:val="24"/>
          <w:szCs w:val="24"/>
          <w:highlight w:val="none"/>
        </w:rPr>
        <w:t>条 争议的解决</w:t>
      </w:r>
    </w:p>
    <w:p w14:paraId="1079AC05">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1、因货物的质量问题发生争议，由质量技术监督部门或其指定的质量鉴定机构进行质量鉴定。货物鉴定费由乙方承担。</w:t>
      </w:r>
    </w:p>
    <w:p w14:paraId="6BD55649">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2、因履行本合同引</w:t>
      </w:r>
      <w:r>
        <w:rPr>
          <w:rFonts w:hint="eastAsia" w:asciiTheme="minorEastAsia" w:hAnsiTheme="minorEastAsia" w:eastAsiaTheme="minorEastAsia" w:cstheme="minorEastAsia"/>
          <w:color w:val="auto"/>
          <w:sz w:val="24"/>
          <w:szCs w:val="24"/>
          <w:highlight w:val="none"/>
        </w:rPr>
        <w:t>起的或与本合同有关的争议，甲、乙双方应首先通过友好协商解决，如果协商不成，则采取以下第</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种方</w:t>
      </w:r>
      <w:r>
        <w:rPr>
          <w:rFonts w:hint="eastAsia" w:asciiTheme="minorEastAsia" w:hAnsiTheme="minorEastAsia" w:eastAsiaTheme="minorEastAsia" w:cstheme="minorEastAsia"/>
          <w:sz w:val="24"/>
          <w:szCs w:val="24"/>
          <w:highlight w:val="none"/>
        </w:rPr>
        <w:t>式解决争议：</w:t>
      </w:r>
    </w:p>
    <w:p w14:paraId="22C767A2">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（1）向甲方所在地有管辖权的人民法院提起诉讼；</w:t>
      </w:r>
    </w:p>
    <w:p w14:paraId="560F0CD6">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（2）向</w:t>
      </w:r>
      <w:r>
        <w:rPr>
          <w:rFonts w:hint="eastAsia" w:asciiTheme="minorEastAsia" w:hAnsiTheme="minorEastAsia" w:eastAsiaTheme="minorEastAsia" w:cstheme="minorEastAsia"/>
          <w:sz w:val="24"/>
          <w:szCs w:val="24"/>
          <w:highlight w:val="none"/>
          <w:u w:val="single"/>
        </w:rPr>
        <w:t>西安</w:t>
      </w:r>
      <w:r>
        <w:rPr>
          <w:rFonts w:hint="eastAsia" w:asciiTheme="minorEastAsia" w:hAnsiTheme="minorEastAsia" w:eastAsiaTheme="minorEastAsia" w:cstheme="minorEastAsia"/>
          <w:sz w:val="24"/>
          <w:szCs w:val="24"/>
          <w:highlight w:val="none"/>
          <w:u w:val="single"/>
          <w:lang w:eastAsia="zh-CN"/>
        </w:rPr>
        <w:t>市</w:t>
      </w:r>
      <w:r>
        <w:rPr>
          <w:rFonts w:hint="eastAsia" w:asciiTheme="minorEastAsia" w:hAnsiTheme="minorEastAsia" w:eastAsiaTheme="minorEastAsia" w:cstheme="minorEastAsia"/>
          <w:sz w:val="24"/>
          <w:szCs w:val="24"/>
          <w:highlight w:val="none"/>
        </w:rPr>
        <w:t>仲裁委员会按其仲裁规则申请仲裁。</w:t>
      </w:r>
    </w:p>
    <w:p w14:paraId="470EA3DB">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auto"/>
          <w:sz w:val="24"/>
          <w:szCs w:val="24"/>
          <w:highlight w:val="none"/>
        </w:rPr>
        <w:t>3．在仲</w:t>
      </w:r>
      <w:r>
        <w:rPr>
          <w:rFonts w:hint="eastAsia" w:asciiTheme="minorEastAsia" w:hAnsiTheme="minorEastAsia" w:eastAsiaTheme="minorEastAsia" w:cstheme="minorEastAsia"/>
          <w:sz w:val="24"/>
          <w:szCs w:val="24"/>
          <w:highlight w:val="none"/>
        </w:rPr>
        <w:t>裁期间，本合同应继续履行。</w:t>
      </w:r>
    </w:p>
    <w:p w14:paraId="41949C39">
      <w:pPr>
        <w:pageBreakBefore w:val="0"/>
        <w:kinsoku/>
        <w:wordWrap/>
        <w:overflowPunct/>
        <w:topLinePunct w:val="0"/>
        <w:autoSpaceDE/>
        <w:autoSpaceDN/>
        <w:bidi w:val="0"/>
        <w:adjustRightInd/>
        <w:snapToGrid w:val="0"/>
        <w:spacing w:before="156" w:beforeLines="50" w:after="156" w:afterLines="50" w:line="360" w:lineRule="auto"/>
        <w:textAlignment w:val="baseline"/>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第十</w:t>
      </w:r>
      <w:r>
        <w:rPr>
          <w:rFonts w:hint="eastAsia" w:asciiTheme="minorEastAsia" w:hAnsiTheme="minorEastAsia" w:eastAsiaTheme="minorEastAsia" w:cstheme="minorEastAsia"/>
          <w:b/>
          <w:sz w:val="24"/>
          <w:szCs w:val="24"/>
          <w:highlight w:val="none"/>
          <w:lang w:val="en-US" w:eastAsia="zh-CN"/>
        </w:rPr>
        <w:t>二</w:t>
      </w:r>
      <w:r>
        <w:rPr>
          <w:rFonts w:hint="eastAsia" w:asciiTheme="minorEastAsia" w:hAnsiTheme="minorEastAsia" w:eastAsiaTheme="minorEastAsia" w:cstheme="minorEastAsia"/>
          <w:b/>
          <w:sz w:val="24"/>
          <w:szCs w:val="24"/>
          <w:highlight w:val="none"/>
        </w:rPr>
        <w:t>条 合同生效及其他</w:t>
      </w:r>
    </w:p>
    <w:p w14:paraId="670FC3F0">
      <w:pPr>
        <w:pageBreakBefore w:val="0"/>
        <w:kinsoku/>
        <w:wordWrap/>
        <w:overflowPunct/>
        <w:topLinePunct w:val="0"/>
        <w:autoSpaceDE/>
        <w:autoSpaceDN/>
        <w:bidi w:val="0"/>
        <w:adjustRightInd/>
        <w:snapToGrid w:val="0"/>
        <w:spacing w:line="360" w:lineRule="auto"/>
        <w:ind w:firstLine="539"/>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1、如有未尽事宜，由双方依法订立补充合同。</w:t>
      </w:r>
    </w:p>
    <w:p w14:paraId="0090D31A">
      <w:pPr>
        <w:pageBreakBefore w:val="0"/>
        <w:kinsoku/>
        <w:wordWrap/>
        <w:overflowPunct/>
        <w:topLinePunct w:val="0"/>
        <w:autoSpaceDE/>
        <w:autoSpaceDN/>
        <w:bidi w:val="0"/>
        <w:adjustRightInd/>
        <w:snapToGrid w:val="0"/>
        <w:spacing w:line="360" w:lineRule="auto"/>
        <w:ind w:firstLine="539"/>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2、本合同自签订之日起生效。</w:t>
      </w:r>
    </w:p>
    <w:p w14:paraId="6DC02197">
      <w:pPr>
        <w:pageBreakBefore w:val="0"/>
        <w:kinsoku/>
        <w:wordWrap/>
        <w:overflowPunct/>
        <w:topLinePunct w:val="0"/>
        <w:autoSpaceDE/>
        <w:autoSpaceDN/>
        <w:bidi w:val="0"/>
        <w:adjustRightInd/>
        <w:snapToGrid w:val="0"/>
        <w:spacing w:line="360" w:lineRule="auto"/>
        <w:ind w:firstLine="539"/>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3、本合同一式</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rPr>
        <w:t>份，具有同等法律效力，甲乙双方各执</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rPr>
        <w:t>份，一份报送政府采购监督管理部门备案。</w:t>
      </w:r>
    </w:p>
    <w:p w14:paraId="43DE596A">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甲方：   （盖章）              </w:t>
      </w:r>
      <w:r>
        <w:rPr>
          <w:rFonts w:hint="eastAsia" w:asciiTheme="minorEastAsia" w:hAnsiTheme="minorEastAsia" w:eastAsiaTheme="minorEastAsia" w:cstheme="minorEastAsia"/>
          <w:sz w:val="24"/>
          <w:szCs w:val="24"/>
          <w:highlight w:val="none"/>
        </w:rPr>
        <w:tab/>
      </w:r>
      <w:r>
        <w:rPr>
          <w:rFonts w:hint="eastAsia" w:asciiTheme="minorEastAsia" w:hAnsiTheme="minorEastAsia" w:eastAsiaTheme="minorEastAsia" w:cstheme="minorEastAsia"/>
          <w:sz w:val="24"/>
          <w:szCs w:val="24"/>
          <w:highlight w:val="none"/>
        </w:rPr>
        <w:t xml:space="preserve"> 乙方：   （盖章）</w:t>
      </w:r>
    </w:p>
    <w:p w14:paraId="2B4895BE">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法定代表人/授权代表：               法定代表人/授权代表：</w:t>
      </w:r>
    </w:p>
    <w:p w14:paraId="1F122E34">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地    址：                          地    址：</w:t>
      </w:r>
    </w:p>
    <w:p w14:paraId="74F49CD6">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开户银行：                          开户银行：</w:t>
      </w:r>
    </w:p>
    <w:p w14:paraId="63641005">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账    号：                          账    号：</w:t>
      </w:r>
    </w:p>
    <w:p w14:paraId="39993CDA">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电    话：                          电    话：</w:t>
      </w:r>
    </w:p>
    <w:p w14:paraId="4C8E6421">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传    真：                          传    真：</w:t>
      </w:r>
    </w:p>
    <w:p w14:paraId="15701A43">
      <w:pPr>
        <w:pStyle w:val="6"/>
        <w:keepNext w:val="0"/>
        <w:keepLines w:val="0"/>
        <w:pageBreakBefore w:val="0"/>
        <w:widowControl w:val="0"/>
        <w:kinsoku/>
        <w:wordWrap/>
        <w:overflowPunct/>
        <w:topLinePunct w:val="0"/>
        <w:bidi w:val="0"/>
        <w:snapToGrid/>
        <w:spacing w:after="0" w:afterLines="0"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highlight w:val="none"/>
        </w:rPr>
        <w:t>签约日期：    年  月  日            签约日期：    年  月  日</w:t>
      </w:r>
    </w:p>
    <w:sectPr>
      <w:pgSz w:w="11906" w:h="16838"/>
      <w:pgMar w:top="1417" w:right="1418" w:bottom="1417" w:left="1417" w:header="851" w:footer="85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zY2YwMjY1ZThmNzM5OTdiOGFkNTEwNWM4YzQyNjAifQ=="/>
  </w:docVars>
  <w:rsids>
    <w:rsidRoot w:val="76CB03C9"/>
    <w:rsid w:val="00A4409C"/>
    <w:rsid w:val="010A478A"/>
    <w:rsid w:val="02DF39F5"/>
    <w:rsid w:val="034B2E38"/>
    <w:rsid w:val="076F3599"/>
    <w:rsid w:val="07A019A5"/>
    <w:rsid w:val="0AFD710E"/>
    <w:rsid w:val="0BDA7DDB"/>
    <w:rsid w:val="0BDE0CED"/>
    <w:rsid w:val="0D554FDF"/>
    <w:rsid w:val="0E63197E"/>
    <w:rsid w:val="10BC5375"/>
    <w:rsid w:val="125A1663"/>
    <w:rsid w:val="165A3666"/>
    <w:rsid w:val="1A423B81"/>
    <w:rsid w:val="1B79633D"/>
    <w:rsid w:val="1C7A05BE"/>
    <w:rsid w:val="1CF765DC"/>
    <w:rsid w:val="1D434E54"/>
    <w:rsid w:val="20711CD8"/>
    <w:rsid w:val="2361109A"/>
    <w:rsid w:val="247B4ED4"/>
    <w:rsid w:val="24FB6014"/>
    <w:rsid w:val="2A30050E"/>
    <w:rsid w:val="2B170ADA"/>
    <w:rsid w:val="2BD01C52"/>
    <w:rsid w:val="2C513D7B"/>
    <w:rsid w:val="300C557A"/>
    <w:rsid w:val="303F6897"/>
    <w:rsid w:val="30F304E8"/>
    <w:rsid w:val="311F1CDA"/>
    <w:rsid w:val="35800FB6"/>
    <w:rsid w:val="3A856D10"/>
    <w:rsid w:val="3CBC3924"/>
    <w:rsid w:val="3DF70D81"/>
    <w:rsid w:val="3F286E52"/>
    <w:rsid w:val="3F4D5267"/>
    <w:rsid w:val="43F03412"/>
    <w:rsid w:val="47F6293F"/>
    <w:rsid w:val="4DC61A36"/>
    <w:rsid w:val="4EB86BA1"/>
    <w:rsid w:val="529C2335"/>
    <w:rsid w:val="562C1C22"/>
    <w:rsid w:val="5CB62246"/>
    <w:rsid w:val="5DB46EC8"/>
    <w:rsid w:val="5ED54C05"/>
    <w:rsid w:val="5FC5111D"/>
    <w:rsid w:val="65B31A18"/>
    <w:rsid w:val="66CD6B09"/>
    <w:rsid w:val="6E8963C6"/>
    <w:rsid w:val="71241DD9"/>
    <w:rsid w:val="746B42E5"/>
    <w:rsid w:val="75530B22"/>
    <w:rsid w:val="76CB03C9"/>
    <w:rsid w:val="78000AED"/>
    <w:rsid w:val="7D6E02A7"/>
    <w:rsid w:val="7E3149CA"/>
    <w:rsid w:val="7F0864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2"/>
    <w:basedOn w:val="1"/>
    <w:next w:val="1"/>
    <w:qFormat/>
    <w:uiPriority w:val="9"/>
    <w:pPr>
      <w:keepNext/>
      <w:keepLines/>
      <w:widowControl/>
      <w:spacing w:before="20" w:beforeLines="0" w:after="20" w:afterLines="0" w:line="360" w:lineRule="auto"/>
      <w:ind w:left="284"/>
      <w:jc w:val="left"/>
      <w:outlineLvl w:val="1"/>
    </w:pPr>
    <w:rPr>
      <w:rFonts w:ascii="Arial" w:hAnsi="Arial" w:eastAsia="仿宋"/>
      <w:b/>
      <w:bCs/>
      <w:sz w:val="28"/>
      <w:szCs w:val="32"/>
    </w:rPr>
  </w:style>
  <w:style w:type="paragraph" w:styleId="4">
    <w:name w:val="heading 3"/>
    <w:basedOn w:val="1"/>
    <w:next w:val="1"/>
    <w:link w:val="9"/>
    <w:semiHidden/>
    <w:unhideWhenUsed/>
    <w:qFormat/>
    <w:uiPriority w:val="0"/>
    <w:pPr>
      <w:keepNext/>
      <w:spacing w:before="200" w:beforeLines="200" w:line="360" w:lineRule="auto"/>
      <w:jc w:val="center"/>
      <w:outlineLvl w:val="2"/>
    </w:pPr>
    <w:rPr>
      <w:rFonts w:ascii="Times New Roman" w:hAnsi="Times New Roman" w:eastAsia="仿宋"/>
      <w:b/>
      <w:bCs/>
      <w:kern w:val="2"/>
      <w:sz w:val="24"/>
      <w:szCs w:val="2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widowControl w:val="0"/>
      <w:tabs>
        <w:tab w:val="center" w:pos="4140"/>
        <w:tab w:val="right" w:pos="8300"/>
      </w:tabs>
      <w:snapToGrid w:val="0"/>
      <w:spacing w:after="0"/>
      <w:jc w:val="left"/>
    </w:pPr>
    <w:rPr>
      <w:rFonts w:ascii="Times New Roman" w:hAnsi="Times New Roman" w:eastAsia="宋体"/>
      <w:kern w:val="2"/>
      <w:sz w:val="18"/>
      <w:szCs w:val="18"/>
      <w:lang w:val="en-US" w:eastAsia="zh-CN" w:bidi="ar-SA"/>
    </w:rPr>
  </w:style>
  <w:style w:type="paragraph" w:styleId="5">
    <w:name w:val="Normal Indent"/>
    <w:basedOn w:val="1"/>
    <w:qFormat/>
    <w:uiPriority w:val="0"/>
    <w:pPr>
      <w:spacing w:line="300" w:lineRule="auto"/>
      <w:ind w:firstLine="420" w:firstLineChars="200"/>
    </w:pPr>
    <w:rPr>
      <w:rFonts w:ascii="Times New Roman"/>
      <w:kern w:val="2"/>
      <w:sz w:val="21"/>
      <w:szCs w:val="24"/>
    </w:rPr>
  </w:style>
  <w:style w:type="paragraph" w:styleId="6">
    <w:name w:val="Body Text"/>
    <w:basedOn w:val="1"/>
    <w:next w:val="1"/>
    <w:qFormat/>
    <w:uiPriority w:val="0"/>
    <w:pPr>
      <w:spacing w:after="120" w:afterLines="0"/>
    </w:pPr>
    <w:rPr>
      <w:rFonts w:ascii="Times New Roman"/>
      <w:kern w:val="2"/>
      <w:sz w:val="21"/>
    </w:rPr>
  </w:style>
  <w:style w:type="character" w:customStyle="1" w:styleId="9">
    <w:name w:val="标题 3 Char"/>
    <w:link w:val="4"/>
    <w:qFormat/>
    <w:uiPriority w:val="0"/>
    <w:rPr>
      <w:rFonts w:ascii="Times New Roman" w:hAnsi="Times New Roman" w:eastAsia="仿宋"/>
      <w:b/>
      <w:bCs/>
      <w:kern w:val="2"/>
      <w:sz w:val="24"/>
      <w:szCs w:val="24"/>
    </w:r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样式 首行缩进:  2 字符"/>
    <w:basedOn w:val="1"/>
    <w:qFormat/>
    <w:uiPriority w:val="0"/>
    <w:pPr>
      <w:spacing w:line="400" w:lineRule="exact"/>
      <w:ind w:firstLine="200" w:firstLineChars="200"/>
    </w:pPr>
    <w:rPr>
      <w:rFonts w:cs="宋体"/>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2374</Words>
  <Characters>2393</Characters>
  <Lines>0</Lines>
  <Paragraphs>0</Paragraphs>
  <TotalTime>11</TotalTime>
  <ScaleCrop>false</ScaleCrop>
  <LinksUpToDate>false</LinksUpToDate>
  <CharactersWithSpaces>2716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2023-08-09T09:59:00Z</dcterms:created>
  <dc:creator>？</dc:creator>
  <cp:lastModifiedBy>WPS_1550105559</cp:lastModifiedBy>
  <dcterms:modified xsi:type="dcterms:W3CDTF">2026-06-15T01:27:52Z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63D93BDB59FC464F902E790AA9F01085_13</vt:lpwstr>
  </property>
  <property fmtid="{D5CDD505-2E9C-101B-9397-08002B2CF9AE}" pid="4" name="KSOTemplateDocerSaveRecord">
    <vt:lpwstr>eyJoZGlkIjoiMWNlMjRmZWRkNzNkYjQzNTIwYzUwZDRiMGZiYjViM2UiLCJ1c2VySWQiOiI0NzI4NTc0NDQifQ==</vt:lpwstr>
  </property>
</Properties>
</file>