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版本号：QR-ZC-202605120260717001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“秦声无界·四海同音”2026西安网络国际传播项目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QR-ZC-2026051</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陕西诠睿项目管理有限公司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陕西诠睿项目管理有限公司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“秦声无界·四海同音”2026西安网络国际传播项目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QR-ZC-2026051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“秦声无界·四海同音”2026西安网络国际传播项目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“秦声无界 四海同音”2026西安网络国际传播项目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采购包1（“秦声无界 四海同音”2026西安网络国际传播项目）：属于专门面向null采购。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1、供应商主体要求：供应商须为具有独立承担民事责任能力的法人、其他组织或自然人；出具合法有效的营业执照或其他组织经营的合法凭证，自然人参与的提供其身份证明。</w:t>
      </w:r>
    </w:p>
    <w:p>
      <w:pPr>
        <w:pStyle w:val="null3"/>
      </w:pPr>
      <w:r>
        <w:rPr>
          <w:rFonts w:ascii="仿宋_GB2312" w:hAnsi="仿宋_GB2312" w:cs="仿宋_GB2312" w:eastAsia="仿宋_GB2312"/>
        </w:rPr>
        <w:t>2、法定代表人授权书：法定代表人授权书（附法定代表人、被授权人身份证复印件）及被授权人身份证复印件（法定代表人直接参加磋商，须提供法定代表人身份证明及身份证复印件）。</w:t>
      </w:r>
    </w:p>
    <w:p>
      <w:pPr>
        <w:pStyle w:val="null3"/>
      </w:pPr>
      <w:r>
        <w:rPr>
          <w:rFonts w:ascii="仿宋_GB2312" w:hAnsi="仿宋_GB2312" w:cs="仿宋_GB2312" w:eastAsia="仿宋_GB2312"/>
        </w:rPr>
        <w:t>3、供应商信誉：供应商不得为“信用中国”网站（www.creditchina.gov.cn）中列入失信被执行人（中国执行信息公开网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4、非联合体响应：提供非联合体不分包响应声明。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029-67092958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陕西诠睿项目管理有限公司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陕西省西安市雁塔区小寨街道momopark写字楼7号楼一单元1502</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侯女士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15619096630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成交价格为计算基数，参照国家发展计划委员会计价格[2002]1980号文件及国家发展和改革委员会办公厅颁发的《关于招标代理服务收费有关问题的通知》（发改价格[2011]534号）规定的服务类标准（不作上下浮动）进行收取，招标代理服务费金额不足8000元按照8000元收取。具体收费金额在成交公告中公布。 2.代理服务费缴纳账户信息： 户名：陕西诠睿项目管理有限公司 开户行名称：中国建设银行股份有限公司西安莲湖路支行 账号：61050171390000000144</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陕西诠睿项目管理有限公司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陕西诠睿项目管理有限公司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陕西诠睿项目管理有限公司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以双方最终签订的合同内具体条款约定为准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陕西诠睿项目管理有限公司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陕西诠睿项目管理有限公司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陕西诠睿项目管理有限公司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联系人：侯女士</w:t>
      </w:r>
    </w:p>
    <w:p>
      <w:pPr>
        <w:pStyle w:val="null3"/>
      </w:pPr>
      <w:r>
        <w:rPr>
          <w:rFonts w:ascii="仿宋_GB2312" w:hAnsi="仿宋_GB2312" w:cs="仿宋_GB2312" w:eastAsia="仿宋_GB2312"/>
        </w:rPr>
        <w:t>联系电话：15619096630</w:t>
      </w:r>
    </w:p>
    <w:p>
      <w:pPr>
        <w:pStyle w:val="null3"/>
      </w:pPr>
      <w:r>
        <w:rPr>
          <w:rFonts w:ascii="仿宋_GB2312" w:hAnsi="仿宋_GB2312" w:cs="仿宋_GB2312" w:eastAsia="仿宋_GB2312"/>
        </w:rPr>
        <w:t>地址：陕西省西安市雁塔区小寨街道momopark写字楼7号楼一单元1502</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“秦声无界 四海同音”2026西安网络国际传播项目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355,000.00</w:t>
      </w:r>
    </w:p>
    <w:p>
      <w:pPr>
        <w:pStyle w:val="null3"/>
      </w:pPr>
      <w:r>
        <w:rPr>
          <w:rFonts w:ascii="仿宋_GB2312" w:hAnsi="仿宋_GB2312" w:cs="仿宋_GB2312" w:eastAsia="仿宋_GB2312"/>
        </w:rPr>
        <w:t>采购包最高限价（元）: 355,000.00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“秦声无界 四海同音”2026西安网络国际传播项目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标的名称：“秦声无界 四海同音”2026西安网络国际传播项目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90"/>
              <w:jc w:val="left"/>
            </w:pPr>
            <w:r>
              <w:rPr>
                <w:rFonts w:ascii="仿宋_GB2312" w:hAnsi="仿宋_GB2312" w:cs="仿宋_GB2312" w:eastAsia="仿宋_GB2312"/>
                <w:sz w:val="21"/>
                <w:b/>
                <w:color w:val="000000"/>
              </w:rPr>
              <w:t>一、活动目的</w:t>
            </w:r>
          </w:p>
          <w:p>
            <w:pPr>
              <w:pStyle w:val="null3"/>
            </w:pPr>
            <w:r>
              <w:rPr>
                <w:rFonts w:ascii="仿宋_GB2312" w:hAnsi="仿宋_GB2312" w:cs="仿宋_GB2312" w:eastAsia="仿宋_GB2312"/>
                <w:sz w:val="21"/>
              </w:rPr>
              <w:t>为深入贯彻</w:t>
            </w:r>
            <w:r>
              <w:rPr>
                <w:rFonts w:ascii="仿宋_GB2312" w:hAnsi="仿宋_GB2312" w:cs="仿宋_GB2312" w:eastAsia="仿宋_GB2312"/>
                <w:sz w:val="21"/>
              </w:rPr>
              <w:t>“文化兴市”战略，保护和传承历史文化，留下城市记忆，赓续城市根脉，依托古都历史文脉和秦腔艺术资源，积极探索传统文化当代表达与网络国际传播的新路径。按照中央和省委网信办相关工作要求和《2026年全市网信要点》安排，为推动秦腔艺术从舞台空间走向网络平台、从文化资源转化为国际传播内容，拟联合一家在全国有影响力的网络媒体或有权威媒体资源的广告、宣传策划公司以“秦声无界 四海同音”为主题，开展2026西安网络国际传播活动，集中展现西安在传承优秀传统文化、推动文化创新表达、提升城市国际传播力方面的创新实践。</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90"/>
              <w:jc w:val="left"/>
            </w:pPr>
            <w:r>
              <w:rPr>
                <w:rFonts w:ascii="仿宋_GB2312" w:hAnsi="仿宋_GB2312" w:cs="仿宋_GB2312" w:eastAsia="仿宋_GB2312"/>
                <w:sz w:val="21"/>
                <w:b/>
                <w:color w:val="000000"/>
              </w:rPr>
              <w:t>二、活动主题</w:t>
            </w:r>
          </w:p>
          <w:p>
            <w:pPr>
              <w:pStyle w:val="null3"/>
            </w:pPr>
            <w:r>
              <w:rPr>
                <w:rFonts w:ascii="仿宋_GB2312" w:hAnsi="仿宋_GB2312" w:cs="仿宋_GB2312" w:eastAsia="仿宋_GB2312"/>
                <w:sz w:val="21"/>
              </w:rPr>
              <w:t>“秦声无界 四海同音”国际传播活动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sz w:val="21"/>
                <w:b/>
                <w:color w:val="000000"/>
              </w:rPr>
              <w:t>三、活动安排</w:t>
            </w:r>
            <w:r>
              <w:rPr>
                <w:rFonts w:ascii="仿宋_GB2312" w:hAnsi="仿宋_GB2312" w:cs="仿宋_GB2312" w:eastAsia="仿宋_GB2312"/>
                <w:sz w:val="21"/>
                <w:color w:val="000000"/>
              </w:rPr>
              <w:t>（总体概括）</w:t>
            </w:r>
          </w:p>
          <w:p>
            <w:pPr>
              <w:pStyle w:val="null3"/>
              <w:jc w:val="left"/>
            </w:pPr>
            <w:r>
              <w:rPr>
                <w:rFonts w:ascii="仿宋_GB2312" w:hAnsi="仿宋_GB2312" w:cs="仿宋_GB2312" w:eastAsia="仿宋_GB2312"/>
                <w:sz w:val="21"/>
              </w:rPr>
              <w:t>“秦声无界 四海同音”国际传播活动将以秦腔艺术的当代表达与国际传播为主线，通过实地走访、沉浸式体验、线下文化沙龙、可视化作品创作等形式开展，计划推出系列融媒体产品。活动将组织“洋网红”及国际青年走进西安，展现西安以秦腔为文化纽带，推动中华优秀传统文化在现代语境下焕发新生、走向世界的创新实践。</w:t>
            </w:r>
          </w:p>
          <w:p>
            <w:pPr>
              <w:pStyle w:val="null3"/>
            </w:pP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spacing w:before="105" w:after="105"/>
              <w:jc w:val="both"/>
            </w:pPr>
            <w:r>
              <w:rPr>
                <w:rFonts w:ascii="仿宋_GB2312" w:hAnsi="仿宋_GB2312" w:cs="仿宋_GB2312" w:eastAsia="仿宋_GB2312"/>
                <w:sz w:val="21"/>
                <w:b/>
                <w:color w:val="000000"/>
              </w:rPr>
              <w:t>四</w:t>
            </w:r>
            <w:r>
              <w:rPr>
                <w:rFonts w:ascii="仿宋_GB2312" w:hAnsi="仿宋_GB2312" w:cs="仿宋_GB2312" w:eastAsia="仿宋_GB2312"/>
                <w:sz w:val="21"/>
                <w:b/>
                <w:color w:val="000000"/>
              </w:rPr>
              <w:t>、宣传安排</w:t>
            </w:r>
          </w:p>
          <w:p>
            <w:pPr>
              <w:pStyle w:val="null3"/>
            </w:pPr>
            <w:r>
              <w:rPr>
                <w:rFonts w:ascii="仿宋_GB2312" w:hAnsi="仿宋_GB2312" w:cs="仿宋_GB2312" w:eastAsia="仿宋_GB2312"/>
                <w:sz w:val="21"/>
              </w:rPr>
              <w:t>“秦声无界 四海同音”国际传播活动将以</w:t>
            </w:r>
            <w:r>
              <w:rPr>
                <w:rFonts w:ascii="仿宋_GB2312" w:hAnsi="仿宋_GB2312" w:cs="仿宋_GB2312" w:eastAsia="仿宋_GB2312"/>
                <w:sz w:val="21"/>
              </w:rPr>
              <w:t>预热期稿件</w:t>
            </w:r>
            <w:r>
              <w:rPr>
                <w:rFonts w:ascii="仿宋_GB2312" w:hAnsi="仿宋_GB2312" w:cs="仿宋_GB2312" w:eastAsia="仿宋_GB2312"/>
                <w:sz w:val="21"/>
              </w:rPr>
              <w:t>1篇、海报3幅，高潮期社交媒体图文贴文4篇、短视频8个，收尾稿件2篇，三个宣传周期开展传播活动，</w:t>
            </w:r>
            <w:r>
              <w:rPr>
                <w:rFonts w:ascii="仿宋_GB2312" w:hAnsi="仿宋_GB2312" w:cs="仿宋_GB2312" w:eastAsia="仿宋_GB2312"/>
                <w:sz w:val="21"/>
              </w:rPr>
              <w:t>推动活动影响持续扩散转化。</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spacing w:before="210"/>
              <w:jc w:val="left"/>
            </w:pPr>
            <w:r>
              <w:rPr>
                <w:rFonts w:ascii="仿宋_GB2312" w:hAnsi="仿宋_GB2312" w:cs="仿宋_GB2312" w:eastAsia="仿宋_GB2312"/>
                <w:sz w:val="21"/>
                <w:b/>
                <w:color w:val="000000"/>
              </w:rPr>
              <w:t>五</w:t>
            </w:r>
            <w:r>
              <w:rPr>
                <w:rFonts w:ascii="仿宋_GB2312" w:hAnsi="仿宋_GB2312" w:cs="仿宋_GB2312" w:eastAsia="仿宋_GB2312"/>
                <w:sz w:val="21"/>
                <w:b/>
                <w:color w:val="000000"/>
              </w:rPr>
              <w:t>、预期效果：</w:t>
            </w:r>
          </w:p>
          <w:p>
            <w:pPr>
              <w:pStyle w:val="null3"/>
            </w:pPr>
            <w:r>
              <w:rPr>
                <w:rFonts w:ascii="仿宋_GB2312" w:hAnsi="仿宋_GB2312" w:cs="仿宋_GB2312" w:eastAsia="仿宋_GB2312"/>
                <w:sz w:val="21"/>
              </w:rPr>
              <w:t>活动形成超</w:t>
            </w:r>
            <w:r>
              <w:rPr>
                <w:rFonts w:ascii="仿宋_GB2312" w:hAnsi="仿宋_GB2312" w:cs="仿宋_GB2312" w:eastAsia="仿宋_GB2312"/>
                <w:sz w:val="21"/>
              </w:rPr>
              <w:t>2000万浏览量的传播效果。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达到服务要求所必须的人员，详见服务要求。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因采购人系行政单位，所有的付款均需财政部门审批，本合同履行期间，非因采购人故意拖延付款申请流程造成的逾期付款的，承包方对此予以谅解不得追究采购人的逾期付款责任。</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合同签订之日起至2026年11月20日前完成整体项目</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以双方最终签订的合同内具体条款约定为准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进度款，合同签订且供应商开具增值税正式发票，达到付款条件起10个工作日内，支付合同总金额的50.0%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9月30日前供应商完成线下走访活动、线上传播工作完成主题海报3幅、正式文字稿件1篇（预热稿1篇）、社交媒体图文帖文4篇，3条主题系列短视频提供阶段性结案报告，经市委网信办验收合格出具验收报告后，开具增值税正式发票，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进度款，合作结束后供应商提供结案报告，经市委网信办验收合格出具验收报告和绩效目标后，达到付款条件起10个工作日内，支付合同总金额的30.0%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详见采购文件要求</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 xml:space="preserve"> 3.4.1本项目需要落实的政府采购政策：（1）《国务院办公厅关于建立政府强制采购节能产品制度的通知》（国办发〔2007〕51号）；（2）《财政部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印发节能产品政府采购品目清单的通知》（财库〔2019〕19号）；（6）《关于印发环境标志产品政府采购品目清单的通知》（财库〔2019〕18号）；（7）《关于运用政府采购政策支持乡村产业振兴的通知》（财库〔2021〕19号）；（8）《政府采购促进中小企业发展管理办法》（财库〔2020〕46号）；（9）《关于进一步加大政府采购支持中小企业力度的通知》（财库〔2022〕19号；（10）《陕西省中小企业政府采购信用融资办法》（陕财办采〔2018〕23号）；（11）《陕西省财政厅关于加快推进我省中小企业政府采购信用融资工作的通知》（陕财办采〔2020〕15号）；（12）《关于进一步加强政府绿色采购有关问题的通知》陕财办采〔2021〕29号；（13）《陕西省财政厅、中国人民银行西安分行关于深入推进政府采购信用融资业务的通知》（陕财办采〔2023〕5号）；（14）其他需要落实的政府采购政策。 3.4.2参与本项目采购的供应商应通过陕西省政府采购综合管理平台的项目电子化交易系统在线实施响应、磋商、报价等操作，磋商响应时无需供应商现场提供纸质响应文件，但在中标（成交）后中标（成交）供应商在领取中标（成交）通知书时需提供纸质响应文件正本壹套、副本壹套、电子版（U 盘）贰个，纸质响应文件应通过专用制作软件直接打印，确保与项目电子化交易系统中的电子响应文件保持一致，不允许修改和补充。 3.4.3中标（成交）通知书领取地址：陕西省西安市雁塔区小寨街道momopark写字楼7号楼一单元1502。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1、供应商须为具有独立承担民事责任能力的法人、其他组织或自然人；出具合法有效的营业执照或其他组织经营的合法凭证，自然人参与的提供其身份证明。 2、财务状况报告：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3、社保缴纳证明：提供响应文件递交截止时间前一年内任意一个月的社会保障资金缴存单据或社保机构开具的社会保险参保缴费情况证明；依法不需要缴纳社会保障资金的供应商应提供相关证明文件。 4、提供响应文件递交截止时间前一年内任意一个月的依法缴纳税收的相关凭据(时间以税款所属日期为准)，凭据应有税务机关或代收机关的公章或业务专用章；依法免税或无须缴纳税收的供应商，应提供相应证明文件。 5、具有履行合同所必需的设备和专业技术能力的书面承诺。 6、提供参加政府采购活动前三年内在经营活动中没有重大违法记录的书面声明。 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的完整有效财务报告(成立时间至响应文件递交截止时间不足一年的可提供成立后任意时段的资产负债表)，或其响应文件递交截止时间前六个月内基本开户银行出具的资信证明并附开户基本信息，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资格证明文件1.docx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资格证明文件1.docx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供应商主体要求</w:t>
            </w:r>
          </w:p>
        </w:tc>
        <w:tc>
          <w:tcPr>
            <w:tcW w:type="dxa" w:w="3322"/>
          </w:tcPr>
          <w:p>
            <w:pPr>
              <w:pStyle w:val="null3"/>
            </w:pPr>
            <w:r>
              <w:rPr>
                <w:rFonts w:ascii="仿宋_GB2312" w:hAnsi="仿宋_GB2312" w:cs="仿宋_GB2312" w:eastAsia="仿宋_GB2312"/>
              </w:rPr>
              <w:t>供应商须为具有独立承担民事责任能力的法人、其他组织或自然人；出具合法有效的营业执照或其他组织经营的合法凭证，自然人参与的提供其身份证明。</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法定代表人授权书（附法定代表人、被授权人身份证复印件）及被授权人身份证复印件（法定代表人直接参加磋商，须提供法定代表人身份证明及身份证复印件）。</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供应商信誉</w:t>
            </w:r>
          </w:p>
        </w:tc>
        <w:tc>
          <w:tcPr>
            <w:tcW w:type="dxa" w:w="3322"/>
          </w:tcPr>
          <w:p>
            <w:pPr>
              <w:pStyle w:val="null3"/>
            </w:pPr>
            <w:r>
              <w:rPr>
                <w:rFonts w:ascii="仿宋_GB2312" w:hAnsi="仿宋_GB2312" w:cs="仿宋_GB2312" w:eastAsia="仿宋_GB2312"/>
              </w:rPr>
              <w:t>供应商不得为“信用中国”网站（www.creditchina.gov.cn）中列入失信被执行人（中国执行信息公开网 http://zxgk.court.gov.cn）和重大税收违法失信主体名单的供应商，不得为中国政府采购网（www.ccgp.gov.cn）政府采购严重违法失信行为记录名单中被财政部门禁止参加政府采购活动的供应商。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非联合体响应</w:t>
            </w:r>
          </w:p>
        </w:tc>
        <w:tc>
          <w:tcPr>
            <w:tcW w:type="dxa" w:w="3322"/>
          </w:tcPr>
          <w:p>
            <w:pPr>
              <w:pStyle w:val="null3"/>
            </w:pPr>
            <w:r>
              <w:rPr>
                <w:rFonts w:ascii="仿宋_GB2312" w:hAnsi="仿宋_GB2312" w:cs="仿宋_GB2312" w:eastAsia="仿宋_GB2312"/>
              </w:rPr>
              <w:t>提供非联合体不分包响应声明。</w:t>
            </w:r>
          </w:p>
        </w:tc>
        <w:tc>
          <w:tcPr>
            <w:tcW w:type="dxa" w:w="1661"/>
          </w:tcPr>
          <w:p>
            <w:pPr>
              <w:pStyle w:val="null3"/>
            </w:pPr>
            <w:r>
              <w:rPr>
                <w:rFonts w:ascii="仿宋_GB2312" w:hAnsi="仿宋_GB2312" w:cs="仿宋_GB2312" w:eastAsia="仿宋_GB2312"/>
              </w:rPr>
              <w:t>资格证明文件1.docx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符合磋商文件有关签署、盖章要求</w:t>
            </w:r>
          </w:p>
        </w:tc>
        <w:tc>
          <w:tcPr>
            <w:tcW w:type="dxa" w:w="1661"/>
          </w:tcPr>
          <w:p>
            <w:pPr>
              <w:pStyle w:val="null3"/>
            </w:pPr>
            <w:r>
              <w:rPr>
                <w:rFonts w:ascii="仿宋_GB2312" w:hAnsi="仿宋_GB2312" w:cs="仿宋_GB2312" w:eastAsia="仿宋_GB2312"/>
              </w:rPr>
              <w:t>响应文件封面 资格证明文件1.docx 中小企业声明函 残疾人福利性单位声明函 标的清单 响应函 其他内容.docx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应符合“磋商响应文件格式”要求</w:t>
            </w:r>
          </w:p>
        </w:tc>
        <w:tc>
          <w:tcPr>
            <w:tcW w:type="dxa" w:w="1661"/>
          </w:tcPr>
          <w:p>
            <w:pPr>
              <w:pStyle w:val="null3"/>
            </w:pPr>
            <w:r>
              <w:rPr>
                <w:rFonts w:ascii="仿宋_GB2312" w:hAnsi="仿宋_GB2312" w:cs="仿宋_GB2312" w:eastAsia="仿宋_GB2312"/>
              </w:rPr>
              <w:t>响应文件封面 资格证明文件1.docx 残疾人福利性单位声明函 中小企业声明函 标的清单 其他内容.docx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只能有一个有效报价，不得提交选择性报价。按要求提交二次或多次报价，且每轮报价不超过采购预算金额或最高限价或磋商小组认为低于成本价的报价。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响应文件封面 资格证明文件1.docx 中小企业声明函 残疾人福利性单位声明函 标的清单 响应函 其他内容.docx 服务方案.docx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自磋商响应文件递交截止之日起90天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 3 年及以上新媒体、涉外国际传播相关工作经验，完整提供个人简历、同类项目业绩证明全套资料，全部资料齐全且真实有效得 6 分；材料缺失任意一类扣 2 分，分值扣完为止。 注：须同步提供身份证复印件、近六个月任意一月本单位社保缴纳证明、合同业绩等证明材料。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项目团队岗位配置</w:t>
            </w:r>
          </w:p>
        </w:tc>
        <w:tc>
          <w:tcPr>
            <w:tcW w:type="dxa" w:w="2492"/>
          </w:tcPr>
          <w:p>
            <w:pPr>
              <w:pStyle w:val="null3"/>
            </w:pPr>
            <w:r>
              <w:rPr>
                <w:rFonts w:ascii="仿宋_GB2312" w:hAnsi="仿宋_GB2312" w:cs="仿宋_GB2312" w:eastAsia="仿宋_GB2312"/>
              </w:rPr>
              <w:t>配备①专职涉外活动策划②海外新媒体运营③短视频拍摄剪辑④线下落地执行人员等， 每提供 1 人得 2 分，满分 12 分； 备注：提供人员配置清单、对应人员身份证、劳动合同，资料不全本项不得分。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设备及场地配套</w:t>
            </w:r>
          </w:p>
        </w:tc>
        <w:tc>
          <w:tcPr>
            <w:tcW w:type="dxa" w:w="2492"/>
          </w:tcPr>
          <w:p>
            <w:pPr>
              <w:pStyle w:val="null3"/>
            </w:pPr>
            <w:r>
              <w:rPr>
                <w:rFonts w:ascii="仿宋_GB2312" w:hAnsi="仿宋_GB2312" w:cs="仿宋_GB2312" w:eastAsia="仿宋_GB2312"/>
              </w:rPr>
              <w:t>配套设备满足以下全部条件得12分，缺一项扣3分： 1.4K摄像设备2台及以上； 2.专业直播收音、补光套装； 3.高性能剪辑工作站； 4.便携式直播设备； 注：投标人须提供自有/长期租赁设备佐证材料（加盖公章）：包含设备采购发票或长期设备租赁协议、对应设备实拍图。未提供有效证明的，对应设备视为不满足，按缺项扣分。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同类项目业绩</w:t>
            </w:r>
          </w:p>
        </w:tc>
        <w:tc>
          <w:tcPr>
            <w:tcW w:type="dxa" w:w="2492"/>
          </w:tcPr>
          <w:p>
            <w:pPr>
              <w:pStyle w:val="null3"/>
            </w:pPr>
            <w:r>
              <w:rPr>
                <w:rFonts w:ascii="仿宋_GB2312" w:hAnsi="仿宋_GB2312" w:cs="仿宋_GB2312" w:eastAsia="仿宋_GB2312"/>
              </w:rPr>
              <w:t>每提供1个近3年同类项目业绩，得2分，最多12分（需提供合同关键页复印件，含项目名称、服务内容、金额、签订日期、双方盖章页）。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服务响应承诺</w:t>
            </w:r>
          </w:p>
        </w:tc>
        <w:tc>
          <w:tcPr>
            <w:tcW w:type="dxa" w:w="2492"/>
          </w:tcPr>
          <w:p>
            <w:pPr>
              <w:pStyle w:val="null3"/>
            </w:pPr>
            <w:r>
              <w:rPr>
                <w:rFonts w:ascii="仿宋_GB2312" w:hAnsi="仿宋_GB2312" w:cs="仿宋_GB2312" w:eastAsia="仿宋_GB2312"/>
              </w:rPr>
              <w:t>1、响应时效承诺（1 分） 书面承诺项目对接 24 小时线上响应、重大需求 4 小时到场对接，得1 分；无明确时效承诺 0 分。 2、人员保障承诺（1 分） 承诺项目周期内配备 1 名专职项目负责人全程统筹跟进对接，提供专人不兼职承诺函得 1 分；无专人保障承诺 0 分。 3、成果交付时限承诺（1 分） 承诺短视频、海报、活动方案等宣传素材按需 2 个工作日内交付、重大活动物料提前 5 天全部落地到位，得 1分；无交付时限承诺 0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项目总体理解及规划</w:t>
            </w:r>
          </w:p>
        </w:tc>
        <w:tc>
          <w:tcPr>
            <w:tcW w:type="dxa" w:w="2492"/>
          </w:tcPr>
          <w:p>
            <w:pPr>
              <w:pStyle w:val="null3"/>
            </w:pPr>
            <w:r>
              <w:rPr>
                <w:rFonts w:ascii="仿宋_GB2312" w:hAnsi="仿宋_GB2312" w:cs="仿宋_GB2312" w:eastAsia="仿宋_GB2312"/>
              </w:rPr>
              <w:t>针对本项目提供详细的项目总体理解及规划，包括但不限于 ①对本项目的整体概况认知； ②对本项目的理解； ③项目总体策划方案。 评审标准 1、完善性：方案必须全面，对评审内容中的各项要求有详细阐述； 2、可实施性：切合本项目实际情况，提出步骤清晰、合理的方案； 3、针对性：方案能够紧扣项目实际情况，内容科学合理。 上述3项评审内容全部满足评审标准得15分，每有一个评审内容缺项扣5分，每有一项评审内容存在缺陷，扣0.5分，扣完为止。 说明：缺陷是指内容没有结合项目实际需求、虽有内容但不完善、内容表述前后不一致、套用其他项目方案或与项目需求不匹配及其他不利于项目实施的等任意一种情形。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其他内容.docx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针对本项目提供详细的实施方案，包括但不限于： ①融媒体产品方案； ②外国友人走进西安活动方案； ③项目执行及传播优化合理化建议； ④活动现场及线上传播全过程应急预案。 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其他内容.docx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针对本项目提供详细的保障措施，包括但不限于： ①进度计划安排； ②进度保障措施； ③响应时效保障措施； 评审标准 1.完善性：方案必须全面，对评审内容中的各项要求有详细阐述； 2.可实施性：切合本项目实际情况，提出步骤清晰、合理的方案； 3.针对性：方案能够紧扣项目实际情况，内容科学合理。 上述3项评审内容全部满足评审标准得9分，每有一个评审内容缺项扣3分，每有一项评审内容存在缺陷，扣0.5分，扣完为止。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其他内容.docx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针对本项目提供详细的服务承诺，包括但不限于： ①质量控制措施； ②制定完善的各项规章制度等内容； ③针对本项目的质量保证承诺。④活动内容修改调整、传播数据复盘及售后跟进服务承诺 评审标准 1.完善性：方案必须全面，对评审内容中的各项要求有详细阐述； 2.可实施性：切合本项目实际情况，提出步骤清晰、合理的方案； 3.针对性：方案能够紧扣项目实际情况，内容科学合理。 上述4项评审内容全部满足评审标准得8分，每有一个评审内容缺项扣2分，每有一项评审内容存在缺陷，扣0.5分，扣完为止。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其他内容.docx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详见附件：资格证明文件1.docx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详见附件：其他内容.docx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详见附件：合同部分.docx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