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B189C">
      <w:pPr>
        <w:pStyle w:val="3"/>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合同条款及格式</w:t>
      </w:r>
    </w:p>
    <w:p w14:paraId="534FA0C1">
      <w:pPr>
        <w:tabs>
          <w:tab w:val="left" w:pos="210"/>
          <w:tab w:val="left" w:pos="525"/>
        </w:tabs>
        <w:spacing w:line="360" w:lineRule="auto"/>
        <w:jc w:val="center"/>
        <w:outlineLvl w:val="1"/>
        <w:rPr>
          <w:rFonts w:hint="eastAsia" w:ascii="宋体" w:hAnsi="宋体" w:eastAsia="宋体" w:cs="宋体"/>
          <w:color w:val="auto"/>
          <w:sz w:val="32"/>
          <w:szCs w:val="32"/>
          <w:highlight w:val="none"/>
        </w:rPr>
      </w:pPr>
      <w:bookmarkStart w:id="0" w:name="_Toc23705"/>
      <w:bookmarkStart w:id="1" w:name="_Toc32476"/>
      <w:bookmarkStart w:id="2" w:name="_Toc24218"/>
      <w:bookmarkStart w:id="3" w:name="_Toc26300"/>
      <w:bookmarkStart w:id="4" w:name="_Toc20005"/>
      <w:bookmarkStart w:id="5" w:name="_Toc3424"/>
      <w:r>
        <w:rPr>
          <w:rFonts w:hint="eastAsia" w:ascii="宋体" w:hAnsi="宋体" w:eastAsia="宋体" w:cs="宋体"/>
          <w:b/>
          <w:bCs/>
          <w:color w:val="auto"/>
          <w:sz w:val="32"/>
          <w:szCs w:val="32"/>
          <w:highlight w:val="none"/>
        </w:rPr>
        <w:t>合同前附表</w:t>
      </w:r>
      <w:bookmarkEnd w:id="0"/>
      <w:bookmarkEnd w:id="1"/>
      <w:bookmarkEnd w:id="2"/>
      <w:bookmarkEnd w:id="3"/>
      <w:bookmarkEnd w:id="4"/>
      <w:bookmarkEnd w:id="5"/>
    </w:p>
    <w:p w14:paraId="545D4F3B">
      <w:pPr>
        <w:rPr>
          <w:rFonts w:hint="eastAsia" w:ascii="宋体" w:hAnsi="宋体" w:eastAsia="宋体" w:cs="宋体"/>
          <w:color w:val="auto"/>
          <w:highlight w:val="none"/>
        </w:rPr>
      </w:pPr>
    </w:p>
    <w:p w14:paraId="735DCC63">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本表是对合同条款的具体补充和修改，如有矛盾，应以本资料表为准。</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2"/>
        <w:gridCol w:w="8440"/>
      </w:tblGrid>
      <w:tr w14:paraId="60181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912" w:type="dxa"/>
            <w:vAlign w:val="center"/>
          </w:tcPr>
          <w:p w14:paraId="65D53542">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8440" w:type="dxa"/>
            <w:vAlign w:val="center"/>
          </w:tcPr>
          <w:p w14:paraId="230CB974">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      容</w:t>
            </w:r>
          </w:p>
        </w:tc>
      </w:tr>
      <w:tr w14:paraId="19CE6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912" w:type="dxa"/>
            <w:vAlign w:val="center"/>
          </w:tcPr>
          <w:p w14:paraId="4DAA6E84">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440" w:type="dxa"/>
            <w:vAlign w:val="center"/>
          </w:tcPr>
          <w:p w14:paraId="7425C9C2">
            <w:p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采购人名称：中共西安市委网络安全和信息化委员会办公室</w:t>
            </w:r>
          </w:p>
          <w:p w14:paraId="3CBA9BD3">
            <w:p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址：陕西省西安市凤城八路99号</w:t>
            </w:r>
          </w:p>
          <w:p w14:paraId="2D253657">
            <w:p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项目名称：</w:t>
            </w:r>
            <w:r>
              <w:rPr>
                <w:rFonts w:hint="eastAsia" w:hAnsi="宋体" w:cs="宋体"/>
                <w:color w:val="auto"/>
                <w:sz w:val="21"/>
                <w:szCs w:val="21"/>
                <w:highlight w:val="none"/>
                <w:lang w:eastAsia="zh-CN"/>
              </w:rPr>
              <w:t>“秦声无界 四海同音”2026西安网络国际传播项目</w:t>
            </w:r>
          </w:p>
        </w:tc>
      </w:tr>
      <w:tr w14:paraId="43A4A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912" w:type="dxa"/>
            <w:vAlign w:val="center"/>
          </w:tcPr>
          <w:p w14:paraId="7448F80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440" w:type="dxa"/>
            <w:vAlign w:val="center"/>
          </w:tcPr>
          <w:p w14:paraId="4604D0A2">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项目实施地点：</w:t>
            </w:r>
            <w:r>
              <w:rPr>
                <w:rFonts w:hint="eastAsia" w:ascii="宋体" w:hAnsi="宋体" w:eastAsia="宋体" w:cs="宋体"/>
                <w:color w:val="auto"/>
                <w:sz w:val="21"/>
                <w:szCs w:val="21"/>
                <w:highlight w:val="none"/>
                <w:lang w:val="en-US" w:eastAsia="zh-CN"/>
              </w:rPr>
              <w:t>采购人指定地点</w:t>
            </w:r>
          </w:p>
        </w:tc>
      </w:tr>
      <w:tr w14:paraId="41874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912" w:type="dxa"/>
            <w:vAlign w:val="center"/>
          </w:tcPr>
          <w:p w14:paraId="317C5F44">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440" w:type="dxa"/>
            <w:vAlign w:val="center"/>
          </w:tcPr>
          <w:p w14:paraId="2024DF0B">
            <w:pPr>
              <w:pStyle w:val="2"/>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服务期限：合同签订之日起至2026年11月20日前完成整体项目</w:t>
            </w:r>
          </w:p>
        </w:tc>
      </w:tr>
      <w:tr w14:paraId="42B00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912" w:type="dxa"/>
            <w:vAlign w:val="center"/>
          </w:tcPr>
          <w:p w14:paraId="5F5D66E7">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8440" w:type="dxa"/>
            <w:vAlign w:val="center"/>
          </w:tcPr>
          <w:p w14:paraId="6A9CC273">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付款：</w:t>
            </w:r>
          </w:p>
          <w:p w14:paraId="0247E17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1.合同总价即成交价，不受市场价变化或实际工作量变化的影响。供应商应在磋商报价表中标明完成本次磋商所要求的全部服务的所有费用。</w:t>
            </w:r>
          </w:p>
          <w:p w14:paraId="0B171F7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2.付款方式和程序：</w:t>
            </w:r>
          </w:p>
          <w:p w14:paraId="746F0C3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2.1由采购人负责结算，在付款前，供应商必须开具全额</w:t>
            </w:r>
            <w:r>
              <w:rPr>
                <w:rFonts w:hint="eastAsia" w:ascii="宋体" w:hAnsi="宋体" w:eastAsia="宋体" w:cs="宋体"/>
                <w:color w:val="auto"/>
                <w:sz w:val="21"/>
                <w:szCs w:val="21"/>
                <w:highlight w:val="none"/>
                <w:lang w:val="en-US" w:eastAsia="zh-CN"/>
              </w:rPr>
              <w:t>合法有效的增值税</w:t>
            </w:r>
            <w:r>
              <w:rPr>
                <w:rFonts w:hint="eastAsia" w:ascii="宋体" w:hAnsi="宋体" w:eastAsia="宋体" w:cs="宋体"/>
                <w:color w:val="auto"/>
                <w:sz w:val="21"/>
                <w:szCs w:val="21"/>
                <w:highlight w:val="none"/>
              </w:rPr>
              <w:t>发票给采购人（附详细清单）。</w:t>
            </w:r>
          </w:p>
          <w:p w14:paraId="1D7F835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2.2付款方式：</w:t>
            </w:r>
          </w:p>
          <w:p w14:paraId="384325A0">
            <w:pPr>
              <w:spacing w:line="360" w:lineRule="auto"/>
              <w:ind w:firstLine="422" w:firstLineChars="200"/>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服务费用分三次支付，合同签订且供应商开具增值税正式发票后的10个工作日内，以银行转账形式向其支付本合同总费用的50%；2026年9月30日前供应商完成线下走访活动、线上传播工作完成主题海报3幅、正式文字稿件1篇（预热稿1篇）、社交媒体图文帖文4篇，3条主题系列短视频提供阶段性结案报告，经市委网信办验收合格出具验收报告后，开具增值税正式发票后的10个工作日内，以银行转账形式向其支付本合同总费用的20%；合作结束后供应商提供结案报告，经市委网信办验收合格出具验收报告和绩效目标后10个工作日内，向供应商支付剩余30%尾款。</w:t>
            </w:r>
          </w:p>
          <w:p w14:paraId="11EE012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2.3支付方式：银行转账</w:t>
            </w:r>
          </w:p>
        </w:tc>
      </w:tr>
      <w:tr w14:paraId="5A276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912" w:type="dxa"/>
            <w:vAlign w:val="center"/>
          </w:tcPr>
          <w:p w14:paraId="07D15F05">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8440" w:type="dxa"/>
            <w:vAlign w:val="center"/>
          </w:tcPr>
          <w:p w14:paraId="7FC41AE5">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服务支持：</w:t>
            </w:r>
          </w:p>
          <w:p w14:paraId="49B1D65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供应商在项目实施过程中，质量保障人员、资源不足或者执行不力，给项目质量带来的风险超出采购人认定的允许范围时，采购人可终止本项目的合作并进行索赔。</w:t>
            </w:r>
          </w:p>
        </w:tc>
      </w:tr>
      <w:tr w14:paraId="3267A6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912" w:type="dxa"/>
            <w:vAlign w:val="center"/>
          </w:tcPr>
          <w:p w14:paraId="4CAB2C9F">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8440" w:type="dxa"/>
            <w:vAlign w:val="center"/>
          </w:tcPr>
          <w:p w14:paraId="53C90ADF">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知识产权、专利权：</w:t>
            </w:r>
          </w:p>
          <w:p w14:paraId="011EEA6E">
            <w:pPr>
              <w:tabs>
                <w:tab w:val="left" w:pos="498"/>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对所提供的文稿及图像、影像材料，已取得合法知识产权或其使用权，供应商应保证所提供的服务不会出现因第三方提出侵犯其版权、商标权或其他知识产权而引发法律或经济纠纷，否则由供应商负责解决并承担全部责任；如因此影响到采购人的正常使用，采购人有权单方解除本合同，供应商应无条件向采购人退回已收取的全部合同价款。</w:t>
            </w:r>
          </w:p>
        </w:tc>
      </w:tr>
      <w:tr w14:paraId="2DEA5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60" w:hRule="atLeast"/>
        </w:trPr>
        <w:tc>
          <w:tcPr>
            <w:tcW w:w="912" w:type="dxa"/>
            <w:vAlign w:val="center"/>
          </w:tcPr>
          <w:p w14:paraId="51DED298">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8440" w:type="dxa"/>
            <w:vAlign w:val="center"/>
          </w:tcPr>
          <w:p w14:paraId="417F6DB1">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违约责任：</w:t>
            </w:r>
          </w:p>
          <w:p w14:paraId="11A3C416">
            <w:pPr>
              <w:tabs>
                <w:tab w:val="left" w:pos="152"/>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1、按《中华人民共和国民法典》中的相关条款执行。</w:t>
            </w:r>
          </w:p>
          <w:p w14:paraId="363EEA23">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w:t>
            </w:r>
          </w:p>
          <w:p w14:paraId="569BD21B">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3、乙方负责全部传播内容前置审核，若因乙方内容疏漏、审核不到位引发网络负面舆情、涉外传播合规风险，乙方全权负责处置并承担全部损失，甲方有权扣除相应合同款项。</w:t>
            </w:r>
          </w:p>
        </w:tc>
      </w:tr>
      <w:tr w14:paraId="540CA0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trPr>
        <w:tc>
          <w:tcPr>
            <w:tcW w:w="912" w:type="dxa"/>
            <w:vAlign w:val="center"/>
          </w:tcPr>
          <w:p w14:paraId="3218D71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8440" w:type="dxa"/>
            <w:vAlign w:val="center"/>
          </w:tcPr>
          <w:p w14:paraId="4EA77D40">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政府采购合同：</w:t>
            </w:r>
          </w:p>
          <w:p w14:paraId="580B0E6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政府采购合同适用《中华人民共和国民法典》。采购人和供应商之间的权利和义务，应当按照平等、自愿的原则以合同方式约定。</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采购人可以委托采购代理机构代表其与供应商签订政府采购合同。由采购代理机构以采购人名义签订合同的，应当提交采购人的授权委托书，作为合同附件。</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采购人与中标、成交供应商应当在中标、成交通知书发出之日起</w:t>
            </w:r>
            <w:r>
              <w:rPr>
                <w:rFonts w:hint="eastAsia" w:hAnsi="宋体" w:cs="宋体"/>
                <w:color w:val="auto"/>
                <w:sz w:val="21"/>
                <w:szCs w:val="21"/>
                <w:highlight w:val="none"/>
                <w:lang w:val="en-US" w:eastAsia="zh-CN"/>
              </w:rPr>
              <w:t>三十</w:t>
            </w:r>
            <w:r>
              <w:rPr>
                <w:rFonts w:hint="eastAsia" w:ascii="宋体" w:hAnsi="宋体" w:eastAsia="宋体" w:cs="宋体"/>
                <w:color w:val="auto"/>
                <w:sz w:val="21"/>
                <w:szCs w:val="21"/>
                <w:highlight w:val="none"/>
              </w:rPr>
              <w:t>日内，按照采购文件确定的事项签订政府采购合同。</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中标、成交通知书对采购人和中标、成交供应商均具有法律效力。中标、成交通知书发出后，采购人改变中标、成交结果的，或者中标、成交供应商放弃中标、成交项目的，应当依法承担法律责任。</w:t>
            </w:r>
          </w:p>
          <w:p w14:paraId="4B43C2F4">
            <w:pPr>
              <w:pStyle w:val="5"/>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经采购人同意，中标、成交供应商可以依法采取分包方式履行合同。政府采购合同分包履行的，中标、成交供应商就采购项目和分包项目向采购人负责，分包供应商就分包项目承担责任。</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政府采购合同履行中，采购人需追加与合同标的相同的货物、工程或者服务的，在不改变合同其他条款的前提下，可以与供应商协商签订补充合同，但所有补充合同的采购金额不得超过原合同采购金额的百分之十。</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政府采购合同的双方当事人不得擅自变更、中止或者终止合同。</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政府采购合同继续履行将损害国家利益和社会公共利益的，双方当事人应当变更、中止或者终止合同。有过错的一方应当承担赔偿责任，双方都有过错的，各自承担相应的责任。</w:t>
            </w:r>
          </w:p>
        </w:tc>
      </w:tr>
    </w:tbl>
    <w:p w14:paraId="7C64B045">
      <w:pPr>
        <w:rPr>
          <w:rFonts w:hint="eastAsia" w:ascii="宋体" w:hAnsi="宋体" w:eastAsia="宋体" w:cs="宋体"/>
          <w:color w:val="auto"/>
          <w:sz w:val="32"/>
          <w:highlight w:val="none"/>
        </w:rPr>
      </w:pPr>
      <w:r>
        <w:rPr>
          <w:rFonts w:hint="eastAsia" w:ascii="宋体" w:hAnsi="宋体" w:eastAsia="宋体" w:cs="宋体"/>
          <w:b/>
          <w:bCs/>
          <w:color w:val="auto"/>
          <w:sz w:val="48"/>
          <w:szCs w:val="48"/>
          <w:highlight w:val="none"/>
        </w:rPr>
        <w:br w:type="page"/>
      </w:r>
    </w:p>
    <w:tbl>
      <w:tblPr>
        <w:tblStyle w:val="6"/>
        <w:tblpPr w:leftFromText="180" w:rightFromText="180" w:vertAnchor="text" w:horzAnchor="page" w:tblpX="7952" w:tblpY="7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tblGrid>
      <w:tr w14:paraId="589A5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75" w:type="dxa"/>
          </w:tcPr>
          <w:p w14:paraId="3B8905A9">
            <w:pP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竞争性磋商采购</w:t>
            </w:r>
          </w:p>
        </w:tc>
      </w:tr>
    </w:tbl>
    <w:p w14:paraId="3EAA67CA">
      <w:pPr>
        <w:outlineLvl w:val="1"/>
        <w:rPr>
          <w:rFonts w:hint="eastAsia" w:ascii="宋体" w:hAnsi="宋体" w:eastAsia="宋体" w:cs="宋体"/>
          <w:b/>
          <w:color w:val="auto"/>
          <w:sz w:val="32"/>
          <w:szCs w:val="32"/>
          <w:highlight w:val="none"/>
        </w:rPr>
      </w:pPr>
      <w:bookmarkStart w:id="6" w:name="_Toc7874"/>
      <w:bookmarkStart w:id="7" w:name="_Toc24004"/>
      <w:bookmarkStart w:id="8" w:name="_Toc1362"/>
      <w:bookmarkStart w:id="9" w:name="_Toc22328"/>
      <w:bookmarkStart w:id="10" w:name="_Toc18120"/>
      <w:bookmarkStart w:id="11" w:name="_Toc5216"/>
      <w:r>
        <w:rPr>
          <w:rFonts w:hint="eastAsia" w:ascii="宋体" w:hAnsi="宋体" w:eastAsia="宋体" w:cs="宋体"/>
          <w:b/>
          <w:color w:val="auto"/>
          <w:sz w:val="32"/>
          <w:szCs w:val="32"/>
          <w:highlight w:val="none"/>
        </w:rPr>
        <w:t>政府采购项目</w:t>
      </w:r>
      <w:r>
        <w:rPr>
          <w:rFonts w:hint="eastAsia" w:ascii="宋体" w:hAnsi="宋体" w:eastAsia="宋体" w:cs="宋体"/>
          <w:b/>
          <w:bCs/>
          <w:color w:val="auto"/>
          <w:sz w:val="28"/>
          <w:szCs w:val="28"/>
          <w:highlight w:val="none"/>
        </w:rPr>
        <w:t>（</w:t>
      </w:r>
      <w:r>
        <w:rPr>
          <w:rFonts w:hint="eastAsia" w:ascii="宋体" w:hAnsi="宋体" w:eastAsia="宋体" w:cs="宋体"/>
          <w:b/>
          <w:color w:val="auto"/>
          <w:sz w:val="32"/>
          <w:szCs w:val="32"/>
          <w:highlight w:val="none"/>
        </w:rPr>
        <w:t>仅供参考）</w:t>
      </w:r>
      <w:bookmarkEnd w:id="6"/>
      <w:bookmarkEnd w:id="7"/>
      <w:bookmarkEnd w:id="8"/>
      <w:bookmarkEnd w:id="9"/>
      <w:bookmarkEnd w:id="10"/>
      <w:bookmarkEnd w:id="11"/>
      <w:r>
        <w:rPr>
          <w:rFonts w:hint="eastAsia" w:ascii="宋体" w:hAnsi="宋体" w:eastAsia="宋体" w:cs="宋体"/>
          <w:b/>
          <w:color w:val="auto"/>
          <w:sz w:val="32"/>
          <w:szCs w:val="32"/>
          <w:highlight w:val="none"/>
        </w:rPr>
        <w:t xml:space="preserve">                  </w:t>
      </w:r>
    </w:p>
    <w:p w14:paraId="370ADD14">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59B487EE">
      <w:pPr>
        <w:jc w:val="center"/>
        <w:rPr>
          <w:rFonts w:hint="eastAsia" w:ascii="宋体" w:hAnsi="宋体" w:eastAsia="宋体" w:cs="宋体"/>
          <w:color w:val="auto"/>
          <w:sz w:val="52"/>
          <w:szCs w:val="52"/>
          <w:highlight w:val="none"/>
        </w:rPr>
      </w:pPr>
    </w:p>
    <w:p w14:paraId="07AABEC9">
      <w:pPr>
        <w:jc w:val="center"/>
        <w:rPr>
          <w:rFonts w:hint="eastAsia" w:ascii="宋体" w:hAnsi="宋体" w:eastAsia="宋体" w:cs="宋体"/>
          <w:color w:val="auto"/>
          <w:sz w:val="52"/>
          <w:szCs w:val="52"/>
          <w:highlight w:val="none"/>
        </w:rPr>
      </w:pPr>
    </w:p>
    <w:p w14:paraId="34927123">
      <w:pPr>
        <w:jc w:val="center"/>
        <w:rPr>
          <w:rFonts w:hint="eastAsia" w:ascii="宋体" w:hAnsi="宋体" w:eastAsia="宋体" w:cs="宋体"/>
          <w:b/>
          <w:snapToGrid w:val="0"/>
          <w:color w:val="auto"/>
          <w:sz w:val="48"/>
          <w:szCs w:val="48"/>
          <w:highlight w:val="none"/>
          <w:u w:val="single"/>
        </w:rPr>
      </w:pPr>
      <w:r>
        <w:rPr>
          <w:rFonts w:hint="eastAsia" w:ascii="宋体" w:hAnsi="宋体" w:eastAsia="宋体" w:cs="宋体"/>
          <w:b/>
          <w:snapToGrid w:val="0"/>
          <w:color w:val="auto"/>
          <w:sz w:val="48"/>
          <w:szCs w:val="48"/>
          <w:highlight w:val="none"/>
          <w:u w:val="single"/>
        </w:rPr>
        <w:t>(项目名称)</w:t>
      </w:r>
    </w:p>
    <w:p w14:paraId="582BF8DC">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服 务 合 同</w:t>
      </w:r>
    </w:p>
    <w:p w14:paraId="3859833D">
      <w:pPr>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（项目编号：      </w:t>
      </w:r>
      <w:r>
        <w:rPr>
          <w:rFonts w:hint="eastAsia" w:ascii="宋体" w:hAnsi="宋体" w:eastAsia="宋体" w:cs="宋体"/>
          <w:color w:val="auto"/>
          <w:sz w:val="28"/>
          <w:szCs w:val="28"/>
          <w:highlight w:val="none"/>
        </w:rPr>
        <w:t>）</w:t>
      </w:r>
    </w:p>
    <w:p w14:paraId="6B88E84B">
      <w:pPr>
        <w:jc w:val="center"/>
        <w:rPr>
          <w:rFonts w:hint="eastAsia" w:ascii="宋体" w:hAnsi="宋体" w:eastAsia="宋体" w:cs="宋体"/>
          <w:color w:val="auto"/>
          <w:sz w:val="30"/>
          <w:szCs w:val="30"/>
          <w:highlight w:val="none"/>
        </w:rPr>
      </w:pPr>
    </w:p>
    <w:p w14:paraId="2F5BE5FB">
      <w:pPr>
        <w:jc w:val="center"/>
        <w:rPr>
          <w:rFonts w:hint="eastAsia" w:ascii="宋体" w:hAnsi="宋体" w:eastAsia="宋体" w:cs="宋体"/>
          <w:color w:val="auto"/>
          <w:sz w:val="30"/>
          <w:szCs w:val="30"/>
          <w:highlight w:val="none"/>
        </w:rPr>
      </w:pPr>
    </w:p>
    <w:p w14:paraId="2055036E">
      <w:pPr>
        <w:jc w:val="center"/>
        <w:rPr>
          <w:rFonts w:hint="eastAsia" w:ascii="宋体" w:hAnsi="宋体" w:eastAsia="宋体" w:cs="宋体"/>
          <w:color w:val="auto"/>
          <w:sz w:val="30"/>
          <w:szCs w:val="30"/>
          <w:highlight w:val="none"/>
        </w:rPr>
      </w:pPr>
    </w:p>
    <w:p w14:paraId="7431A35B">
      <w:pPr>
        <w:jc w:val="center"/>
        <w:rPr>
          <w:rFonts w:hint="eastAsia" w:ascii="宋体" w:hAnsi="宋体" w:eastAsia="宋体" w:cs="宋体"/>
          <w:color w:val="auto"/>
          <w:sz w:val="30"/>
          <w:szCs w:val="30"/>
          <w:highlight w:val="none"/>
        </w:rPr>
      </w:pPr>
    </w:p>
    <w:p w14:paraId="22A267AE">
      <w:pPr>
        <w:jc w:val="center"/>
        <w:rPr>
          <w:rFonts w:hint="eastAsia" w:ascii="宋体" w:hAnsi="宋体" w:eastAsia="宋体" w:cs="宋体"/>
          <w:color w:val="auto"/>
          <w:sz w:val="30"/>
          <w:szCs w:val="30"/>
          <w:highlight w:val="none"/>
        </w:rPr>
      </w:pPr>
    </w:p>
    <w:p w14:paraId="37AE7BB3">
      <w:pPr>
        <w:ind w:firstLine="2080" w:firstLineChars="65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310A0954">
      <w:pPr>
        <w:tabs>
          <w:tab w:val="left" w:pos="480"/>
        </w:tabs>
        <w:ind w:firstLine="640" w:firstLine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乙  方：</w:t>
      </w:r>
    </w:p>
    <w:p w14:paraId="07D80F41">
      <w:pPr>
        <w:jc w:val="center"/>
        <w:rPr>
          <w:rFonts w:hint="eastAsia" w:ascii="宋体" w:hAnsi="宋体" w:eastAsia="宋体" w:cs="宋体"/>
          <w:color w:val="auto"/>
          <w:sz w:val="30"/>
          <w:szCs w:val="30"/>
          <w:highlight w:val="none"/>
        </w:rPr>
      </w:pPr>
    </w:p>
    <w:p w14:paraId="1D0411B5">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年  月</w:t>
      </w:r>
    </w:p>
    <w:p w14:paraId="7015152E">
      <w:pPr>
        <w:jc w:val="center"/>
        <w:rPr>
          <w:rFonts w:hint="eastAsia" w:ascii="宋体" w:hAnsi="宋体" w:eastAsia="宋体" w:cs="宋体"/>
          <w:color w:val="auto"/>
          <w:sz w:val="32"/>
          <w:szCs w:val="32"/>
          <w:highlight w:val="none"/>
        </w:rPr>
      </w:pPr>
    </w:p>
    <w:p w14:paraId="604CAE62">
      <w:pPr>
        <w:spacing w:line="590" w:lineRule="exact"/>
        <w:rPr>
          <w:rFonts w:hint="eastAsia" w:ascii="宋体" w:hAnsi="宋体" w:eastAsia="宋体" w:cs="宋体"/>
          <w:b/>
          <w:color w:val="auto"/>
          <w:sz w:val="36"/>
          <w:szCs w:val="36"/>
          <w:highlight w:val="none"/>
        </w:rPr>
      </w:pPr>
    </w:p>
    <w:p w14:paraId="4DBB2205">
      <w:pPr>
        <w:jc w:val="center"/>
        <w:outlineLvl w:val="2"/>
        <w:rPr>
          <w:rFonts w:hint="eastAsia" w:ascii="宋体" w:hAnsi="宋体" w:eastAsia="宋体" w:cs="宋体"/>
          <w:b/>
          <w:color w:val="auto"/>
          <w:sz w:val="36"/>
          <w:szCs w:val="36"/>
          <w:highlight w:val="none"/>
        </w:rPr>
      </w:pPr>
      <w:r>
        <w:rPr>
          <w:rFonts w:hint="eastAsia" w:ascii="宋体" w:hAnsi="宋体" w:eastAsia="宋体" w:cs="宋体"/>
          <w:b/>
          <w:color w:val="auto"/>
          <w:szCs w:val="21"/>
          <w:highlight w:val="none"/>
        </w:rPr>
        <w:br w:type="page"/>
      </w:r>
      <w:bookmarkStart w:id="12" w:name="_Toc7965"/>
      <w:bookmarkStart w:id="13" w:name="_Toc28398"/>
      <w:bookmarkStart w:id="14" w:name="_Toc20561"/>
      <w:bookmarkStart w:id="15" w:name="_Toc24621"/>
      <w:r>
        <w:rPr>
          <w:rFonts w:hint="eastAsia" w:ascii="宋体" w:hAnsi="宋体" w:eastAsia="宋体" w:cs="宋体"/>
          <w:b/>
          <w:color w:val="auto"/>
          <w:sz w:val="36"/>
          <w:szCs w:val="36"/>
          <w:highlight w:val="none"/>
        </w:rPr>
        <w:t>协 议 书</w:t>
      </w:r>
      <w:bookmarkEnd w:id="12"/>
      <w:bookmarkEnd w:id="13"/>
      <w:bookmarkEnd w:id="14"/>
      <w:bookmarkEnd w:id="15"/>
    </w:p>
    <w:p w14:paraId="33919AF2">
      <w:pPr>
        <w:spacing w:line="360" w:lineRule="auto"/>
        <w:rPr>
          <w:rFonts w:hint="eastAsia" w:asciiTheme="majorEastAsia" w:hAnsiTheme="majorEastAsia" w:eastAsiaTheme="majorEastAsia" w:cstheme="majorEastAsia"/>
          <w:color w:val="auto"/>
          <w:szCs w:val="21"/>
          <w:highlight w:val="none"/>
          <w:u w:val="single"/>
        </w:rPr>
      </w:pPr>
      <w:r>
        <w:rPr>
          <w:rFonts w:hint="eastAsia" w:asciiTheme="majorEastAsia" w:hAnsiTheme="majorEastAsia" w:eastAsiaTheme="majorEastAsia" w:cstheme="majorEastAsia"/>
          <w:color w:val="auto"/>
          <w:szCs w:val="21"/>
          <w:highlight w:val="none"/>
        </w:rPr>
        <w:t>甲方：</w:t>
      </w:r>
      <w:r>
        <w:rPr>
          <w:rFonts w:hint="eastAsia" w:asciiTheme="majorEastAsia" w:hAnsiTheme="majorEastAsia" w:eastAsiaTheme="majorEastAsia" w:cstheme="majorEastAsia"/>
          <w:color w:val="auto"/>
          <w:szCs w:val="21"/>
          <w:highlight w:val="none"/>
          <w:u w:val="single"/>
        </w:rPr>
        <w:t xml:space="preserve">             </w:t>
      </w:r>
    </w:p>
    <w:p w14:paraId="059ED6B7">
      <w:pPr>
        <w:spacing w:line="360" w:lineRule="auto"/>
        <w:rPr>
          <w:rFonts w:hint="eastAsia" w:asciiTheme="majorEastAsia" w:hAnsiTheme="majorEastAsia" w:eastAsiaTheme="majorEastAsia" w:cstheme="majorEastAsia"/>
          <w:color w:val="auto"/>
          <w:szCs w:val="21"/>
          <w:highlight w:val="none"/>
          <w:u w:val="single"/>
        </w:rPr>
      </w:pPr>
      <w:r>
        <w:rPr>
          <w:rFonts w:hint="eastAsia" w:asciiTheme="majorEastAsia" w:hAnsiTheme="majorEastAsia" w:eastAsiaTheme="majorEastAsia" w:cstheme="majorEastAsia"/>
          <w:color w:val="auto"/>
          <w:szCs w:val="21"/>
          <w:highlight w:val="none"/>
        </w:rPr>
        <w:t>乙方：</w:t>
      </w:r>
      <w:r>
        <w:rPr>
          <w:rFonts w:hint="eastAsia" w:asciiTheme="majorEastAsia" w:hAnsiTheme="majorEastAsia" w:eastAsiaTheme="majorEastAsia" w:cstheme="majorEastAsia"/>
          <w:color w:val="auto"/>
          <w:szCs w:val="21"/>
          <w:highlight w:val="none"/>
          <w:u w:val="single"/>
        </w:rPr>
        <w:t xml:space="preserve">             </w:t>
      </w:r>
    </w:p>
    <w:p w14:paraId="0DB7ACF7">
      <w:pPr>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根据《中华人民共和国民法典》、《中华人民共和国政府采购法》与项目行业有关的法律法规，以及本项目（</w:t>
      </w:r>
      <w:r>
        <w:rPr>
          <w:rFonts w:hint="eastAsia" w:asciiTheme="majorEastAsia" w:hAnsiTheme="majorEastAsia" w:eastAsiaTheme="majorEastAsia" w:cstheme="majorEastAsia"/>
          <w:color w:val="auto"/>
          <w:szCs w:val="21"/>
          <w:highlight w:val="none"/>
          <w:lang w:eastAsia="zh-CN"/>
        </w:rPr>
        <w:t>“秦声无界 四海同音”2026西安网络国际传播项目</w:t>
      </w:r>
      <w:r>
        <w:rPr>
          <w:rFonts w:hint="eastAsia" w:asciiTheme="majorEastAsia" w:hAnsiTheme="majorEastAsia" w:eastAsiaTheme="majorEastAsia" w:cstheme="majorEastAsia"/>
          <w:color w:val="auto"/>
          <w:szCs w:val="21"/>
          <w:highlight w:val="none"/>
        </w:rPr>
        <w:t>）相关采购要求的规定，合同双方就乙方向采购方提供</w:t>
      </w:r>
      <w:r>
        <w:rPr>
          <w:rFonts w:hint="eastAsia" w:asciiTheme="majorEastAsia" w:hAnsiTheme="majorEastAsia" w:eastAsiaTheme="majorEastAsia" w:cstheme="majorEastAsia"/>
          <w:color w:val="auto"/>
          <w:szCs w:val="21"/>
          <w:highlight w:val="none"/>
          <w:lang w:eastAsia="zh-CN"/>
        </w:rPr>
        <w:t>“秦声无界 四海同音”2026西安网络国际传播项目</w:t>
      </w:r>
      <w:r>
        <w:rPr>
          <w:rFonts w:hint="eastAsia" w:asciiTheme="majorEastAsia" w:hAnsiTheme="majorEastAsia" w:eastAsiaTheme="majorEastAsia" w:cstheme="majorEastAsia"/>
          <w:color w:val="auto"/>
          <w:szCs w:val="21"/>
          <w:highlight w:val="none"/>
        </w:rPr>
        <w:t>协商达成一致，确立本合同。</w:t>
      </w:r>
    </w:p>
    <w:p w14:paraId="4EFF5F06">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16" w:name="_Toc15362"/>
      <w:bookmarkStart w:id="17" w:name="_Toc30883"/>
      <w:bookmarkStart w:id="18" w:name="_Toc8841"/>
      <w:bookmarkStart w:id="19" w:name="_Toc12769"/>
      <w:bookmarkStart w:id="20" w:name="_Toc7407"/>
      <w:r>
        <w:rPr>
          <w:rFonts w:hint="eastAsia" w:asciiTheme="majorEastAsia" w:hAnsiTheme="majorEastAsia" w:eastAsiaTheme="majorEastAsia" w:cstheme="majorEastAsia"/>
          <w:b/>
          <w:color w:val="auto"/>
          <w:szCs w:val="21"/>
          <w:highlight w:val="none"/>
        </w:rPr>
        <w:t>一、合同标的物内容、数量及单价</w:t>
      </w:r>
      <w:r>
        <w:rPr>
          <w:rFonts w:hint="eastAsia" w:asciiTheme="majorEastAsia" w:hAnsiTheme="majorEastAsia" w:eastAsiaTheme="majorEastAsia" w:cstheme="majorEastAsia"/>
          <w:color w:val="auto"/>
          <w:szCs w:val="21"/>
          <w:highlight w:val="none"/>
        </w:rPr>
        <w:t>（以竞争性磋商响应文件正本和澄清表〈函〉为准）</w:t>
      </w:r>
      <w:bookmarkEnd w:id="16"/>
      <w:bookmarkEnd w:id="17"/>
      <w:bookmarkEnd w:id="18"/>
      <w:bookmarkEnd w:id="19"/>
      <w:bookmarkEnd w:id="20"/>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A91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0A05D446">
            <w:pPr>
              <w:tabs>
                <w:tab w:val="left" w:pos="480"/>
              </w:tabs>
              <w:spacing w:line="396" w:lineRule="exac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2CD39A13">
            <w:pPr>
              <w:tabs>
                <w:tab w:val="left" w:pos="480"/>
              </w:tabs>
              <w:spacing w:line="396" w:lineRule="exac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56CAD306">
            <w:pPr>
              <w:tabs>
                <w:tab w:val="left" w:pos="480"/>
              </w:tabs>
              <w:spacing w:line="396" w:lineRule="exac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31E659AD">
            <w:pPr>
              <w:tabs>
                <w:tab w:val="left" w:pos="480"/>
              </w:tabs>
              <w:spacing w:line="396" w:lineRule="exac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67C80532">
            <w:pPr>
              <w:tabs>
                <w:tab w:val="left" w:pos="480"/>
              </w:tabs>
              <w:spacing w:line="396" w:lineRule="exac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备注</w:t>
            </w:r>
          </w:p>
        </w:tc>
      </w:tr>
      <w:tr w14:paraId="4D34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56CB0C6A">
            <w:pPr>
              <w:tabs>
                <w:tab w:val="left" w:pos="480"/>
              </w:tabs>
              <w:spacing w:line="396" w:lineRule="exac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0BE4DA39">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7F45C237">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4A42D445">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5CCF526A">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r>
      <w:tr w14:paraId="1AFD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1E6E2B6E">
            <w:pPr>
              <w:tabs>
                <w:tab w:val="left" w:pos="480"/>
              </w:tabs>
              <w:spacing w:line="396" w:lineRule="exac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14BCD66D">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4B4BD6EB">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507AB150">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098E2F4A">
            <w:pPr>
              <w:tabs>
                <w:tab w:val="left" w:pos="480"/>
              </w:tabs>
              <w:spacing w:line="396" w:lineRule="exact"/>
              <w:jc w:val="center"/>
              <w:rPr>
                <w:rFonts w:hint="eastAsia" w:asciiTheme="majorEastAsia" w:hAnsiTheme="majorEastAsia" w:eastAsiaTheme="majorEastAsia" w:cstheme="majorEastAsia"/>
                <w:color w:val="auto"/>
                <w:szCs w:val="21"/>
                <w:highlight w:val="none"/>
              </w:rPr>
            </w:pPr>
          </w:p>
        </w:tc>
      </w:tr>
    </w:tbl>
    <w:p w14:paraId="1C66BB72">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21" w:name="_Toc18749"/>
      <w:bookmarkStart w:id="22" w:name="_Toc4137"/>
      <w:bookmarkStart w:id="23" w:name="_Toc8887"/>
      <w:bookmarkStart w:id="24" w:name="_Toc29331"/>
      <w:bookmarkStart w:id="25" w:name="_Toc3926"/>
      <w:r>
        <w:rPr>
          <w:rFonts w:hint="eastAsia" w:asciiTheme="majorEastAsia" w:hAnsiTheme="majorEastAsia" w:eastAsiaTheme="majorEastAsia" w:cstheme="majorEastAsia"/>
          <w:b/>
          <w:color w:val="auto"/>
          <w:szCs w:val="21"/>
          <w:highlight w:val="none"/>
        </w:rPr>
        <w:t>二、合同价款</w:t>
      </w:r>
      <w:bookmarkEnd w:id="21"/>
      <w:bookmarkEnd w:id="22"/>
      <w:bookmarkEnd w:id="23"/>
      <w:bookmarkEnd w:id="24"/>
      <w:bookmarkEnd w:id="25"/>
    </w:p>
    <w:p w14:paraId="5783FE84">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u w:val="single"/>
        </w:rPr>
      </w:pPr>
      <w:r>
        <w:rPr>
          <w:rFonts w:hint="eastAsia" w:asciiTheme="majorEastAsia" w:hAnsiTheme="majorEastAsia" w:eastAsiaTheme="majorEastAsia" w:cstheme="majorEastAsia"/>
          <w:color w:val="auto"/>
          <w:szCs w:val="21"/>
          <w:highlight w:val="none"/>
        </w:rPr>
        <w:t>（一）本合同为总价合同，各项服务的合同总价为其磋商最终报价。</w:t>
      </w:r>
    </w:p>
    <w:p w14:paraId="74FF3E78">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（二）合同价包括：完成本项目全部服务所需的人员费、场地费、设备费、物料制作费、专家劳务费、技术服务费、税费、交通费、后期资料费等所有费用，为固定包干总价。</w:t>
      </w:r>
    </w:p>
    <w:p w14:paraId="720BD287">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26" w:name="_Toc23247"/>
      <w:bookmarkStart w:id="27" w:name="_Toc9765"/>
      <w:bookmarkStart w:id="28" w:name="_Toc6296"/>
      <w:bookmarkStart w:id="29" w:name="_Toc28664"/>
      <w:bookmarkStart w:id="30" w:name="_Toc22511"/>
      <w:r>
        <w:rPr>
          <w:rFonts w:hint="eastAsia" w:asciiTheme="majorEastAsia" w:hAnsiTheme="majorEastAsia" w:eastAsiaTheme="majorEastAsia" w:cstheme="majorEastAsia"/>
          <w:b/>
          <w:color w:val="auto"/>
          <w:szCs w:val="21"/>
          <w:highlight w:val="none"/>
        </w:rPr>
        <w:t>三、款项结算</w:t>
      </w:r>
      <w:bookmarkEnd w:id="26"/>
      <w:bookmarkEnd w:id="27"/>
      <w:bookmarkEnd w:id="28"/>
      <w:bookmarkEnd w:id="29"/>
      <w:bookmarkEnd w:id="30"/>
    </w:p>
    <w:p w14:paraId="1E7CF767">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详见合同前附表。</w:t>
      </w:r>
    </w:p>
    <w:p w14:paraId="3C677911">
      <w:pPr>
        <w:tabs>
          <w:tab w:val="left" w:pos="480"/>
        </w:tabs>
        <w:spacing w:line="360" w:lineRule="auto"/>
        <w:outlineLvl w:val="1"/>
        <w:rPr>
          <w:rFonts w:hint="eastAsia" w:asciiTheme="majorEastAsia" w:hAnsiTheme="majorEastAsia" w:eastAsiaTheme="majorEastAsia" w:cstheme="majorEastAsia"/>
          <w:color w:val="auto"/>
          <w:szCs w:val="21"/>
          <w:highlight w:val="none"/>
        </w:rPr>
      </w:pPr>
      <w:bookmarkStart w:id="31" w:name="_Toc21714"/>
      <w:bookmarkStart w:id="32" w:name="_Toc21110"/>
      <w:bookmarkStart w:id="33" w:name="_Toc9555"/>
      <w:bookmarkStart w:id="34" w:name="_Toc21171"/>
      <w:bookmarkStart w:id="35" w:name="_Toc24406"/>
      <w:r>
        <w:rPr>
          <w:rFonts w:hint="eastAsia" w:asciiTheme="majorEastAsia" w:hAnsiTheme="majorEastAsia" w:eastAsiaTheme="majorEastAsia" w:cstheme="majorEastAsia"/>
          <w:b/>
          <w:color w:val="auto"/>
          <w:szCs w:val="21"/>
          <w:highlight w:val="none"/>
        </w:rPr>
        <w:t>四、服务条件：</w:t>
      </w:r>
      <w:bookmarkEnd w:id="31"/>
      <w:bookmarkEnd w:id="32"/>
      <w:bookmarkEnd w:id="33"/>
      <w:bookmarkEnd w:id="34"/>
      <w:bookmarkEnd w:id="35"/>
    </w:p>
    <w:p w14:paraId="33AF94F5">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（一）服务地点：甲方指定地点。</w:t>
      </w:r>
    </w:p>
    <w:p w14:paraId="773128B9">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lang w:eastAsia="zh-CN"/>
        </w:rPr>
      </w:pPr>
      <w:r>
        <w:rPr>
          <w:rFonts w:hint="eastAsia" w:asciiTheme="majorEastAsia" w:hAnsiTheme="majorEastAsia" w:eastAsiaTheme="majorEastAsia" w:cstheme="majorEastAsia"/>
          <w:color w:val="auto"/>
          <w:szCs w:val="21"/>
          <w:highlight w:val="none"/>
        </w:rPr>
        <w:t>（二）服务期限：</w:t>
      </w:r>
      <w:r>
        <w:rPr>
          <w:rFonts w:ascii="Times New Roman" w:hAnsi="宋体" w:cs="宋体"/>
          <w:kern w:val="0"/>
          <w14:ligatures w14:val="none"/>
        </w:rPr>
        <w:t>合同签订之日起至2026年</w:t>
      </w:r>
      <w:r>
        <w:rPr>
          <w:rFonts w:hint="eastAsia" w:ascii="Times New Roman" w:hAnsi="宋体" w:cs="宋体"/>
          <w:kern w:val="0"/>
          <w14:ligatures w14:val="none"/>
        </w:rPr>
        <w:t>11</w:t>
      </w:r>
      <w:r>
        <w:rPr>
          <w:rFonts w:ascii="Times New Roman" w:hAnsi="宋体" w:cs="宋体"/>
          <w:kern w:val="0"/>
          <w14:ligatures w14:val="none"/>
        </w:rPr>
        <w:t>月</w:t>
      </w:r>
      <w:r>
        <w:rPr>
          <w:rFonts w:hint="eastAsia" w:ascii="Times New Roman" w:hAnsi="宋体" w:cs="宋体"/>
          <w:kern w:val="0"/>
          <w14:ligatures w14:val="none"/>
        </w:rPr>
        <w:t>20日</w:t>
      </w:r>
      <w:r>
        <w:rPr>
          <w:rFonts w:hint="eastAsia" w:ascii="Times New Roman" w:hAnsi="宋体" w:cs="宋体"/>
          <w:kern w:val="0"/>
          <w:lang w:val="en-US" w:eastAsia="zh-CN"/>
          <w14:ligatures w14:val="none"/>
        </w:rPr>
        <w:t>前</w:t>
      </w:r>
      <w:r>
        <w:rPr>
          <w:rFonts w:hint="eastAsia" w:asciiTheme="majorEastAsia" w:hAnsiTheme="majorEastAsia" w:eastAsiaTheme="majorEastAsia" w:cstheme="majorEastAsia"/>
          <w:color w:val="auto"/>
          <w:szCs w:val="21"/>
          <w:highlight w:val="none"/>
        </w:rPr>
        <w:t>完成整体项目</w:t>
      </w:r>
      <w:r>
        <w:rPr>
          <w:rFonts w:hint="eastAsia" w:asciiTheme="majorEastAsia" w:hAnsiTheme="majorEastAsia" w:eastAsiaTheme="majorEastAsia" w:cstheme="majorEastAsia"/>
          <w:color w:val="auto"/>
          <w:szCs w:val="21"/>
          <w:highlight w:val="none"/>
          <w:lang w:eastAsia="zh-CN"/>
        </w:rPr>
        <w:t>。</w:t>
      </w:r>
    </w:p>
    <w:p w14:paraId="30EB7157">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36" w:name="_Toc32459"/>
      <w:bookmarkStart w:id="37" w:name="_Toc15947"/>
      <w:bookmarkStart w:id="38" w:name="_Toc15118"/>
      <w:bookmarkStart w:id="39" w:name="_Toc27382"/>
      <w:bookmarkStart w:id="40" w:name="_Toc7966"/>
      <w:r>
        <w:rPr>
          <w:rFonts w:hint="eastAsia" w:asciiTheme="majorEastAsia" w:hAnsiTheme="majorEastAsia" w:eastAsiaTheme="majorEastAsia" w:cstheme="majorEastAsia"/>
          <w:b/>
          <w:color w:val="auto"/>
          <w:szCs w:val="21"/>
          <w:highlight w:val="none"/>
        </w:rPr>
        <w:t>五、质量保证</w:t>
      </w:r>
      <w:bookmarkEnd w:id="36"/>
      <w:bookmarkEnd w:id="37"/>
      <w:bookmarkEnd w:id="38"/>
      <w:bookmarkEnd w:id="39"/>
      <w:bookmarkEnd w:id="40"/>
    </w:p>
    <w:p w14:paraId="46B9253D">
      <w:pPr>
        <w:tabs>
          <w:tab w:val="left" w:pos="480"/>
        </w:tabs>
        <w:spacing w:line="360" w:lineRule="auto"/>
        <w:ind w:firstLine="411" w:firstLineChars="196"/>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1. 乙方提供的服务，需完全满足本项目采购文件、响应文件约定的标准及要求，符合国家、行业相关法律法规及规范要求，服务质量达标。</w:t>
      </w:r>
    </w:p>
    <w:p w14:paraId="09580232">
      <w:pPr>
        <w:tabs>
          <w:tab w:val="left" w:pos="480"/>
        </w:tabs>
        <w:spacing w:line="360" w:lineRule="auto"/>
        <w:ind w:firstLine="411" w:firstLineChars="196"/>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2、成交单位应当保证其具有完成本项目所要求的货物和服务所必须具备的专业设备和服务能力。</w:t>
      </w:r>
    </w:p>
    <w:p w14:paraId="5F40F305">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41" w:name="_Toc9903"/>
      <w:bookmarkStart w:id="42" w:name="_Toc13959"/>
      <w:bookmarkStart w:id="43" w:name="_Toc23868"/>
      <w:bookmarkStart w:id="44" w:name="_Toc12558"/>
      <w:bookmarkStart w:id="45" w:name="_Toc21314"/>
      <w:r>
        <w:rPr>
          <w:rFonts w:hint="eastAsia" w:asciiTheme="majorEastAsia" w:hAnsiTheme="majorEastAsia" w:eastAsiaTheme="majorEastAsia" w:cstheme="majorEastAsia"/>
          <w:b/>
          <w:color w:val="auto"/>
          <w:szCs w:val="21"/>
          <w:highlight w:val="none"/>
        </w:rPr>
        <w:t>六、技术与服务</w:t>
      </w:r>
      <w:bookmarkEnd w:id="41"/>
      <w:bookmarkEnd w:id="42"/>
      <w:bookmarkEnd w:id="43"/>
      <w:bookmarkEnd w:id="44"/>
      <w:bookmarkEnd w:id="45"/>
    </w:p>
    <w:p w14:paraId="4920F04C">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（一）技术资料：</w:t>
      </w:r>
    </w:p>
    <w:p w14:paraId="4CB2FB36">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技术资料：</w:t>
      </w:r>
    </w:p>
    <w:p w14:paraId="69222B05">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成交供应商应随同服务提供相应的中文技术文件。</w:t>
      </w:r>
    </w:p>
    <w:p w14:paraId="43D206C5">
      <w:pPr>
        <w:tabs>
          <w:tab w:val="left" w:pos="480"/>
        </w:tabs>
        <w:spacing w:line="360" w:lineRule="auto"/>
        <w:ind w:firstLine="420" w:firstLineChars="200"/>
        <w:rPr>
          <w:rFonts w:hint="eastAsia"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szCs w:val="21"/>
          <w:highlight w:val="none"/>
        </w:rPr>
        <w:t>（二）服务承诺：以竞争性磋商响应文件、澄清表（函）、合同和随货物的相关文件为准。</w:t>
      </w:r>
    </w:p>
    <w:p w14:paraId="5C66AE7C">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46" w:name="_Toc22161"/>
      <w:bookmarkStart w:id="47" w:name="_Toc13572"/>
      <w:bookmarkStart w:id="48" w:name="_Toc12975"/>
      <w:bookmarkStart w:id="49" w:name="_Toc28855"/>
      <w:bookmarkStart w:id="50" w:name="_Toc14409"/>
      <w:r>
        <w:rPr>
          <w:rFonts w:hint="eastAsia" w:asciiTheme="majorEastAsia" w:hAnsiTheme="majorEastAsia" w:eastAsiaTheme="majorEastAsia" w:cstheme="majorEastAsia"/>
          <w:b/>
          <w:color w:val="auto"/>
          <w:szCs w:val="21"/>
          <w:highlight w:val="none"/>
        </w:rPr>
        <w:t>七、验收</w:t>
      </w:r>
      <w:bookmarkEnd w:id="46"/>
      <w:bookmarkEnd w:id="47"/>
      <w:bookmarkEnd w:id="48"/>
      <w:bookmarkEnd w:id="49"/>
      <w:bookmarkEnd w:id="50"/>
    </w:p>
    <w:p w14:paraId="63F654A5">
      <w:pPr>
        <w:spacing w:line="360" w:lineRule="auto"/>
        <w:ind w:firstLine="420" w:firstLineChars="200"/>
        <w:rPr>
          <w:rFonts w:hint="eastAsia"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highlight w:val="none"/>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40CB8F31">
      <w:pPr>
        <w:spacing w:line="360" w:lineRule="auto"/>
        <w:ind w:firstLine="420" w:firstLineChars="200"/>
        <w:rPr>
          <w:rFonts w:hint="eastAsia"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highlight w:val="none"/>
        </w:rPr>
        <w:t>2、若发现乙方有弄虚作假的，及在项目实施阶段故意或随意夸大服务，本合同解除，乙方赔偿甲方相应的损失。</w:t>
      </w:r>
    </w:p>
    <w:p w14:paraId="54F34E74">
      <w:pPr>
        <w:spacing w:line="360" w:lineRule="auto"/>
        <w:ind w:firstLine="420" w:firstLineChars="200"/>
        <w:rPr>
          <w:rFonts w:hint="eastAsia"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highlight w:val="none"/>
        </w:rPr>
        <w:t>3、验收标准：完成合同约定的各项目实施，三次线下活动的组织承办，配套宣传推广的效果实现，西安市秦腔文化、网络视听产业等国际传播成果的制作呈现。</w:t>
      </w:r>
    </w:p>
    <w:p w14:paraId="5C248121">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51" w:name="_Toc31076"/>
      <w:bookmarkStart w:id="52" w:name="_Toc9858"/>
      <w:bookmarkStart w:id="53" w:name="_Toc30681"/>
      <w:bookmarkStart w:id="54" w:name="_Toc7598"/>
      <w:bookmarkStart w:id="55" w:name="_Toc20026"/>
      <w:r>
        <w:rPr>
          <w:rFonts w:hint="eastAsia" w:asciiTheme="majorEastAsia" w:hAnsiTheme="majorEastAsia" w:eastAsiaTheme="majorEastAsia" w:cstheme="majorEastAsia"/>
          <w:b/>
          <w:color w:val="auto"/>
          <w:szCs w:val="21"/>
          <w:highlight w:val="none"/>
        </w:rPr>
        <w:t>八、违约责任</w:t>
      </w:r>
      <w:bookmarkEnd w:id="51"/>
      <w:bookmarkEnd w:id="52"/>
      <w:bookmarkEnd w:id="53"/>
      <w:bookmarkEnd w:id="54"/>
      <w:bookmarkEnd w:id="55"/>
    </w:p>
    <w:p w14:paraId="39E61C29">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1、按《中华人民共和国民法典》中的相关条款执行。</w:t>
      </w:r>
    </w:p>
    <w:p w14:paraId="3E9B6E34">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w:t>
      </w:r>
    </w:p>
    <w:p w14:paraId="64CADEAF">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56" w:name="_Toc30630"/>
      <w:bookmarkStart w:id="57" w:name="_Toc29958"/>
      <w:bookmarkStart w:id="58" w:name="_Toc13662"/>
      <w:bookmarkStart w:id="59" w:name="_Toc15856"/>
      <w:bookmarkStart w:id="60" w:name="_Toc27523"/>
      <w:r>
        <w:rPr>
          <w:rFonts w:hint="eastAsia" w:asciiTheme="majorEastAsia" w:hAnsiTheme="majorEastAsia" w:eastAsiaTheme="majorEastAsia" w:cstheme="majorEastAsia"/>
          <w:b/>
          <w:color w:val="auto"/>
          <w:szCs w:val="21"/>
          <w:highlight w:val="none"/>
        </w:rPr>
        <w:t>九、合同争议解决的方式</w:t>
      </w:r>
      <w:bookmarkEnd w:id="56"/>
      <w:bookmarkEnd w:id="57"/>
      <w:bookmarkEnd w:id="58"/>
      <w:bookmarkEnd w:id="59"/>
      <w:bookmarkEnd w:id="60"/>
    </w:p>
    <w:p w14:paraId="52DA4996">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本合同在履行过程中发生的争议，由甲、乙双方当事人协商解决，协商不成的按下列第</w:t>
      </w:r>
      <w:r>
        <w:rPr>
          <w:rFonts w:hint="eastAsia" w:asciiTheme="majorEastAsia" w:hAnsiTheme="majorEastAsia" w:eastAsiaTheme="majorEastAsia" w:cstheme="majorEastAsia"/>
          <w:color w:val="auto"/>
          <w:szCs w:val="21"/>
          <w:highlight w:val="none"/>
          <w:u w:val="single"/>
        </w:rPr>
        <w:t xml:space="preserve">    </w:t>
      </w:r>
      <w:r>
        <w:rPr>
          <w:rFonts w:hint="eastAsia" w:asciiTheme="majorEastAsia" w:hAnsiTheme="majorEastAsia" w:eastAsiaTheme="majorEastAsia" w:cstheme="majorEastAsia"/>
          <w:color w:val="auto"/>
          <w:szCs w:val="21"/>
          <w:highlight w:val="none"/>
        </w:rPr>
        <w:t>种方式解决：</w:t>
      </w:r>
    </w:p>
    <w:p w14:paraId="617FA4D5">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（一）提交</w:t>
      </w:r>
      <w:r>
        <w:rPr>
          <w:rFonts w:hint="eastAsia" w:asciiTheme="majorEastAsia" w:hAnsiTheme="majorEastAsia" w:eastAsiaTheme="majorEastAsia" w:cstheme="majorEastAsia"/>
          <w:color w:val="auto"/>
          <w:szCs w:val="21"/>
          <w:highlight w:val="none"/>
          <w:u w:val="single"/>
        </w:rPr>
        <w:t xml:space="preserve">        </w:t>
      </w:r>
      <w:r>
        <w:rPr>
          <w:rFonts w:hint="eastAsia" w:asciiTheme="majorEastAsia" w:hAnsiTheme="majorEastAsia" w:eastAsiaTheme="majorEastAsia" w:cstheme="majorEastAsia"/>
          <w:color w:val="auto"/>
          <w:szCs w:val="21"/>
          <w:highlight w:val="none"/>
        </w:rPr>
        <w:t>仲裁委员会仲裁；</w:t>
      </w:r>
    </w:p>
    <w:p w14:paraId="23C22BAB">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 xml:space="preserve">（二）依法向 </w:t>
      </w:r>
      <w:r>
        <w:rPr>
          <w:rFonts w:hint="eastAsia" w:asciiTheme="majorEastAsia" w:hAnsiTheme="majorEastAsia" w:eastAsiaTheme="majorEastAsia" w:cstheme="majorEastAsia"/>
          <w:color w:val="auto"/>
          <w:szCs w:val="21"/>
          <w:highlight w:val="none"/>
          <w:u w:val="single"/>
        </w:rPr>
        <w:t xml:space="preserve">       </w:t>
      </w:r>
      <w:r>
        <w:rPr>
          <w:rFonts w:hint="eastAsia" w:asciiTheme="majorEastAsia" w:hAnsiTheme="majorEastAsia" w:eastAsiaTheme="majorEastAsia" w:cstheme="majorEastAsia"/>
          <w:color w:val="auto"/>
          <w:szCs w:val="21"/>
          <w:highlight w:val="none"/>
        </w:rPr>
        <w:t>所在地人民法院起诉。</w:t>
      </w:r>
    </w:p>
    <w:p w14:paraId="5FAC98DF">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61" w:name="_Toc2858"/>
      <w:bookmarkStart w:id="62" w:name="_Toc7342"/>
      <w:bookmarkStart w:id="63" w:name="_Toc25612"/>
      <w:bookmarkStart w:id="64" w:name="_Toc18389"/>
      <w:bookmarkStart w:id="65" w:name="_Toc11478"/>
      <w:r>
        <w:rPr>
          <w:rFonts w:hint="eastAsia" w:asciiTheme="majorEastAsia" w:hAnsiTheme="majorEastAsia" w:eastAsiaTheme="majorEastAsia" w:cstheme="majorEastAsia"/>
          <w:b/>
          <w:color w:val="auto"/>
          <w:szCs w:val="21"/>
          <w:highlight w:val="none"/>
        </w:rPr>
        <w:t>十、合同生效</w:t>
      </w:r>
      <w:bookmarkEnd w:id="61"/>
      <w:bookmarkEnd w:id="62"/>
      <w:bookmarkEnd w:id="63"/>
      <w:bookmarkEnd w:id="64"/>
      <w:bookmarkEnd w:id="65"/>
    </w:p>
    <w:p w14:paraId="33EE046C">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本合同一式</w:t>
      </w:r>
      <w:r>
        <w:rPr>
          <w:rFonts w:hint="eastAsia" w:asciiTheme="majorEastAsia" w:hAnsiTheme="majorEastAsia" w:eastAsiaTheme="majorEastAsia" w:cstheme="majorEastAsia"/>
          <w:color w:val="auto"/>
          <w:szCs w:val="21"/>
          <w:highlight w:val="none"/>
          <w:u w:val="single"/>
        </w:rPr>
        <w:t xml:space="preserve">   </w:t>
      </w:r>
      <w:r>
        <w:rPr>
          <w:rFonts w:hint="eastAsia" w:asciiTheme="majorEastAsia" w:hAnsiTheme="majorEastAsia" w:eastAsiaTheme="majorEastAsia" w:cstheme="majorEastAsia"/>
          <w:color w:val="auto"/>
          <w:szCs w:val="21"/>
          <w:highlight w:val="none"/>
        </w:rPr>
        <w:t>份，甲方执</w:t>
      </w:r>
      <w:r>
        <w:rPr>
          <w:rFonts w:hint="eastAsia" w:asciiTheme="majorEastAsia" w:hAnsiTheme="majorEastAsia" w:eastAsiaTheme="majorEastAsia" w:cstheme="majorEastAsia"/>
          <w:color w:val="auto"/>
          <w:szCs w:val="21"/>
          <w:highlight w:val="none"/>
          <w:u w:val="single"/>
        </w:rPr>
        <w:t xml:space="preserve">   </w:t>
      </w:r>
      <w:r>
        <w:rPr>
          <w:rFonts w:hint="eastAsia" w:asciiTheme="majorEastAsia" w:hAnsiTheme="majorEastAsia" w:eastAsiaTheme="majorEastAsia" w:cstheme="majorEastAsia"/>
          <w:color w:val="auto"/>
          <w:szCs w:val="21"/>
          <w:highlight w:val="none"/>
        </w:rPr>
        <w:t>份，乙方执</w:t>
      </w:r>
      <w:r>
        <w:rPr>
          <w:rFonts w:hint="eastAsia" w:asciiTheme="majorEastAsia" w:hAnsiTheme="majorEastAsia" w:eastAsiaTheme="majorEastAsia" w:cstheme="majorEastAsia"/>
          <w:color w:val="auto"/>
          <w:szCs w:val="21"/>
          <w:highlight w:val="none"/>
          <w:u w:val="single"/>
        </w:rPr>
        <w:t xml:space="preserve">    </w:t>
      </w:r>
      <w:r>
        <w:rPr>
          <w:rFonts w:hint="eastAsia" w:asciiTheme="majorEastAsia" w:hAnsiTheme="majorEastAsia" w:eastAsiaTheme="majorEastAsia" w:cstheme="majorEastAsia"/>
          <w:color w:val="auto"/>
          <w:szCs w:val="21"/>
          <w:highlight w:val="none"/>
        </w:rPr>
        <w:t>份，本合同甲、乙、确认各方签字盖章后生效，合同执行完毕后，自动失效（合同的服务承诺则长期有效）。</w:t>
      </w:r>
    </w:p>
    <w:p w14:paraId="19FE5284">
      <w:pPr>
        <w:tabs>
          <w:tab w:val="left" w:pos="480"/>
        </w:tabs>
        <w:spacing w:line="360" w:lineRule="auto"/>
        <w:outlineLvl w:val="1"/>
        <w:rPr>
          <w:rFonts w:hint="eastAsia" w:asciiTheme="majorEastAsia" w:hAnsiTheme="majorEastAsia" w:eastAsiaTheme="majorEastAsia" w:cstheme="majorEastAsia"/>
          <w:b/>
          <w:color w:val="auto"/>
          <w:szCs w:val="21"/>
          <w:highlight w:val="none"/>
        </w:rPr>
      </w:pPr>
      <w:bookmarkStart w:id="66" w:name="_Toc18225"/>
      <w:bookmarkStart w:id="67" w:name="_Toc21232"/>
      <w:bookmarkStart w:id="68" w:name="_Toc31909"/>
      <w:bookmarkStart w:id="69" w:name="_Toc823"/>
      <w:bookmarkStart w:id="70" w:name="_Toc18381"/>
      <w:r>
        <w:rPr>
          <w:rFonts w:hint="eastAsia" w:asciiTheme="majorEastAsia" w:hAnsiTheme="majorEastAsia" w:eastAsiaTheme="majorEastAsia" w:cstheme="majorEastAsia"/>
          <w:b/>
          <w:color w:val="auto"/>
          <w:szCs w:val="21"/>
          <w:highlight w:val="none"/>
        </w:rPr>
        <w:t>十一、其他事项</w:t>
      </w:r>
      <w:bookmarkEnd w:id="66"/>
      <w:bookmarkEnd w:id="67"/>
      <w:bookmarkEnd w:id="68"/>
      <w:bookmarkEnd w:id="69"/>
      <w:bookmarkEnd w:id="70"/>
    </w:p>
    <w:p w14:paraId="54B242A6">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（一）竞争性磋商文件、竞争性磋商响应文件、澄清表（函）、成交通知书、合同附件均成为合同不可分割的部分。</w:t>
      </w:r>
    </w:p>
    <w:p w14:paraId="42F78C3E">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（二）合同未尽事宜，由甲、乙双方协商，作为合同补充，与原合同具有同等法律效力。</w:t>
      </w:r>
    </w:p>
    <w:p w14:paraId="20688963">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（三）合同一经签订，不得擅自变更、中止或终止合同。但若与甲方的上级管理机关的政策性行为或其他规定发生冲突，甲方有权与乙方协商调整协议内容或终止协议执行。</w:t>
      </w:r>
    </w:p>
    <w:p w14:paraId="4A66F14D">
      <w:pPr>
        <w:spacing w:line="360" w:lineRule="auto"/>
        <w:ind w:firstLine="420"/>
        <w:rPr>
          <w:rFonts w:hint="eastAsia" w:asciiTheme="majorEastAsia" w:hAnsiTheme="majorEastAsia" w:eastAsiaTheme="majorEastAsia" w:cstheme="majorEastAsia"/>
          <w:color w:val="auto"/>
          <w:szCs w:val="24"/>
          <w:highlight w:val="none"/>
        </w:rPr>
      </w:pPr>
      <w:r>
        <w:rPr>
          <w:rFonts w:hint="eastAsia" w:asciiTheme="majorEastAsia" w:hAnsiTheme="majorEastAsia" w:eastAsiaTheme="majorEastAsia" w:cstheme="majorEastAsia"/>
          <w:color w:val="auto"/>
          <w:szCs w:val="24"/>
          <w:highlight w:val="none"/>
        </w:rPr>
        <w:t>（四）执行本合同过程中发生争议，由当事人双方协商解决。协商不成，可向采购方所在地人民法院提起诉讼。</w:t>
      </w:r>
    </w:p>
    <w:p w14:paraId="38A1A53B">
      <w:pPr>
        <w:spacing w:line="360" w:lineRule="auto"/>
        <w:ind w:firstLine="420"/>
        <w:rPr>
          <w:rFonts w:hint="eastAsia" w:asciiTheme="majorEastAsia" w:hAnsiTheme="majorEastAsia" w:eastAsiaTheme="majorEastAsia" w:cstheme="majorEastAsia"/>
          <w:color w:val="auto"/>
          <w:szCs w:val="24"/>
          <w:highlight w:val="none"/>
        </w:rPr>
      </w:pPr>
      <w:r>
        <w:rPr>
          <w:rFonts w:hint="eastAsia" w:asciiTheme="majorEastAsia" w:hAnsiTheme="majorEastAsia" w:eastAsiaTheme="majorEastAsia" w:cstheme="majorEastAsia"/>
          <w:color w:val="auto"/>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25555D2E">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w:t>
      </w:r>
      <w:r>
        <w:rPr>
          <w:rFonts w:hint="eastAsia" w:asciiTheme="majorEastAsia" w:hAnsiTheme="majorEastAsia" w:eastAsiaTheme="majorEastAsia" w:cstheme="majorEastAsia"/>
          <w:color w:val="auto"/>
          <w:szCs w:val="24"/>
          <w:highlight w:val="none"/>
        </w:rPr>
        <w:t>六</w:t>
      </w:r>
      <w:r>
        <w:rPr>
          <w:rFonts w:hint="eastAsia" w:asciiTheme="majorEastAsia" w:hAnsiTheme="majorEastAsia" w:eastAsiaTheme="majorEastAsia" w:cstheme="majorEastAsia"/>
          <w:color w:val="auto"/>
          <w:szCs w:val="21"/>
          <w:highlight w:val="none"/>
        </w:rPr>
        <w:t>）本合同按照中华人民共和国的现行法律进行解释。</w:t>
      </w:r>
    </w:p>
    <w:p w14:paraId="24C25A72">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甲  方：（盖章）                          乙  方：（盖章）</w:t>
      </w:r>
    </w:p>
    <w:p w14:paraId="0A27078B">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单位名称：                                单位名称：</w:t>
      </w:r>
    </w:p>
    <w:p w14:paraId="149593C0">
      <w:pPr>
        <w:tabs>
          <w:tab w:val="left" w:pos="480"/>
        </w:tabs>
        <w:spacing w:line="360" w:lineRule="auto"/>
        <w:ind w:left="5880" w:leftChars="200" w:hanging="5460" w:hangingChars="26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地  址：                                  地  址：</w:t>
      </w:r>
    </w:p>
    <w:p w14:paraId="6A3BD43E">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法定代表人                                法定代表人</w:t>
      </w:r>
    </w:p>
    <w:p w14:paraId="1665A730">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或委托代理人：                            或委托代理人：</w:t>
      </w:r>
    </w:p>
    <w:p w14:paraId="3D20BD34">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 xml:space="preserve">                                          开户银行：</w:t>
      </w:r>
    </w:p>
    <w:p w14:paraId="79CBC73A">
      <w:pPr>
        <w:tabs>
          <w:tab w:val="left" w:pos="480"/>
        </w:tabs>
        <w:spacing w:line="360" w:lineRule="auto"/>
        <w:ind w:firstLine="4830" w:firstLineChars="23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 xml:space="preserve">账  号：       </w:t>
      </w:r>
    </w:p>
    <w:p w14:paraId="0916EADE">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联系电话：                                联系电话：</w:t>
      </w:r>
    </w:p>
    <w:p w14:paraId="43B69315">
      <w:pPr>
        <w:tabs>
          <w:tab w:val="left" w:pos="480"/>
        </w:tabs>
        <w:spacing w:line="360" w:lineRule="auto"/>
        <w:ind w:firstLine="420" w:firstLineChars="200"/>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21"/>
          <w:highlight w:val="none"/>
        </w:rPr>
        <w:t>签订日期：     年    月      日           签订日期：     年    月   日</w:t>
      </w:r>
    </w:p>
    <w:p w14:paraId="469C287B">
      <w:pPr>
        <w:rPr>
          <w:rFonts w:hint="eastAsia" w:asciiTheme="majorEastAsia" w:hAnsiTheme="majorEastAsia" w:eastAsiaTheme="majorEastAsia" w:cstheme="majorEastAsia"/>
          <w:color w:val="auto"/>
          <w:highlight w:val="none"/>
        </w:rPr>
      </w:pPr>
    </w:p>
    <w:p w14:paraId="25A9F9F0">
      <w:pPr>
        <w:pStyle w:val="8"/>
        <w:spacing w:line="360" w:lineRule="auto"/>
        <w:rPr>
          <w:rFonts w:hint="eastAsia" w:asciiTheme="majorEastAsia" w:hAnsiTheme="majorEastAsia" w:eastAsiaTheme="majorEastAsia" w:cstheme="majorEastAsia"/>
          <w:color w:val="auto"/>
          <w:sz w:val="21"/>
          <w:szCs w:val="21"/>
          <w:highlight w:val="none"/>
          <w:lang w:val="en-US" w:eastAsia="zh-Hans"/>
        </w:rPr>
      </w:pPr>
    </w:p>
    <w:p w14:paraId="63E505ED">
      <w:bookmarkStart w:id="71" w:name="_GoBack"/>
      <w:bookmarkEnd w:id="7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046401"/>
    <w:rsid w:val="37EF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 w:val="28"/>
    </w:rPr>
  </w:style>
  <w:style w:type="paragraph" w:styleId="5">
    <w:name w:val="Plain Text"/>
    <w:basedOn w:val="1"/>
    <w:qFormat/>
    <w:uiPriority w:val="0"/>
    <w:rPr>
      <w:rFonts w:hAnsi="Courier New"/>
      <w:kern w:val="2"/>
      <w:sz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3904</Words>
  <Characters>3926</Characters>
  <Lines>0</Lines>
  <Paragraphs>0</Paragraphs>
  <TotalTime>0</TotalTime>
  <ScaleCrop>false</ScaleCrop>
  <LinksUpToDate>false</LinksUpToDate>
  <CharactersWithSpaces>4044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2026-06-29T02:48:00Z</dcterms:created>
  <dc:creator>Administrator</dc:creator>
  <cp:lastModifiedBy>开心聪father</cp:lastModifiedBy>
  <dcterms:modified xsi:type="dcterms:W3CDTF">2026-07-17T05:21:17Z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eyJoZGlkIjoiNDA1ZjEwOTFmNGExMmNlNTk1Y2VlMzljYTdjMDg4YmMiLCJ1c2VySWQiOiIzOTE4MjQzNDgifQ==</vt:lpwstr>
  </property>
  <property fmtid="{D5CDD505-2E9C-101B-9397-08002B2CF9AE}" pid="4" name="ICV">
    <vt:lpwstr>FD65EFB2C3534BD38BC77D83866328B0_12</vt:lpwstr>
  </property>
</Properties>
</file>