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版本号：政采-大荔县-2026-0011120260610001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大荔县2026年度未成年人救助保护服务项目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政采-大荔县-2026-00111</w:t>
      </w:r>
      <w:r>
        <w:br/>
      </w:r>
      <w:r>
        <w:br/>
      </w:r>
      <w:r>
        <w:br/>
      </w:r>
    </w:p>
    <w:p>
      <w:pPr>
        <w:pStyle w:val="null3"/>
        <w:jc w:val="center"/>
        <w:outlineLvl w:val="2"/>
      </w:pPr>
      <w:r>
        <w:rPr>
          <w:rFonts w:ascii="仿宋_GB2312" w:hAnsi="仿宋_GB2312" w:cs="仿宋_GB2312" w:eastAsia="仿宋_GB2312"/>
          <w:sz w:val="28"/>
          <w:b/>
        </w:rPr>
        <w:t>大荔县救助管理站</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大荔县救助管理站</w:t>
      </w:r>
      <w:r>
        <w:rPr>
          <w:rFonts w:ascii="仿宋_GB2312" w:hAnsi="仿宋_GB2312" w:cs="仿宋_GB2312" w:eastAsia="仿宋_GB2312"/>
        </w:rPr>
        <w:t>委托，拟对</w:t>
      </w:r>
      <w:r>
        <w:rPr>
          <w:rFonts w:ascii="仿宋_GB2312" w:hAnsi="仿宋_GB2312" w:cs="仿宋_GB2312" w:eastAsia="仿宋_GB2312"/>
        </w:rPr>
        <w:t>大荔县2026年度未成年人救助保护服务项目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大荔县2026年度未成年人救助保护服务项目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包含专业化关爱服务、监护支持与干预、应急处置与法律援助、政策宣传与能力提升等内容，整合社会专业力量，为困境儿童、留守儿童及流浪未成年人提供更全面、专业的救助保护。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采购包1（大荔县2026年度未成年人救助保护服务）：属于专门面向中小企业采购。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陕西省渭南市大荔县同州路西延段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王少登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大荔县救助管理站</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1.验收主体：在供应商履约结束后，由采购人组织验收，验收工作小组由3人以上组成，按照职责分工对照政府采购合同中验收有关事项和标准核对每项验收事项； 2.验收方法：服务内容完成情况、 服务质量与效果、资金使用合规性、合同履行期限等； 3.验收程序： (1)组织履约：采购人按照政府采购合同组织履约验收；(2)组建验收工作小组：采购人负责组织履约验收，邀请相关部门参加验收，并确定验收结果；(3)组织验收：供应商应当严格按合同约定的内容完成服务工作，并对相关资料进行认真整理，做好验收准备；(4)出具验收报告：采购人根据验收工作小组验收合格的意见，核对无误后签字确认，并出具验收报告; 4.验收内容：包含专业化关爱服务、监护支持与干预、应急处置与法律援助、政策宣传与能力提升等内容; 5.验收阶段：服务完成后10个工作日内进行履约验收; 6.验收标准：各项具体工作的质量标准和作业规范，按国家标准、行业标准、有关技术规范要求及磋商文件、响应文件规定的内容执行;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 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包含专业化关爱服务、监护支持与干预、应急处置与法律援助、政策宣传与能力提升等内容，整合社会专业力量，为困境儿童、留守儿童及流浪未成年人提供更全面、专业的救助保护。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大荔县2026年度未成年人救助保护服务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标的名称：大荔县2026年度未成年人救助保护服务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服务内容：</w:t>
            </w:r>
          </w:p>
          <w:p>
            <w:pPr>
              <w:pStyle w:val="null3"/>
            </w:pPr>
            <w:r>
              <w:rPr>
                <w:rFonts w:ascii="仿宋_GB2312" w:hAnsi="仿宋_GB2312" w:cs="仿宋_GB2312" w:eastAsia="仿宋_GB2312"/>
              </w:rPr>
              <w:t>（一）全面排查建档，精准识别需求</w:t>
            </w:r>
          </w:p>
          <w:p>
            <w:pPr>
              <w:pStyle w:val="null3"/>
            </w:pPr>
            <w:r>
              <w:rPr>
                <w:rFonts w:ascii="仿宋_GB2312" w:hAnsi="仿宋_GB2312" w:cs="仿宋_GB2312" w:eastAsia="仿宋_GB2312"/>
              </w:rPr>
              <w:t>1. 联合村（社区）儿童主任、网格员开展拉网式排查，全面摸清未成年人家庭情况、监护状况、生活学习、健康状况、实际需求。</w:t>
            </w:r>
          </w:p>
          <w:p>
            <w:pPr>
              <w:pStyle w:val="null3"/>
            </w:pPr>
            <w:r>
              <w:rPr>
                <w:rFonts w:ascii="仿宋_GB2312" w:hAnsi="仿宋_GB2312" w:cs="仿宋_GB2312" w:eastAsia="仿宋_GB2312"/>
              </w:rPr>
              <w:t>2. 建立标准化信息档案，实行红、黄、蓝三级风险分类管理，动态更新、定期复核。</w:t>
            </w:r>
          </w:p>
          <w:p>
            <w:pPr>
              <w:pStyle w:val="null3"/>
            </w:pPr>
            <w:r>
              <w:rPr>
                <w:rFonts w:ascii="仿宋_GB2312" w:hAnsi="仿宋_GB2312" w:cs="仿宋_GB2312" w:eastAsia="仿宋_GB2312"/>
              </w:rPr>
              <w:t>3. 对接教育、公安、卫健等部门数据，实现信息共享、精准比对。</w:t>
            </w:r>
          </w:p>
          <w:p>
            <w:pPr>
              <w:pStyle w:val="null3"/>
            </w:pPr>
            <w:r>
              <w:rPr>
                <w:rFonts w:ascii="仿宋_GB2312" w:hAnsi="仿宋_GB2312" w:cs="仿宋_GB2312" w:eastAsia="仿宋_GB2312"/>
              </w:rPr>
              <w:t>（二）专业化关爱服务</w:t>
            </w:r>
          </w:p>
          <w:p>
            <w:pPr>
              <w:pStyle w:val="null3"/>
            </w:pPr>
            <w:r>
              <w:rPr>
                <w:rFonts w:ascii="仿宋_GB2312" w:hAnsi="仿宋_GB2312" w:cs="仿宋_GB2312" w:eastAsia="仿宋_GB2312"/>
              </w:rPr>
              <w:t>1. 心理关爱服务：开展心理测评、情绪疏导、危机干预、团体辅导，缓解未成年人心理压力，预防心理问题。</w:t>
            </w:r>
          </w:p>
          <w:p>
            <w:pPr>
              <w:pStyle w:val="null3"/>
            </w:pPr>
            <w:r>
              <w:rPr>
                <w:rFonts w:ascii="仿宋_GB2312" w:hAnsi="仿宋_GB2312" w:cs="仿宋_GB2312" w:eastAsia="仿宋_GB2312"/>
              </w:rPr>
              <w:t>2. 学业帮扶服务：链接志愿者、教师资源，开展课业辅导、兴趣培养、成长陪伴，保障适龄儿童不失学。</w:t>
            </w:r>
          </w:p>
          <w:p>
            <w:pPr>
              <w:pStyle w:val="null3"/>
            </w:pPr>
            <w:r>
              <w:rPr>
                <w:rFonts w:ascii="仿宋_GB2312" w:hAnsi="仿宋_GB2312" w:cs="仿宋_GB2312" w:eastAsia="仿宋_GB2312"/>
              </w:rPr>
              <w:t>3. 生活照料服务：对生活困难未成年人协助落实保障政策，对临时监护缺失儿童提供临时照料、生活支持。4. 医疗康复服务：协助重病重残儿童申请救助、对接康复资源，开展健康知识普及。</w:t>
            </w:r>
          </w:p>
          <w:p>
            <w:pPr>
              <w:pStyle w:val="null3"/>
            </w:pPr>
            <w:r>
              <w:rPr>
                <w:rFonts w:ascii="仿宋_GB2312" w:hAnsi="仿宋_GB2312" w:cs="仿宋_GB2312" w:eastAsia="仿宋_GB2312"/>
              </w:rPr>
              <w:t>（三）监护支持与干预</w:t>
            </w:r>
          </w:p>
          <w:p>
            <w:pPr>
              <w:pStyle w:val="null3"/>
            </w:pPr>
            <w:r>
              <w:rPr>
                <w:rFonts w:ascii="仿宋_GB2312" w:hAnsi="仿宋_GB2312" w:cs="仿宋_GB2312" w:eastAsia="仿宋_GB2312"/>
              </w:rPr>
              <w:t>1. 对监护薄弱家庭开展家庭教育指导，提升监护人监护意识和能力。</w:t>
            </w:r>
          </w:p>
          <w:p>
            <w:pPr>
              <w:pStyle w:val="null3"/>
            </w:pPr>
            <w:r>
              <w:rPr>
                <w:rFonts w:ascii="仿宋_GB2312" w:hAnsi="仿宋_GB2312" w:cs="仿宋_GB2312" w:eastAsia="仿宋_GB2312"/>
              </w:rPr>
              <w:t>2. 对监护缺失、监护不当家庭进行督促、劝诫、指导，必要时启动监护干预程序。</w:t>
            </w:r>
          </w:p>
          <w:p>
            <w:pPr>
              <w:pStyle w:val="null3"/>
            </w:pPr>
            <w:r>
              <w:rPr>
                <w:rFonts w:ascii="仿宋_GB2312" w:hAnsi="仿宋_GB2312" w:cs="仿宋_GB2312" w:eastAsia="仿宋_GB2312"/>
              </w:rPr>
              <w:t>3. 对符合条件的未成年人，依法协助民政部门落实临时监护、长期监护。</w:t>
            </w:r>
          </w:p>
          <w:p>
            <w:pPr>
              <w:pStyle w:val="null3"/>
            </w:pPr>
            <w:r>
              <w:rPr>
                <w:rFonts w:ascii="仿宋_GB2312" w:hAnsi="仿宋_GB2312" w:cs="仿宋_GB2312" w:eastAsia="仿宋_GB2312"/>
              </w:rPr>
              <w:t>（四）应急处置与法律援助</w:t>
            </w:r>
          </w:p>
          <w:p>
            <w:pPr>
              <w:pStyle w:val="null3"/>
            </w:pPr>
            <w:r>
              <w:rPr>
                <w:rFonts w:ascii="仿宋_GB2312" w:hAnsi="仿宋_GB2312" w:cs="仿宋_GB2312" w:eastAsia="仿宋_GB2312"/>
              </w:rPr>
              <w:t>1. 建立未成年人侵害事件快速响应机制，接到线索第一时间介入、处置、上报。</w:t>
            </w:r>
          </w:p>
          <w:p>
            <w:pPr>
              <w:pStyle w:val="null3"/>
            </w:pPr>
            <w:r>
              <w:rPr>
                <w:rFonts w:ascii="仿宋_GB2312" w:hAnsi="仿宋_GB2312" w:cs="仿宋_GB2312" w:eastAsia="仿宋_GB2312"/>
              </w:rPr>
              <w:t>2. 对接司法部门，为遭受侵害的未成年人提供法律援助、司法救助、隐私保护。</w:t>
            </w:r>
          </w:p>
          <w:p>
            <w:pPr>
              <w:pStyle w:val="null3"/>
            </w:pPr>
            <w:r>
              <w:rPr>
                <w:rFonts w:ascii="仿宋_GB2312" w:hAnsi="仿宋_GB2312" w:cs="仿宋_GB2312" w:eastAsia="仿宋_GB2312"/>
              </w:rPr>
              <w:t>3. 落实强制报告制度，督促相关单位和人员履行报告义务。</w:t>
            </w:r>
          </w:p>
          <w:p>
            <w:pPr>
              <w:pStyle w:val="null3"/>
            </w:pPr>
            <w:r>
              <w:rPr>
                <w:rFonts w:ascii="仿宋_GB2312" w:hAnsi="仿宋_GB2312" w:cs="仿宋_GB2312" w:eastAsia="仿宋_GB2312"/>
              </w:rPr>
              <w:t>（五）政策宣传与能力提升</w:t>
            </w:r>
          </w:p>
          <w:p>
            <w:pPr>
              <w:pStyle w:val="null3"/>
            </w:pPr>
            <w:r>
              <w:rPr>
                <w:rFonts w:ascii="仿宋_GB2312" w:hAnsi="仿宋_GB2312" w:cs="仿宋_GB2312" w:eastAsia="仿宋_GB2312"/>
              </w:rPr>
              <w:t>1. 开展未成年人保护政策、法律法规进村（社区）、进校园、进家庭宣传活动。</w:t>
            </w:r>
          </w:p>
          <w:p>
            <w:pPr>
              <w:pStyle w:val="null3"/>
            </w:pPr>
            <w:r>
              <w:rPr>
                <w:rFonts w:ascii="仿宋_GB2312" w:hAnsi="仿宋_GB2312" w:cs="仿宋_GB2312" w:eastAsia="仿宋_GB2312"/>
              </w:rPr>
              <w:t>2. 对儿童督导员、儿童主任、网格员、志愿者开展业务培训，提升基层未保工作能力。                                                                    3. 营造全社会关心关爱未成年人的良好氛围。</w:t>
            </w:r>
          </w:p>
          <w:p>
            <w:pPr>
              <w:pStyle w:val="null3"/>
            </w:pPr>
            <w:r>
              <w:rPr>
                <w:rFonts w:ascii="仿宋_GB2312" w:hAnsi="仿宋_GB2312" w:cs="仿宋_GB2312" w:eastAsia="仿宋_GB2312"/>
              </w:rPr>
              <w:t>（六）服务人数 ： 约200人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于2026年12月31日前完成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进度款，服务完成并验收合格后，达到付款条件起15个工作日内，支付合同总金额的50.0%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 （二）因供应商原因造成工期延误（自然灾害、疫情等不可抗力除外），采购人有权从未付款项中按每日3‰合同价款扣除违约金，此违约以30日为限。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成交人在成交结果公告发布后3个工作日内提供叁套纸质响应文件（经编标工具生成的文件直接打印并加盖公章），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供应商针对本项目需求，提供相应的服务方案，包含但不限于：①全面排查建档，精准识别需求 ；②专业化关爱服务 ；③ 监护支持与干预；④ 应急处置与法律援助；⑤ 政策宣传与能力提升。 以上内容无缺项，专门针对本项目编制，符合本项目实际情况，内容全面详细，且条理清晰、准确、合理，能够保障项目顺利实施的得25分。每小项缺项或者内容非针对于本项目的扣5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供应商针对项目特点和执行要求制定具体的管理方案，包含但不限于：①项目组织的工作团队；②内部监督检查制度；③质量及安全把关制度；④纪律约束制度等； 以上内容无缺项，专门针对本项目编制，符合本项目实际情况，内容全面详细，且条理清晰、准确、合理，能够保障项目顺利实施的得16分。每小项缺项或者内容非针对于本项目的扣4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6分。每小项缺项或者内容非针对于本项目的扣3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供应商针对本项目有具体的服务承诺、合理化建议：包含但不限于①服务承诺；②合理化建议。 以上内容无缺项，专门针对本项目编制，符合本项目实际情况，内容全面详细，且条理清晰、准确、合理，能够保障项目顺利实施的得4分。每小项缺项或者内容非针对于本项目的扣2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供应商具有2023年6月1日以来(以合同签订时间为准)类似业绩，每提供一份合同得2分，最高得4分。 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①项目管理机构人员配备6人及以上得6分； ②项目管理机构人员配备3-5人得2分。 注：须提供人员相关证明资料，未提供者不得分。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