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版本号：ZBZB-2026-301720260818002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康复能力提升项目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ZBZB-2026-3017</w:t>
      </w:r>
      <w:r>
        <w:br/>
      </w:r>
      <w:r>
        <w:br/>
      </w:r>
      <w:r>
        <w:br/>
      </w:r>
    </w:p>
    <w:p>
      <w:pPr>
        <w:pStyle w:val="null3"/>
        <w:jc w:val="center"/>
        <w:outlineLvl w:val="2"/>
      </w:pPr>
      <w:r>
        <w:rPr>
          <w:rFonts w:ascii="仿宋_GB2312" w:hAnsi="仿宋_GB2312" w:cs="仿宋_GB2312" w:eastAsia="仿宋_GB2312"/>
          <w:sz w:val="28"/>
          <w:b/>
        </w:rPr>
        <w:t>白水县中医医院</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白水县中医医院</w:t>
      </w:r>
      <w:r>
        <w:rPr>
          <w:rFonts w:ascii="仿宋_GB2312" w:hAnsi="仿宋_GB2312" w:cs="仿宋_GB2312" w:eastAsia="仿宋_GB2312"/>
        </w:rPr>
        <w:t>委托，拟对</w:t>
      </w:r>
      <w:r>
        <w:rPr>
          <w:rFonts w:ascii="仿宋_GB2312" w:hAnsi="仿宋_GB2312" w:cs="仿宋_GB2312" w:eastAsia="仿宋_GB2312"/>
        </w:rPr>
        <w:t>康复能力提升项目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ZBZB-2026-3017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康复能力提升项目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康复能力提升项目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采购包1（康复能力提升项目）：属于专门面向中小企业采购。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1、有效主体证明：具有独立承担民事责任能力的法人、其他组织或自然人，并出具合法有效的统一社会信用代码的营业执照或事业单位法人证书等国家规定的相关证明，自然人参与的提供其身份证明；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2、法定代表人授权书：法定代表人授权书（附法定代表人身份证复印件）及被授权人身份证复印件（法定代表人直接参加投标只需提供法定代表人身份证复印件加盖公章）；</w:t>
      </w:r>
    </w:p>
    <w:p>
      <w:pPr>
        <w:pStyle w:val="null3"/>
      </w:pPr>
      <w:r>
        <w:rPr>
          <w:rFonts w:ascii="仿宋_GB2312" w:hAnsi="仿宋_GB2312" w:cs="仿宋_GB2312" w:eastAsia="仿宋_GB2312"/>
        </w:rPr>
        <w:t>3、资质要求：供应商为制造商的需提供《医疗器械生产许可证》及所投产品的《医疗器械注册证》；供应商为代理商的需提供《医疗器械经营许可证》和制造商的《医疗器械生产许可证》及所投产品的《医疗器械注册证》。</w:t>
      </w:r>
    </w:p>
    <w:p>
      <w:pPr>
        <w:pStyle w:val="null3"/>
      </w:pPr>
      <w:r>
        <w:rPr>
          <w:rFonts w:ascii="仿宋_GB2312" w:hAnsi="仿宋_GB2312" w:cs="仿宋_GB2312" w:eastAsia="仿宋_GB2312"/>
        </w:rPr>
        <w:t>4、财务状况报告：提供2024年度或2025年度经审计的完整的财务审计报告(成立时间至提交投标文件截止时间不足一年的可提供成立后任意时段的资产负债表)，或开标前半年内其基本存款账户开户银行出具的资信证明；</w:t>
      </w:r>
    </w:p>
    <w:p>
      <w:pPr>
        <w:pStyle w:val="null3"/>
      </w:pPr>
      <w:r>
        <w:rPr>
          <w:rFonts w:ascii="仿宋_GB2312" w:hAnsi="仿宋_GB2312" w:cs="仿宋_GB2312" w:eastAsia="仿宋_GB2312"/>
        </w:rPr>
        <w:t>5、完税证明：提供2025年8月至今已缴纳的至少三个月的纳税证明或完税证明，依法免税的单位应提供相关证明材料；</w:t>
      </w:r>
    </w:p>
    <w:p>
      <w:pPr>
        <w:pStyle w:val="null3"/>
      </w:pPr>
      <w:r>
        <w:rPr>
          <w:rFonts w:ascii="仿宋_GB2312" w:hAnsi="仿宋_GB2312" w:cs="仿宋_GB2312" w:eastAsia="仿宋_GB2312"/>
        </w:rPr>
        <w:t>6、社保缴纳情况：提供2025年8月至今已缴存的至少三个月的社会保障资金缴存单据或社保机构开具的社会保险参保缴费情况证明，依法不需要缴纳社会保障资金的单位应提供相关证明材料；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8、没有重大违法记录声明：参加本次采购活动前三年内，在政府采购活动中没有重大违法记录声明；</w:t>
      </w:r>
    </w:p>
    <w:p>
      <w:pPr>
        <w:pStyle w:val="null3"/>
      </w:pPr>
      <w:r>
        <w:rPr>
          <w:rFonts w:ascii="仿宋_GB2312" w:hAnsi="仿宋_GB2312" w:cs="仿宋_GB2312" w:eastAsia="仿宋_GB2312"/>
        </w:rPr>
        <w:t>9、信用查询：供应商未被信用中国网站列入失信被执行人和重大税收违法案件名单；未被列入“中国政府采购网”政府采购严重违法失信行为记录名单；</w:t>
      </w:r>
    </w:p>
    <w:p>
      <w:pPr>
        <w:pStyle w:val="null3"/>
      </w:pPr>
      <w:r>
        <w:rPr>
          <w:rFonts w:ascii="仿宋_GB2312" w:hAnsi="仿宋_GB2312" w:cs="仿宋_GB2312" w:eastAsia="仿宋_GB2312"/>
        </w:rPr>
        <w:t>10、控股关系：单位负责人为同一人或者存在控股、管理关系的不同单位，不得参加本项目的投标活动（格式自拟）；</w:t>
      </w:r>
    </w:p>
    <w:p>
      <w:pPr>
        <w:pStyle w:val="null3"/>
      </w:pPr>
      <w:r>
        <w:rPr>
          <w:rFonts w:ascii="仿宋_GB2312" w:hAnsi="仿宋_GB2312" w:cs="仿宋_GB2312" w:eastAsia="仿宋_GB2312"/>
        </w:rPr>
        <w:t>11、投标担保：须提供投标保证金交纳凭证（银行汇（存）款回执单）或投标担保函，复印件须加盖投标人公章；</w:t>
      </w:r>
    </w:p>
    <w:p>
      <w:pPr>
        <w:pStyle w:val="null3"/>
      </w:pPr>
      <w:r>
        <w:rPr>
          <w:rFonts w:ascii="仿宋_GB2312" w:hAnsi="仿宋_GB2312" w:cs="仿宋_GB2312" w:eastAsia="仿宋_GB2312"/>
        </w:rPr>
        <w:t>12、不接受联合体投标：本项目不接受联合体投标，提供声明函。</w:t>
      </w:r>
    </w:p>
    <w:p>
      <w:pPr>
        <w:pStyle w:val="null3"/>
      </w:pPr>
      <w:r>
        <w:rPr>
          <w:rFonts w:ascii="仿宋_GB2312" w:hAnsi="仿宋_GB2312" w:cs="仿宋_GB2312" w:eastAsia="仿宋_GB2312"/>
        </w:rPr>
        <w:t>13、中小企业声明函：本项目为专门面向中小企业采购项目，需提供中小企业声明函。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白水县居苑路东段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种晓周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18191387022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开户银行：平安银行股西安分行营业部/平安银行西安分行</w:t>
            </w:r>
          </w:p>
          <w:p>
            <w:pPr>
              <w:pStyle w:val="null3"/>
            </w:pPr>
            <w:r>
              <w:rPr>
                <w:rFonts w:ascii="仿宋_GB2312" w:hAnsi="仿宋_GB2312" w:cs="仿宋_GB2312" w:eastAsia="仿宋_GB2312"/>
              </w:rPr>
              <w:t>银行账号：30205380002147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说明：医院按照合同金额的3%收取履约保证金；质保期限届满后，在扣除相关款项后（若有），剩余部分无息返还。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按国家发展和改革委员发改价格【2011】534号文规定收费标准由中标单位在领取成交通知书前，向陕西正邦招标有限责任公司支付。如本项目服务费不足伍仟元则中标单位按伍仟元支付服务费。成交单位的代理服务费交纳信息 名称：陕西正邦招标有限责任公司 开户行：平安银行股西安分行营业部/平安银行西安分行 账号：30205380002147 联系电话：029-85578186； 备注：请注明费用信息“ZBZB-2026-3017招标服务费”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白水县中医医院</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联系电话：029-85578186-831</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康复能力提升项目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 康复能力提升项目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康复能力提升项目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24"/>
                <w:b/>
              </w:rPr>
              <w:t>参数要求</w:t>
            </w:r>
          </w:p>
          <w:p>
            <w:pPr>
              <w:pStyle w:val="null3"/>
              <w:ind w:firstLine="560"/>
              <w:jc w:val="left"/>
            </w:pPr>
            <w:r>
              <w:rPr>
                <w:rFonts w:ascii="仿宋_GB2312" w:hAnsi="仿宋_GB2312" w:cs="仿宋_GB2312" w:eastAsia="仿宋_GB2312"/>
                <w:sz w:val="24"/>
              </w:rPr>
              <w:t>详见附件</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、其他要求</w:t>
            </w:r>
          </w:p>
          <w:p>
            <w:pPr>
              <w:pStyle w:val="null3"/>
              <w:ind w:firstLine="560"/>
              <w:jc w:val="left"/>
            </w:pPr>
            <w:r>
              <w:rPr>
                <w:rFonts w:ascii="仿宋_GB2312" w:hAnsi="仿宋_GB2312" w:cs="仿宋_GB2312" w:eastAsia="仿宋_GB2312"/>
                <w:sz w:val="24"/>
              </w:rPr>
              <w:t>1.质量要求：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供货商应当保证所供货物的来源渠道正常，设备是全新的、未使用过的、且完全符合医院对货物质量、规格、技术指标等的要求，并在质保期内。另外，供货商应对由于设备设计、工艺或材料的缺陷而产生的质量问题负责。</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2）在满足技术参数要求的情况下上，所投产品必须为最新机型（提供承诺函）</w:t>
            </w:r>
          </w:p>
          <w:p>
            <w:pPr>
              <w:pStyle w:val="null3"/>
              <w:ind w:firstLine="560"/>
              <w:jc w:val="left"/>
            </w:pPr>
            <w:r>
              <w:rPr>
                <w:rFonts w:ascii="仿宋_GB2312" w:hAnsi="仿宋_GB2312" w:cs="仿宋_GB2312" w:eastAsia="仿宋_GB2312"/>
                <w:sz w:val="24"/>
              </w:rPr>
              <w:t>2.验收标准</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1）货物到达医院指定地点后，供货商在使用单位人员在场情况下当面开箱，共同清点、检查外观。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2）供货商应保证货物到达医院时完好无损，如有缺漏、损坏，由供货商负责调换、补齐或赔偿。</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3）供货商应提供完备的技术资料、装箱单和合格证等，并派遣专业技术人员进行现场安装调试。验收合格条件如下：</w:t>
            </w:r>
          </w:p>
          <w:p>
            <w:pPr>
              <w:pStyle w:val="null3"/>
              <w:ind w:firstLine="560"/>
              <w:jc w:val="left"/>
            </w:pPr>
            <w:r>
              <w:rPr>
                <w:rFonts w:ascii="仿宋_GB2312" w:hAnsi="仿宋_GB2312" w:cs="仿宋_GB2312" w:eastAsia="仿宋_GB2312"/>
                <w:sz w:val="24"/>
              </w:rPr>
              <w:t>3.1设备技术参数与采购合同一致，性能指标达到规定的标准。</w:t>
            </w:r>
          </w:p>
          <w:p>
            <w:pPr>
              <w:pStyle w:val="null3"/>
              <w:ind w:firstLine="560"/>
              <w:jc w:val="left"/>
            </w:pPr>
            <w:r>
              <w:rPr>
                <w:rFonts w:ascii="仿宋_GB2312" w:hAnsi="仿宋_GB2312" w:cs="仿宋_GB2312" w:eastAsia="仿宋_GB2312"/>
                <w:sz w:val="24"/>
              </w:rPr>
              <w:t>3.2货物技术资料、装箱单、合格证等资料齐全。</w:t>
            </w:r>
          </w:p>
          <w:p>
            <w:pPr>
              <w:pStyle w:val="null3"/>
              <w:ind w:firstLine="560"/>
              <w:jc w:val="left"/>
            </w:pPr>
            <w:r>
              <w:rPr>
                <w:rFonts w:ascii="仿宋_GB2312" w:hAnsi="仿宋_GB2312" w:cs="仿宋_GB2312" w:eastAsia="仿宋_GB2312"/>
                <w:sz w:val="24"/>
              </w:rPr>
              <w:t>3.3在系统试运行期间所出现的问题得到解决，并运行正常。</w:t>
            </w:r>
          </w:p>
          <w:p>
            <w:pPr>
              <w:pStyle w:val="null3"/>
              <w:ind w:firstLine="560"/>
              <w:jc w:val="left"/>
            </w:pPr>
            <w:r>
              <w:rPr>
                <w:rFonts w:ascii="仿宋_GB2312" w:hAnsi="仿宋_GB2312" w:cs="仿宋_GB2312" w:eastAsia="仿宋_GB2312"/>
                <w:sz w:val="24"/>
              </w:rPr>
              <w:t>3.4在规定时间内完成交货并验收，并经采购人确认。</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4）产品在安装调试并试运行符合要求后，才作为最终验收。</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5）供货商提供的货物未达到招标文件规定要求，且对医院造成损失的，由供货商承担一切责任，并赔偿所造成的损失。</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6）采购人需要制造商对中标人交付的产品（包括质量、技术参数等）进行确认的，制造商应予以配合，并出具书面意见。</w:t>
            </w:r>
          </w:p>
          <w:p>
            <w:pPr>
              <w:pStyle w:val="null3"/>
              <w:ind w:firstLine="560"/>
              <w:jc w:val="left"/>
            </w:pPr>
            <w:r>
              <w:rPr>
                <w:rFonts w:ascii="仿宋_GB2312" w:hAnsi="仿宋_GB2312" w:cs="仿宋_GB2312" w:eastAsia="仿宋_GB2312"/>
                <w:sz w:val="24"/>
              </w:rPr>
              <w:t>3.售后服务及培训要求；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1）售后服务：</w:t>
            </w:r>
          </w:p>
          <w:p>
            <w:pPr>
              <w:pStyle w:val="null3"/>
              <w:ind w:firstLine="560"/>
              <w:jc w:val="left"/>
            </w:pPr>
            <w:r>
              <w:rPr>
                <w:rFonts w:ascii="仿宋_GB2312" w:hAnsi="仿宋_GB2312" w:cs="仿宋_GB2312" w:eastAsia="仿宋_GB2312"/>
                <w:sz w:val="24"/>
              </w:rPr>
              <w:t>设备故障维修响应时间不得超过</w:t>
            </w:r>
            <w:r>
              <w:rPr>
                <w:rFonts w:ascii="仿宋_GB2312" w:hAnsi="仿宋_GB2312" w:cs="仿宋_GB2312" w:eastAsia="仿宋_GB2312"/>
                <w:sz w:val="24"/>
              </w:rPr>
              <w:t>2小时，24小时内维修工程师必须到达现场，排除故障不得超过48小时，发生的全部费用由供货商承担，若需送回生产厂，供货商承担往返费用，若供货商在接到通知后未在24小时内派人到场进行维修，医院有权自主进行维修，由此产生的费用由供货商承担并赔偿医院因此造成的损失，同时定期派技术人员到现场走访，给予检查维护。保修期内，每季度对设备提供一次保养服务。质保期届满前30日内，供货商应对所有产品进行全面检测、保养、维护。</w:t>
            </w:r>
          </w:p>
          <w:p>
            <w:pPr>
              <w:pStyle w:val="null3"/>
              <w:ind w:firstLine="560"/>
              <w:jc w:val="left"/>
            </w:pPr>
            <w:r>
              <w:rPr>
                <w:rFonts w:ascii="仿宋_GB2312" w:hAnsi="仿宋_GB2312" w:cs="仿宋_GB2312" w:eastAsia="仿宋_GB2312"/>
                <w:sz w:val="24"/>
              </w:rPr>
              <w:t>所有产品须提供需要与医院现有各项信息化对接口的所有事宜，包括后期一系列升级工作。</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2）培训要求：</w:t>
            </w:r>
          </w:p>
          <w:p>
            <w:pPr>
              <w:pStyle w:val="null3"/>
              <w:ind w:firstLine="560"/>
              <w:jc w:val="left"/>
            </w:pPr>
            <w:r>
              <w:rPr>
                <w:rFonts w:ascii="仿宋_GB2312" w:hAnsi="仿宋_GB2312" w:cs="仿宋_GB2312" w:eastAsia="仿宋_GB2312"/>
                <w:sz w:val="24"/>
              </w:rPr>
              <w:t>供应商应提供现场技术培训（至少一次），保证医院使用人员正常操作产品的各种功能，维护保养及其他必备知识。</w:t>
            </w:r>
          </w:p>
          <w:p>
            <w:pPr>
              <w:pStyle w:val="null3"/>
              <w:ind w:firstLine="560"/>
              <w:jc w:val="left"/>
            </w:pPr>
            <w:r>
              <w:rPr>
                <w:rFonts w:ascii="仿宋_GB2312" w:hAnsi="仿宋_GB2312" w:cs="仿宋_GB2312" w:eastAsia="仿宋_GB2312"/>
                <w:sz w:val="24"/>
              </w:rPr>
              <w:t>4.包装、运输及交货期限</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1）包装：必须适应货物特性和交通运输要求，以及国家有关标准或企业标准。在装卸、运输和仓储过程中有足够的包装保护，防止货物受潮、锈蚀、遭受冲撞及其他不可预见的损坏。</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2）运输：供应商负责完成产品及相关物件的包装、运输，且承担一切运输费用，包括但不限于运输费、装卸费、仓储费、保险费等。</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3）交货期限：供货商接到医院送货通知之日起15个</w:t>
            </w:r>
            <w:r>
              <w:rPr>
                <w:rFonts w:ascii="仿宋_GB2312" w:hAnsi="仿宋_GB2312" w:cs="仿宋_GB2312" w:eastAsia="仿宋_GB2312"/>
                <w:sz w:val="24"/>
              </w:rPr>
              <w:t>工作日</w:t>
            </w:r>
            <w:r>
              <w:rPr>
                <w:rFonts w:ascii="仿宋_GB2312" w:hAnsi="仿宋_GB2312" w:cs="仿宋_GB2312" w:eastAsia="仿宋_GB2312"/>
                <w:sz w:val="24"/>
              </w:rPr>
              <w:t>之内交货，并完成货物的安装、调试等，且能够正常使用。</w:t>
            </w:r>
          </w:p>
          <w:p>
            <w:pPr>
              <w:pStyle w:val="null3"/>
              <w:ind w:firstLine="560"/>
              <w:jc w:val="left"/>
            </w:pPr>
            <w:r>
              <w:rPr>
                <w:rFonts w:ascii="仿宋_GB2312" w:hAnsi="仿宋_GB2312" w:cs="仿宋_GB2312" w:eastAsia="仿宋_GB2312"/>
                <w:sz w:val="24"/>
              </w:rPr>
              <w:t>5.交货地点：采购人指定地点。</w:t>
            </w:r>
          </w:p>
          <w:p>
            <w:pPr>
              <w:pStyle w:val="null3"/>
            </w:pPr>
            <w:r>
              <w:rPr>
                <w:rFonts w:ascii="仿宋_GB2312" w:hAnsi="仿宋_GB2312" w:cs="仿宋_GB2312" w:eastAsia="仿宋_GB2312"/>
                <w:sz w:val="24"/>
              </w:rPr>
              <w:t>6.质保、维保期限：医疗设备≥</w:t>
            </w:r>
            <w:r>
              <w:rPr>
                <w:rFonts w:ascii="仿宋_GB2312" w:hAnsi="仿宋_GB2312" w:cs="仿宋_GB2312" w:eastAsia="仿宋_GB2312"/>
                <w:sz w:val="24"/>
              </w:rPr>
              <w:t>2</w:t>
            </w:r>
            <w:r>
              <w:rPr>
                <w:rFonts w:ascii="仿宋_GB2312" w:hAnsi="仿宋_GB2312" w:cs="仿宋_GB2312" w:eastAsia="仿宋_GB2312"/>
                <w:sz w:val="24"/>
              </w:rPr>
              <w:t>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供货商接到医院送货通知之日起15个工作日之内交货，并完成货物的安装、调试等，且能够正常使用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进度款，所有货物到达医院指定地点，安装、调试完毕并验收合格后，供货商出具全额发票，达到付款条件起30个工作日内，支付合同总金额的100.0%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温馨提示：因项目存档使用，参与投标的供应商须在开标后2个工作日之内递交纸质版响应文件（一正两副），（联系人：王工；联系电话：029-85578186-831；地址：西安市雁塔区朱雀大街南段69号长丰园三区5号楼9层 。） 2、投标担保：（1）投标保证金须从投标人基本户户名转出，如从个人户名或非投标人户名转出，将被拒绝，视为自动放弃投标权利（该个人是供应商的情形除外）；以保函形式交纳投标保证金的，投标人应在投标截止时间前2日内将保函原件递交至代理机构进行备案；投标人应在投标文件中附保函复印件。保函必须由具有开具投标保函资格的单位开具；若供应商违约，开具保函单位承担连带责任；（2）投标保证金的提交金额、时间不满足招标文件要求的，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关于符合本国产品标准的声明函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关于符合本国产品标准的声明函 投标文件封面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有效主体证明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法定代表人授权书（附法定代表人身份证复印件）及被授权人身份证复印件（法定代表人直接参加投标只需提供法定代表人身份证复印件加盖公章）；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供应商为制造商的需提供《医疗器械生产许可证》及所投产品的《医疗器械注册证》；供应商为代理商的需提供《医疗器械经营许可证》和制造商的《医疗器械生产许可证》及所投产品的《医疗器械注册证》。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提供2024年度或2025年度经审计的完整的财务审计报告(成立时间至提交投标文件截止时间不足一年的可提供成立后任意时段的资产负债表)，或开标前半年内其基本存款账户开户银行出具的资信证明；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提供2025年8月至今已缴纳的至少三个月的纳税证明或完税证明，依法免税的单位应提供相关证明材料；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提供2025年8月至今已缴存的至少三个月的社会保障资金缴存单据或社保机构开具的社会保险参保缴费情况证明，依法不需要缴纳社会保障资金的单位应提供相关证明材料；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没有重大违法记录声明</w:t>
            </w:r>
          </w:p>
        </w:tc>
        <w:tc>
          <w:tcPr>
            <w:tcW w:type="dxa" w:w="3322"/>
          </w:tcPr>
          <w:p>
            <w:pPr>
              <w:pStyle w:val="null3"/>
            </w:pPr>
            <w:r>
              <w:rPr>
                <w:rFonts w:ascii="仿宋_GB2312" w:hAnsi="仿宋_GB2312" w:cs="仿宋_GB2312" w:eastAsia="仿宋_GB2312"/>
              </w:rPr>
              <w:t>参加本次采购活动前三年内，在政府采购活动中没有重大违法记录声明；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供应商未被信用中国网站列入失信被执行人和重大税收违法案件名单；未被列入“中国政府采购网”政府采购严重违法失信行为记录名单；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单位负责人为同一人或者存在控股、管理关系的不同单位，不得参加本项目的投标活动（格式自拟）；</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须提供投标保证金交纳凭证（银行汇（存）款回执单）或投标担保函，复印件须加盖投标人公章；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本项目不接受联合体投标，提供声明函。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本项目为专门面向中小企业采购项目，需提供中小企业声明函。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供应商必须满足招标文件的商务要求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供应商必须满足招标文件的技术要求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没有不符合法律法规规定或招标文件规定的被视为无效响应的其他条款。</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异常低价（如有）</w:t>
            </w:r>
          </w:p>
        </w:tc>
        <w:tc>
          <w:tcPr>
            <w:tcW w:type="dxa" w:w="3322"/>
          </w:tcPr>
          <w:p>
            <w:pPr>
              <w:pStyle w:val="null3"/>
            </w:pPr>
            <w:r>
              <w:rPr>
                <w:rFonts w:ascii="仿宋_GB2312" w:hAnsi="仿宋_GB2312" w:cs="仿宋_GB2312" w:eastAsia="仿宋_GB2312"/>
              </w:rPr>
              <w:t>根据招标文件异常低价投标审查，在审查过程中，投标人不能提供书面说明、证明材料，或者提供的书面说明、 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提供2023年4月1日至今类似业绩合同（以合同签订时间为准）；一个业绩得2分，最高得15分； 评审依据：提供完整合同复印件并加盖公章。不提供不得分。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投标产品技术参数清晰明确，符合使用要求，数量准确无缺漏项，技术指标完全响应招标文件要求，满足采购需求，计基本分25分；每负偏离一项扣1分，扣完为止。应逐条对应技术参数进行应答。 注（备注：提供相关技术参数佐证材料，如第三方检测报告或厂家检测报告或产品说明书或产品彩页或官网介绍截图等内容，标注页码并加盖供应商公章，予以证明其技术参数的响应性，如参数响应文字描述与证明材料不一致的以证明材料为准。），不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①所投产品型号、功能、技术规格等详细信息描述； ②根据所投产品品牌与配置清单，设备配置先进、选型科学合理，配置完整性、性能、稳定性、兼容性、使用广泛性等； ③确保设备供应渠道正常、检验手续合法有效、无产权纠纷（不限于授权函、销售协议、代理协议等）。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0.5分，每有一项评审内容存在缺陷，扣（0-2)分，扣完为止。说明：缺陷是指内容没有结合项目实际需求、虽有内容但不完善、内容表述前后不一致、套用其他项目方案或与项目需求不匹配及其他不利于项目实施的等任意一种情形。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针对本项目提供具体可行的实施方案，包括但不限于： ①详细的实施计划及进度安排； ②具有完善供货组织安排、详细的人员、财力调配、运输、配送措施； ③具有健全产品安装、检测、调试、试运行及验收方案。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0.5分，每有一项评审内容存在缺陷，扣（0-2）分，扣完为止。说明：缺陷是指内容没有结合项目实际需求、虽有内容但不完善、内容表述前后不一致、套用其他项目方案或与项目需求不匹配及其他不利于项目实施的等任意一种情形。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②针对本项目的服务承诺。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0.5分，每有一项评审内容存在缺陷，扣（0-2）分，扣完为止。说明：缺陷是指内容没有结合项目实际需求、虽有内容但不完善、内容表述前后不一致、套用其他项目方案或与项目需求不匹配及其他不利于项目实施的等任意一种情形。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根据本项目特点制定应急方案，方案应包括但不限于： ①设备故障响应时限； ②维修服务到场响应时限； ③备品备件不足的紧急措施； ④应急突发状况处置措施。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①针对本项目的售后服务方案、售后服务机构及承诺； ②巡检服务计划及方案； ③提供具体的培训方案、培训内容、培训方式等。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4分，每有一个评审内容缺项扣0.5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