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版本号：SXHC2026-11920260616001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秦创原知识产权检察保护中心办公场地租赁项目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SXHC2026-119</w:t>
      </w:r>
      <w:r>
        <w:br/>
      </w:r>
      <w:r>
        <w:br/>
      </w:r>
      <w:r>
        <w:br/>
      </w:r>
    </w:p>
    <w:p>
      <w:pPr>
        <w:pStyle w:val="null3"/>
        <w:jc w:val="center"/>
        <w:outlineLvl w:val="5"/>
      </w:pPr>
      <w:r>
        <w:rPr>
          <w:rFonts w:ascii="仿宋_GB2312" w:hAnsi="仿宋_GB2312" w:cs="仿宋_GB2312" w:eastAsia="仿宋_GB2312"/>
          <w:sz w:val="15"/>
          <w:b/>
        </w:rPr>
        <w:t>西安市人民检察院（本级）</w:t>
      </w:r>
    </w:p>
    <w:p>
      <w:pPr>
        <w:pStyle w:val="null3"/>
        <w:jc w:val="center"/>
        <w:outlineLvl w:val="5"/>
      </w:pPr>
      <w:r>
        <w:rPr>
          <w:rFonts w:ascii="仿宋_GB2312" w:hAnsi="仿宋_GB2312" w:cs="仿宋_GB2312" w:eastAsia="仿宋_GB2312"/>
          <w:sz w:val="15"/>
          <w:b/>
        </w:rPr>
        <w:t>陕西华采招标有限公司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西安市人民检察院（本级）</w:t>
      </w:r>
      <w:r>
        <w:rPr>
          <w:rFonts w:ascii="仿宋_GB2312" w:hAnsi="仿宋_GB2312" w:cs="仿宋_GB2312" w:eastAsia="仿宋_GB2312"/>
        </w:rPr>
        <w:t>委托，拟对</w:t>
      </w:r>
      <w:r>
        <w:rPr>
          <w:rFonts w:ascii="仿宋_GB2312" w:hAnsi="仿宋_GB2312" w:cs="仿宋_GB2312" w:eastAsia="仿宋_GB2312"/>
        </w:rPr>
        <w:t>秦创原知识产权检察保护中心办公场地租赁项目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SXHC2026-119</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秦创原知识产权检察保护中心办公场地租赁项目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秦创原知识产权检察保护中心办公场地租赁。</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依法缴纳税收和社会保障资金：①提供响应文件提供自2025年1月1日以来任意时段已缴纳的纳税证明或完税证明（纳税证明或完税证明上应有代收机构或税务机关的公章或业务专用章）；②提供响应文件提供自2025年1月1日以来任意时段已缴纳的社会保障资金的证明（社会保障资金缴存单据或社保机构开具的社会保险参保缴费情况证明等)。</w:t>
      </w:r>
    </w:p>
    <w:p>
      <w:pPr>
        <w:pStyle w:val="null3"/>
      </w:pPr>
      <w:r>
        <w:rPr>
          <w:rFonts w:ascii="仿宋_GB2312" w:hAnsi="仿宋_GB2312" w:cs="仿宋_GB2312" w:eastAsia="仿宋_GB2312"/>
        </w:rPr>
        <w:t>3、履行本合同所必需的设备和专业技术能力：提供具有履行本合同所必需的设备和专业技术能力的书面声明。</w:t>
      </w:r>
    </w:p>
    <w:p>
      <w:pPr>
        <w:pStyle w:val="null3"/>
      </w:pPr>
      <w:r>
        <w:rPr>
          <w:rFonts w:ascii="仿宋_GB2312" w:hAnsi="仿宋_GB2312" w:cs="仿宋_GB2312" w:eastAsia="仿宋_GB2312"/>
        </w:rPr>
        <w:t>4、无重大违法记录书面声明：提供参加政府采购活动前3年内在经营活动中没有重大违法记录的书面声明。</w:t>
      </w:r>
    </w:p>
    <w:p>
      <w:pPr>
        <w:pStyle w:val="null3"/>
      </w:pPr>
      <w:r>
        <w:rPr>
          <w:rFonts w:ascii="仿宋_GB2312" w:hAnsi="仿宋_GB2312" w:cs="仿宋_GB2312" w:eastAsia="仿宋_GB2312"/>
        </w:rPr>
        <w:t>5、法定代表人身份证明或法定代表人授权委托书：法定代表人直接参加投标的，须提供法定代表人身份证明；法定代表人授权代表参加投标的，须提供法定代表人授权委托书。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6、信誉要求：供应商未列入“失信被执行人”、“重大税收违法案件当事人名单”和“政府采购严重违法失信行为记录名单”。</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西安市人民检察院（本级）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西安市北二环东段569号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029-86130919</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西安高新区锦业路1号绿地领海大厦B座10层1006室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孙立博、张聪聪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029-68255920-807</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采购包1：729,000.00元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采购包1：729,000.00元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的计算方法：以成交金额为基数，参考《国家计委关于印发&lt;招标代理服务收费管理暂行办法&gt;的通知》（计价格〔2002〕1980号）及《国家发改委关于降低部分建设项目收费标准规范收费行为等有关问题的通知》（发改价格〔2011〕534号） 规定按标准收取。 （2）代理服务费可以采取现金、支票、银行汇票、电汇、网银等方式缴纳。 （3）代理服务费缴纳信息： 银行户名：陕西华采招标有限公司 开户银行：招商银行陕西自贸试验区西安高新科技支行 账 号：1299 0594 2210 666 联 系人：韩工 联系电话：029-68255920转802。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西安市人民检察院（本级）</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西安市人民检察院（本级）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按照单一来源采购文件要求及合同约定执行。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秦创原知识产权检察保护中心办公场地租赁。</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729,000.00</w:t>
      </w:r>
    </w:p>
    <w:p>
      <w:pPr>
        <w:pStyle w:val="null3"/>
      </w:pPr>
      <w:r>
        <w:rPr>
          <w:rFonts w:ascii="仿宋_GB2312" w:hAnsi="仿宋_GB2312" w:cs="仿宋_GB2312" w:eastAsia="仿宋_GB2312"/>
        </w:rPr>
        <w:t>采购包最高限价（元）: 729,000.00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729,000.00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pPr>
            <w:r>
              <w:rPr>
                <w:rFonts w:ascii="仿宋_GB2312" w:hAnsi="仿宋_GB2312" w:cs="仿宋_GB2312" w:eastAsia="仿宋_GB2312"/>
              </w:rPr>
              <w:t xml:space="preserve"> </w:t>
            </w:r>
          </w:p>
          <w:p>
            <w:pPr>
              <w:pStyle w:val="null3"/>
              <w:spacing w:before="105" w:after="105"/>
              <w:ind w:firstLine="402"/>
              <w:jc w:val="both"/>
            </w:pPr>
            <w:r>
              <w:rPr>
                <w:rFonts w:ascii="仿宋_GB2312" w:hAnsi="仿宋_GB2312" w:cs="仿宋_GB2312" w:eastAsia="仿宋_GB2312"/>
                <w:sz w:val="20"/>
              </w:rPr>
              <w:t>一、项目概况</w:t>
            </w:r>
          </w:p>
          <w:p>
            <w:pPr>
              <w:pStyle w:val="null3"/>
              <w:spacing w:before="105" w:after="105"/>
              <w:ind w:firstLine="400"/>
              <w:jc w:val="both"/>
            </w:pPr>
            <w:r>
              <w:rPr>
                <w:rFonts w:ascii="仿宋_GB2312" w:hAnsi="仿宋_GB2312" w:cs="仿宋_GB2312" w:eastAsia="仿宋_GB2312"/>
                <w:sz w:val="20"/>
              </w:rPr>
              <w:t>按照陕西省人民检察院关于设立秦创原知识产权检察保护中心的工作要求，为做好秦创原知识产权检察保护中心办公用房租赁项目顺利开展，现计划租赁办公用房。</w:t>
            </w:r>
          </w:p>
          <w:p>
            <w:pPr>
              <w:pStyle w:val="null3"/>
              <w:spacing w:before="105" w:after="105"/>
              <w:ind w:firstLine="402"/>
              <w:jc w:val="both"/>
            </w:pPr>
            <w:r>
              <w:rPr>
                <w:rFonts w:ascii="仿宋_GB2312" w:hAnsi="仿宋_GB2312" w:cs="仿宋_GB2312" w:eastAsia="仿宋_GB2312"/>
                <w:sz w:val="20"/>
              </w:rPr>
              <w:t>二、租赁需求</w:t>
            </w:r>
          </w:p>
          <w:p>
            <w:pPr>
              <w:pStyle w:val="null3"/>
              <w:spacing w:before="105" w:after="105"/>
              <w:ind w:firstLine="400"/>
              <w:jc w:val="both"/>
            </w:pPr>
            <w:r>
              <w:rPr>
                <w:rFonts w:ascii="仿宋_GB2312" w:hAnsi="仿宋_GB2312" w:cs="仿宋_GB2312" w:eastAsia="仿宋_GB2312"/>
                <w:sz w:val="20"/>
              </w:rPr>
              <w:t>1、根据保护中心人员配置情况，核定办公用房使用面积180平方米，特殊功能业务用房使用面积414.2平方米，折合总建筑面积925.29平方米。</w:t>
            </w:r>
          </w:p>
          <w:p>
            <w:pPr>
              <w:pStyle w:val="null3"/>
              <w:spacing w:before="105" w:after="105"/>
              <w:ind w:firstLine="400"/>
              <w:jc w:val="both"/>
            </w:pPr>
            <w:r>
              <w:rPr>
                <w:rFonts w:ascii="仿宋_GB2312" w:hAnsi="仿宋_GB2312" w:cs="仿宋_GB2312" w:eastAsia="仿宋_GB2312"/>
                <w:sz w:val="20"/>
              </w:rPr>
              <w:t>2、位置要求：东邻天台路、西邻王寺南街、北邻沣东大道、南邻沣东南路。</w:t>
            </w:r>
          </w:p>
          <w:p>
            <w:pPr>
              <w:pStyle w:val="null3"/>
              <w:spacing w:before="105" w:after="105"/>
              <w:ind w:firstLine="400"/>
              <w:jc w:val="both"/>
            </w:pPr>
            <w:r>
              <w:rPr>
                <w:rFonts w:ascii="仿宋_GB2312" w:hAnsi="仿宋_GB2312" w:cs="仿宋_GB2312" w:eastAsia="仿宋_GB2312"/>
                <w:sz w:val="20"/>
              </w:rPr>
              <w:t>3、环境要求：环境干净整洁，水、电、排水、通讯网络等基础设施配套齐全，无需二次装修。须具备完好的安全通道，保证水通、电通、气通、暖通。采光、通风良好，24小时不断电。布局、结构等适宜办公、业务用房使用，适宜直接入驻办公。</w:t>
            </w:r>
          </w:p>
          <w:p>
            <w:pPr>
              <w:pStyle w:val="null3"/>
              <w:spacing w:before="105" w:after="105"/>
              <w:ind w:firstLine="400"/>
              <w:jc w:val="both"/>
            </w:pPr>
            <w:r>
              <w:rPr>
                <w:rFonts w:ascii="仿宋_GB2312" w:hAnsi="仿宋_GB2312" w:cs="仿宋_GB2312" w:eastAsia="仿宋_GB2312"/>
                <w:sz w:val="20"/>
              </w:rPr>
              <w:t>4、建筑要求：需满足办公、业务使用需求。具有消防安全设备，满足消防要求。</w:t>
            </w:r>
          </w:p>
          <w:p>
            <w:pPr>
              <w:pStyle w:val="null3"/>
              <w:spacing w:before="105" w:after="105"/>
              <w:ind w:firstLine="400"/>
              <w:jc w:val="both"/>
            </w:pPr>
            <w:r>
              <w:rPr>
                <w:rFonts w:ascii="仿宋_GB2312" w:hAnsi="仿宋_GB2312" w:cs="仿宋_GB2312" w:eastAsia="仿宋_GB2312"/>
                <w:sz w:val="20"/>
              </w:rPr>
              <w:t>5、装饰装修要求：窗户：采光、密封良好，干净整洁、损坏。照明良好，满足办公使用的需求。墙面：涂料粉刷，白色。地面：干净整洁。走廊：其布置适宜办公使用，涂料刷白墙面，吊顶，通风良好。卫生间：具有卫生间；地面、墙面具备防水；照明良好。外立面：干净整洁。屋顶或顶层：防水良好，基础设施配套齐全，无需二次装修。</w:t>
            </w:r>
          </w:p>
          <w:p>
            <w:pPr>
              <w:pStyle w:val="null3"/>
              <w:spacing w:before="105" w:after="105"/>
              <w:ind w:firstLine="400"/>
              <w:jc w:val="both"/>
            </w:pPr>
            <w:r>
              <w:rPr>
                <w:rFonts w:ascii="仿宋_GB2312" w:hAnsi="仿宋_GB2312" w:cs="仿宋_GB2312" w:eastAsia="仿宋_GB2312"/>
                <w:sz w:val="20"/>
              </w:rPr>
              <w:t>6、其它要求：</w:t>
            </w:r>
          </w:p>
          <w:p>
            <w:pPr>
              <w:pStyle w:val="null3"/>
              <w:spacing w:before="105" w:after="105"/>
              <w:ind w:firstLine="400"/>
              <w:jc w:val="both"/>
            </w:pPr>
            <w:r>
              <w:rPr>
                <w:rFonts w:ascii="仿宋_GB2312" w:hAnsi="仿宋_GB2312" w:cs="仿宋_GB2312" w:eastAsia="仿宋_GB2312"/>
                <w:sz w:val="20"/>
              </w:rPr>
              <w:t>（</w:t>
            </w:r>
            <w:r>
              <w:rPr>
                <w:rFonts w:ascii="仿宋_GB2312" w:hAnsi="仿宋_GB2312" w:cs="仿宋_GB2312" w:eastAsia="仿宋_GB2312"/>
                <w:sz w:val="20"/>
              </w:rPr>
              <w:t>1）建筑自身及建设用地没有任何经济纠纷，供应商提供的房屋具有使用权的合法渠道证明（如自有的房产证或租赁合同》，并提供所出租房屋无任何经济纠纷的承诺，采购人有权对供应商提供的房屋信息进行核实，如有弄虚作假，一经发现，按无效投标处理，供应商承担相应法律责任。</w:t>
            </w:r>
          </w:p>
          <w:p>
            <w:pPr>
              <w:pStyle w:val="null3"/>
              <w:spacing w:before="105" w:after="105"/>
              <w:ind w:firstLine="400"/>
              <w:jc w:val="both"/>
            </w:pPr>
            <w:r>
              <w:rPr>
                <w:rFonts w:ascii="仿宋_GB2312" w:hAnsi="仿宋_GB2312" w:cs="仿宋_GB2312" w:eastAsia="仿宋_GB2312"/>
                <w:sz w:val="20"/>
              </w:rPr>
              <w:t>（</w:t>
            </w:r>
            <w:r>
              <w:rPr>
                <w:rFonts w:ascii="仿宋_GB2312" w:hAnsi="仿宋_GB2312" w:cs="仿宋_GB2312" w:eastAsia="仿宋_GB2312"/>
                <w:sz w:val="20"/>
              </w:rPr>
              <w:t>2）成交供应商对房屋及其设备应定期检查，及时修缮。</w:t>
            </w:r>
          </w:p>
          <w:p>
            <w:pPr>
              <w:pStyle w:val="null3"/>
              <w:spacing w:before="105" w:after="105"/>
              <w:ind w:firstLine="400"/>
              <w:jc w:val="both"/>
            </w:pPr>
            <w:r>
              <w:rPr>
                <w:rFonts w:ascii="仿宋_GB2312" w:hAnsi="仿宋_GB2312" w:cs="仿宋_GB2312" w:eastAsia="仿宋_GB2312"/>
                <w:sz w:val="20"/>
              </w:rPr>
              <w:t>（</w:t>
            </w:r>
            <w:r>
              <w:rPr>
                <w:rFonts w:ascii="仿宋_GB2312" w:hAnsi="仿宋_GB2312" w:cs="仿宋_GB2312" w:eastAsia="仿宋_GB2312"/>
                <w:sz w:val="20"/>
              </w:rPr>
              <w:t>3）供应商具有租赁物的合法出租权，保证租赁物不存在查封、扣押等情况，确保租赁物附属设施设备交接清单中明确的设施设备能够正常使用，并负责日常维护保养，对其中损坏的设施设备进行更换维修。租赁物及其附属设施设备，交接清单中明确的设施设备在租赁区内涉及的相关的维修责任和维修费用由供应商负责。</w:t>
            </w:r>
          </w:p>
          <w:p>
            <w:pPr>
              <w:pStyle w:val="null3"/>
              <w:spacing w:before="105" w:after="105"/>
              <w:ind w:firstLine="400"/>
              <w:jc w:val="both"/>
            </w:pPr>
            <w:r>
              <w:rPr>
                <w:rFonts w:ascii="仿宋_GB2312" w:hAnsi="仿宋_GB2312" w:cs="仿宋_GB2312" w:eastAsia="仿宋_GB2312"/>
                <w:sz w:val="20"/>
              </w:rPr>
              <w:t>（</w:t>
            </w:r>
            <w:r>
              <w:rPr>
                <w:rFonts w:ascii="仿宋_GB2312" w:hAnsi="仿宋_GB2312" w:cs="仿宋_GB2312" w:eastAsia="仿宋_GB2312"/>
                <w:sz w:val="20"/>
              </w:rPr>
              <w:t>4）水通、电通、暖通。</w:t>
            </w:r>
          </w:p>
          <w:p>
            <w:pPr>
              <w:pStyle w:val="null3"/>
              <w:spacing w:before="105" w:after="105"/>
              <w:ind w:firstLine="400"/>
              <w:jc w:val="both"/>
            </w:pPr>
            <w:r>
              <w:rPr>
                <w:rFonts w:ascii="仿宋_GB2312" w:hAnsi="仿宋_GB2312" w:cs="仿宋_GB2312" w:eastAsia="仿宋_GB2312"/>
                <w:sz w:val="20"/>
              </w:rPr>
              <w:t>（</w:t>
            </w:r>
            <w:r>
              <w:rPr>
                <w:rFonts w:ascii="仿宋_GB2312" w:hAnsi="仿宋_GB2312" w:cs="仿宋_GB2312" w:eastAsia="仿宋_GB2312"/>
                <w:sz w:val="20"/>
              </w:rPr>
              <w:t>5）有物业公司提供基础服务。</w:t>
            </w:r>
          </w:p>
          <w:p>
            <w:pPr>
              <w:pStyle w:val="null3"/>
              <w:spacing w:before="105" w:after="105"/>
              <w:ind w:firstLine="400"/>
              <w:jc w:val="both"/>
            </w:pPr>
            <w:r>
              <w:rPr>
                <w:rFonts w:ascii="仿宋_GB2312" w:hAnsi="仿宋_GB2312" w:cs="仿宋_GB2312" w:eastAsia="仿宋_GB2312"/>
                <w:sz w:val="20"/>
              </w:rPr>
              <w:t>7、项目预算仅为房屋租赁费用。</w:t>
            </w:r>
          </w:p>
          <w:p>
            <w:pPr>
              <w:pStyle w:val="null3"/>
              <w:spacing w:before="105" w:after="105"/>
              <w:ind w:firstLine="400"/>
              <w:jc w:val="both"/>
            </w:pPr>
            <w:r>
              <w:rPr>
                <w:rFonts w:ascii="仿宋_GB2312" w:hAnsi="仿宋_GB2312" w:cs="仿宋_GB2312" w:eastAsia="仿宋_GB2312"/>
                <w:sz w:val="20"/>
              </w:rPr>
              <w:t>三、服务期限：自合同签订之日起至</w:t>
            </w:r>
            <w:r>
              <w:rPr>
                <w:rFonts w:ascii="仿宋_GB2312" w:hAnsi="仿宋_GB2312" w:cs="仿宋_GB2312" w:eastAsia="仿宋_GB2312"/>
                <w:sz w:val="20"/>
              </w:rPr>
              <w:t>2026年12月31日。</w:t>
            </w:r>
          </w:p>
          <w:p>
            <w:pPr>
              <w:pStyle w:val="null3"/>
              <w:ind w:firstLine="400"/>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西安市范围内，按照采购人要求。</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进度款，合同签订后，达到付款条件起12个工作日内，支付合同总金额的50.0%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进度款，当年10月31日前结清，达到付款条件起12个工作日内，支付合同总金额的50.0%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按照单一来源采购文件要求及合同约定执行。</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按照单一来源采购文件要求及合同约定执行。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所属行业为：租赁和商务服务业（根据《中小企业划型标准规定》（工信部联企业〔2011〕300号），租赁和商务服务业划分标准为“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2、因系统格式设置无法调整，合同付款支付要求以第七章“拟签订采购合同文本”中体现的内容为准。3、成交供应商在领取成交通知书前，须向采购代理机构提供纸质版响应文件3套（一正两副），且提供的响应文件必须与在陕西省政府采购综合管理平台的项目电子化交易系统中递交的电子响应文件内容一致，纸质版响应文件必须装订成册签字盖章。4、如单一来源采购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财务状况报告（以下三种资料提供任意一种即可） （1）提供2025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赋予的验证码； （2）其开标前三个月内基本开户银行出具的资信证明； （3）信用担保机构出具的投标担保函。</w:t>
            </w:r>
          </w:p>
        </w:tc>
        <w:tc>
          <w:tcPr>
            <w:tcW w:type="dxa" w:w="1661"/>
          </w:tcPr>
          <w:p>
            <w:pPr>
              <w:pStyle w:val="null3"/>
            </w:pPr>
            <w:r>
              <w:rPr>
                <w:rFonts w:ascii="仿宋_GB2312" w:hAnsi="仿宋_GB2312" w:cs="仿宋_GB2312" w:eastAsia="仿宋_GB2312"/>
              </w:rPr>
              <w:t>健全的财务会计制度.docx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依法缴纳税收和社会保障资金</w:t>
            </w:r>
          </w:p>
        </w:tc>
        <w:tc>
          <w:tcPr>
            <w:tcW w:type="dxa" w:w="3322"/>
          </w:tcPr>
          <w:p>
            <w:pPr>
              <w:pStyle w:val="null3"/>
            </w:pPr>
            <w:r>
              <w:rPr>
                <w:rFonts w:ascii="仿宋_GB2312" w:hAnsi="仿宋_GB2312" w:cs="仿宋_GB2312" w:eastAsia="仿宋_GB2312"/>
              </w:rPr>
              <w:t>①提供响应文件提供自2025年1月1日以来任意时段已缴纳的纳税证明或完税证明（纳税证明或完税证明上应有代收机构或税务机关的公章或业务专用章）；②提供响应文件提供自2025年1月1日以来任意时段已缴纳的社会保障资金的证明（社会保障资金缴存单据或社保机构开具的社会保险参保缴费情况证明等)。</w:t>
            </w:r>
          </w:p>
        </w:tc>
        <w:tc>
          <w:tcPr>
            <w:tcW w:type="dxa" w:w="1661"/>
          </w:tcPr>
          <w:p>
            <w:pPr>
              <w:pStyle w:val="null3"/>
            </w:pPr>
            <w:r>
              <w:rPr>
                <w:rFonts w:ascii="仿宋_GB2312" w:hAnsi="仿宋_GB2312" w:cs="仿宋_GB2312" w:eastAsia="仿宋_GB2312"/>
              </w:rPr>
              <w:t>依法缴纳税收和社会保障资金.docx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履行合同所必需的设备和专业技术能力的书面声明.docx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参加政府采购活动前3年内无重大违法记录的书面声明.docx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本项目非专门面向中小企业采购</w:t>
            </w:r>
          </w:p>
        </w:tc>
        <w:tc>
          <w:tcPr>
            <w:tcW w:type="dxa" w:w="3322"/>
          </w:tcPr>
          <w:p>
            <w:pPr>
              <w:pStyle w:val="null3"/>
            </w:pPr>
            <w:r>
              <w:rPr>
                <w:rFonts w:ascii="仿宋_GB2312" w:hAnsi="仿宋_GB2312" w:cs="仿宋_GB2312" w:eastAsia="仿宋_GB2312"/>
              </w:rPr>
              <w:t>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（1）投标报价唯一； （2）报价货币符合单一来源采购文件要求； （3）未超出采购预算或单一来源采购文件规定的最高限价。</w:t>
            </w:r>
          </w:p>
        </w:tc>
        <w:tc>
          <w:tcPr>
            <w:tcW w:type="dxa" w:w="1661"/>
          </w:tcPr>
          <w:p>
            <w:pPr>
              <w:pStyle w:val="null3"/>
            </w:pPr>
            <w:r>
              <w:rPr>
                <w:rFonts w:ascii="仿宋_GB2312" w:hAnsi="仿宋_GB2312" w:cs="仿宋_GB2312" w:eastAsia="仿宋_GB2312"/>
              </w:rPr>
              <w:t>首次谈判报价表.docx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与所投项目名称、项目编号一致，且符合单一来源采购文件签署盖章要求。</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响应单一来源采购文件合同条款未出现负偏离且响应的内容中未附有采购人不能接受的附加条件。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从提交响应文件的截止之日起不少于90天。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响应方案说明.docx 响应函 业绩的有关证明材料.docx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详见附件：首次谈判报价表.docx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详见附件：健全的财务会计制度.docx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详见附件：依法缴纳税收和社会保障资金.docx</w:t>
      </w:r>
    </w:p>
    <w:p>
      <w:pPr>
        <w:pStyle w:val="null3"/>
        <w:ind w:firstLine="960"/>
      </w:pPr>
      <w:r>
        <w:rPr>
          <w:rFonts w:ascii="仿宋_GB2312" w:hAnsi="仿宋_GB2312" w:cs="仿宋_GB2312" w:eastAsia="仿宋_GB2312"/>
        </w:rPr>
        <w:t>详见附件：履行合同所必需的设备和专业技术能力的书面声明.docx</w:t>
      </w:r>
    </w:p>
    <w:p>
      <w:pPr>
        <w:pStyle w:val="null3"/>
        <w:ind w:firstLine="960"/>
      </w:pPr>
      <w:r>
        <w:rPr>
          <w:rFonts w:ascii="仿宋_GB2312" w:hAnsi="仿宋_GB2312" w:cs="仿宋_GB2312" w:eastAsia="仿宋_GB2312"/>
        </w:rPr>
        <w:t>详见附件：参加政府采购活动前3年内无重大违法记录的书面声明.docx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