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CEAFA">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ascii="宋体" w:hAnsi="宋体"/>
          <w:spacing w:val="24"/>
          <w:sz w:val="28"/>
          <w:szCs w:val="28"/>
        </w:rPr>
      </w:pPr>
      <w:r>
        <w:rPr>
          <w:rFonts w:ascii="仿宋_GB2312" w:hAnsi="仿宋_GB2312" w:eastAsia="仿宋_GB2312" w:cs="仿宋_GB2312"/>
          <w:b/>
          <w:sz w:val="36"/>
        </w:rPr>
        <w:t>拟签订采购合同文本</w:t>
      </w:r>
    </w:p>
    <w:p w14:paraId="520EA121">
      <w:pPr>
        <w:tabs>
          <w:tab w:val="left" w:pos="9030"/>
        </w:tabs>
        <w:snapToGrid w:val="0"/>
        <w:spacing w:line="360" w:lineRule="auto"/>
        <w:ind w:right="-62"/>
        <w:jc w:val="center"/>
        <w:outlineLvl w:val="0"/>
        <w:rPr>
          <w:rFonts w:hint="eastAsia" w:ascii="仿宋_GB2312" w:hAnsi="仿宋_GB2312" w:eastAsia="仿宋_GB2312" w:cs="仿宋_GB2312"/>
          <w:b/>
          <w:bCs/>
          <w:sz w:val="20"/>
          <w:szCs w:val="20"/>
          <w:highlight w:val="none"/>
          <w:lang w:val="zh-CN"/>
        </w:rPr>
      </w:pPr>
      <w:r>
        <w:rPr>
          <w:rFonts w:hint="eastAsia" w:ascii="仿宋_GB2312" w:hAnsi="仿宋_GB2312" w:eastAsia="仿宋_GB2312" w:cs="仿宋_GB2312"/>
          <w:b/>
          <w:bCs/>
          <w:sz w:val="20"/>
          <w:szCs w:val="20"/>
          <w:highlight w:val="none"/>
          <w:lang w:val="zh-CN"/>
        </w:rPr>
        <w:t>（</w:t>
      </w:r>
      <w:r>
        <w:rPr>
          <w:rFonts w:hint="eastAsia" w:ascii="仿宋_GB2312" w:hAnsi="仿宋_GB2312" w:eastAsia="仿宋_GB2312" w:cs="仿宋_GB2312"/>
          <w:b/>
          <w:bCs/>
          <w:sz w:val="20"/>
          <w:szCs w:val="20"/>
          <w:highlight w:val="none"/>
          <w:lang w:val="en-US" w:eastAsia="zh-CN"/>
        </w:rPr>
        <w:t>具体以甲方签订合同为准</w:t>
      </w:r>
      <w:r>
        <w:rPr>
          <w:rFonts w:hint="eastAsia" w:ascii="仿宋_GB2312" w:hAnsi="仿宋_GB2312" w:eastAsia="仿宋_GB2312" w:cs="仿宋_GB2312"/>
          <w:b/>
          <w:bCs/>
          <w:sz w:val="20"/>
          <w:szCs w:val="20"/>
          <w:highlight w:val="none"/>
          <w:lang w:val="zh-CN"/>
        </w:rPr>
        <w:t>）</w:t>
      </w:r>
    </w:p>
    <w:p w14:paraId="33FCAC52">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 xml:space="preserve">甲方（采购人）： </w:t>
      </w:r>
    </w:p>
    <w:p w14:paraId="1F5FEE49">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 xml:space="preserve">乙方（成交供应商）： </w:t>
      </w:r>
    </w:p>
    <w:p w14:paraId="10F53037">
      <w:pPr>
        <w:autoSpaceDE w:val="0"/>
        <w:autoSpaceDN w:val="0"/>
        <w:adjustRightInd w:val="0"/>
        <w:snapToGrid w:val="0"/>
        <w:spacing w:line="360" w:lineRule="auto"/>
        <w:ind w:firstLine="400" w:firstLineChars="200"/>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u w:val="single"/>
        </w:rPr>
        <w:t>秦创原知识产权检察保护中心办公场地租赁项目(项目编号：</w:t>
      </w:r>
      <w:r>
        <w:rPr>
          <w:rFonts w:hint="eastAsia" w:ascii="仿宋_GB2312" w:hAnsi="仿宋_GB2312" w:eastAsia="仿宋_GB2312" w:cs="仿宋_GB2312"/>
          <w:bCs/>
          <w:sz w:val="20"/>
          <w:szCs w:val="20"/>
          <w:u w:val="single"/>
          <w:lang w:eastAsia="zh-CN"/>
        </w:rPr>
        <w:t>SXHC202</w:t>
      </w:r>
      <w:r>
        <w:rPr>
          <w:rFonts w:hint="eastAsia" w:ascii="仿宋_GB2312" w:hAnsi="仿宋_GB2312" w:eastAsia="仿宋_GB2312" w:cs="仿宋_GB2312"/>
          <w:bCs/>
          <w:sz w:val="20"/>
          <w:szCs w:val="20"/>
          <w:u w:val="single"/>
          <w:lang w:val="en-US" w:eastAsia="zh-CN"/>
        </w:rPr>
        <w:t>6-119</w:t>
      </w:r>
      <w:r>
        <w:rPr>
          <w:rFonts w:hint="eastAsia" w:ascii="仿宋_GB2312" w:hAnsi="仿宋_GB2312" w:eastAsia="仿宋_GB2312" w:cs="仿宋_GB2312"/>
          <w:bCs/>
          <w:sz w:val="20"/>
          <w:szCs w:val="20"/>
          <w:u w:val="single"/>
        </w:rPr>
        <w:t>)</w:t>
      </w:r>
      <w:r>
        <w:rPr>
          <w:rFonts w:hint="eastAsia" w:ascii="仿宋_GB2312" w:hAnsi="仿宋_GB2312" w:eastAsia="仿宋_GB2312" w:cs="仿宋_GB2312"/>
          <w:bCs/>
          <w:sz w:val="20"/>
          <w:szCs w:val="20"/>
        </w:rPr>
        <w:t>，由陕西华采招标有限公司组织</w:t>
      </w:r>
      <w:r>
        <w:rPr>
          <w:rFonts w:hint="eastAsia" w:ascii="仿宋_GB2312" w:hAnsi="仿宋_GB2312" w:eastAsia="仿宋_GB2312" w:cs="仿宋_GB2312"/>
          <w:bCs/>
          <w:sz w:val="20"/>
          <w:szCs w:val="20"/>
          <w:lang w:val="en-US" w:eastAsia="zh-CN"/>
        </w:rPr>
        <w:t>单一来源采购</w:t>
      </w:r>
      <w:r>
        <w:rPr>
          <w:rFonts w:hint="eastAsia" w:ascii="仿宋_GB2312" w:hAnsi="仿宋_GB2312" w:eastAsia="仿宋_GB2312" w:cs="仿宋_GB2312"/>
          <w:bCs/>
          <w:sz w:val="20"/>
          <w:szCs w:val="20"/>
        </w:rPr>
        <w:t>，</w:t>
      </w:r>
      <w:r>
        <w:rPr>
          <w:rFonts w:hint="eastAsia" w:ascii="仿宋_GB2312" w:hAnsi="仿宋_GB2312" w:eastAsia="仿宋_GB2312" w:cs="仿宋_GB2312"/>
          <w:bCs/>
          <w:sz w:val="20"/>
          <w:szCs w:val="20"/>
          <w:u w:val="single"/>
        </w:rPr>
        <w:t xml:space="preserve">               </w:t>
      </w:r>
      <w:r>
        <w:rPr>
          <w:rFonts w:hint="eastAsia" w:ascii="仿宋_GB2312" w:hAnsi="仿宋_GB2312" w:eastAsia="仿宋_GB2312" w:cs="仿宋_GB2312"/>
          <w:bCs/>
          <w:sz w:val="20"/>
          <w:szCs w:val="20"/>
        </w:rPr>
        <w:t>(以下简称“甲方”)确定</w:t>
      </w:r>
      <w:r>
        <w:rPr>
          <w:rFonts w:hint="eastAsia" w:ascii="仿宋_GB2312" w:hAnsi="仿宋_GB2312" w:eastAsia="仿宋_GB2312" w:cs="仿宋_GB2312"/>
          <w:bCs/>
          <w:sz w:val="20"/>
          <w:szCs w:val="20"/>
          <w:u w:val="single"/>
        </w:rPr>
        <w:t xml:space="preserve">          </w:t>
      </w:r>
      <w:r>
        <w:rPr>
          <w:rFonts w:hint="eastAsia" w:ascii="仿宋_GB2312" w:hAnsi="仿宋_GB2312" w:eastAsia="仿宋_GB2312" w:cs="仿宋_GB2312"/>
          <w:bCs/>
          <w:sz w:val="20"/>
          <w:szCs w:val="20"/>
        </w:rPr>
        <w:t>（以下简称“乙方”）为该项目的成交供应商。</w:t>
      </w:r>
    </w:p>
    <w:p w14:paraId="38063718">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依据《中华人民共和国民法典》和《中华人民共和国政府采购法》之规定，经双方在平等、自愿、互利的基础上，签订本合同，共同信守。</w:t>
      </w:r>
    </w:p>
    <w:p w14:paraId="4CDE092B">
      <w:pPr>
        <w:keepNext w:val="0"/>
        <w:keepLines w:val="0"/>
        <w:pageBreakBefore w:val="0"/>
        <w:widowControl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_GB2312" w:hAnsi="仿宋_GB2312" w:eastAsia="仿宋_GB2312" w:cs="仿宋_GB2312"/>
          <w:b/>
          <w:bCs w:val="0"/>
          <w:sz w:val="20"/>
          <w:szCs w:val="20"/>
          <w:highlight w:val="none"/>
        </w:rPr>
      </w:pPr>
      <w:r>
        <w:rPr>
          <w:rFonts w:hint="eastAsia" w:ascii="仿宋_GB2312" w:hAnsi="仿宋_GB2312" w:eastAsia="仿宋_GB2312" w:cs="仿宋_GB2312"/>
          <w:b/>
          <w:bCs w:val="0"/>
          <w:sz w:val="20"/>
          <w:szCs w:val="20"/>
          <w:highlight w:val="none"/>
        </w:rPr>
        <w:t>一、房屋的面积</w:t>
      </w:r>
    </w:p>
    <w:p w14:paraId="245AC30A">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（一）房屋位置：</w:t>
      </w:r>
      <w:r>
        <w:rPr>
          <w:rFonts w:hint="eastAsia" w:ascii="仿宋_GB2312" w:hAnsi="仿宋_GB2312" w:eastAsia="仿宋_GB2312" w:cs="仿宋_GB2312"/>
          <w:bCs/>
          <w:sz w:val="20"/>
          <w:szCs w:val="20"/>
          <w:highlight w:val="none"/>
          <w:u w:val="single"/>
        </w:rPr>
        <w:t xml:space="preserve">                  </w:t>
      </w:r>
      <w:r>
        <w:rPr>
          <w:rFonts w:hint="eastAsia" w:ascii="仿宋_GB2312" w:hAnsi="仿宋_GB2312" w:eastAsia="仿宋_GB2312" w:cs="仿宋_GB2312"/>
          <w:bCs/>
          <w:sz w:val="20"/>
          <w:szCs w:val="20"/>
          <w:highlight w:val="none"/>
          <w:u w:val="none"/>
          <w:lang w:eastAsia="zh-CN"/>
        </w:rPr>
        <w:t>。</w:t>
      </w:r>
      <w:r>
        <w:rPr>
          <w:rFonts w:hint="eastAsia" w:ascii="仿宋_GB2312" w:hAnsi="仿宋_GB2312" w:eastAsia="仿宋_GB2312" w:cs="仿宋_GB2312"/>
          <w:bCs/>
          <w:sz w:val="20"/>
          <w:szCs w:val="20"/>
          <w:highlight w:val="none"/>
        </w:rPr>
        <w:t xml:space="preserve">                        </w:t>
      </w:r>
    </w:p>
    <w:p w14:paraId="1C4785F5">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（二）房屋状况：</w:t>
      </w:r>
      <w:r>
        <w:rPr>
          <w:rFonts w:hint="eastAsia" w:ascii="仿宋_GB2312" w:hAnsi="仿宋_GB2312" w:eastAsia="仿宋_GB2312" w:cs="仿宋_GB2312"/>
          <w:bCs/>
          <w:sz w:val="20"/>
          <w:szCs w:val="20"/>
          <w:highlight w:val="none"/>
          <w:u w:val="single"/>
        </w:rPr>
        <w:t xml:space="preserve">                 </w:t>
      </w:r>
      <w:r>
        <w:rPr>
          <w:rFonts w:hint="eastAsia" w:ascii="仿宋_GB2312" w:hAnsi="仿宋_GB2312" w:eastAsia="仿宋_GB2312" w:cs="仿宋_GB2312"/>
          <w:bCs/>
          <w:sz w:val="20"/>
          <w:szCs w:val="20"/>
          <w:highlight w:val="none"/>
          <w:u w:val="single"/>
          <w:lang w:val="en-US" w:eastAsia="zh-CN"/>
        </w:rPr>
        <w:t xml:space="preserve"> </w:t>
      </w:r>
      <w:r>
        <w:rPr>
          <w:rFonts w:hint="eastAsia" w:ascii="仿宋_GB2312" w:hAnsi="仿宋_GB2312" w:eastAsia="仿宋_GB2312" w:cs="仿宋_GB2312"/>
          <w:bCs/>
          <w:sz w:val="20"/>
          <w:szCs w:val="20"/>
          <w:highlight w:val="none"/>
        </w:rPr>
        <w:t>（包括不动产权利人，不动产权证书编号，是否设置抵押、装修情况、房屋内附属设施情况等）</w:t>
      </w:r>
      <w:r>
        <w:rPr>
          <w:rFonts w:hint="eastAsia" w:ascii="仿宋_GB2312" w:hAnsi="仿宋_GB2312" w:eastAsia="仿宋_GB2312" w:cs="仿宋_GB2312"/>
          <w:bCs/>
          <w:sz w:val="20"/>
          <w:szCs w:val="20"/>
          <w:highlight w:val="none"/>
          <w:lang w:eastAsia="zh-CN"/>
        </w:rPr>
        <w:t>。</w:t>
      </w:r>
      <w:r>
        <w:rPr>
          <w:rFonts w:hint="eastAsia" w:ascii="仿宋_GB2312" w:hAnsi="仿宋_GB2312" w:eastAsia="仿宋_GB2312" w:cs="仿宋_GB2312"/>
          <w:bCs/>
          <w:sz w:val="20"/>
          <w:szCs w:val="20"/>
          <w:highlight w:val="none"/>
        </w:rPr>
        <w:t xml:space="preserve">               </w:t>
      </w:r>
    </w:p>
    <w:p w14:paraId="7067B5EB">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lang w:eastAsia="zh-CN"/>
        </w:rPr>
      </w:pPr>
      <w:r>
        <w:rPr>
          <w:rFonts w:hint="eastAsia" w:ascii="仿宋_GB2312" w:hAnsi="仿宋_GB2312" w:eastAsia="仿宋_GB2312" w:cs="仿宋_GB2312"/>
          <w:bCs/>
          <w:sz w:val="20"/>
          <w:szCs w:val="20"/>
          <w:highlight w:val="none"/>
        </w:rPr>
        <w:t>（三）房屋面积：</w:t>
      </w:r>
      <w:r>
        <w:rPr>
          <w:rFonts w:hint="eastAsia" w:ascii="仿宋_GB2312" w:hAnsi="仿宋_GB2312" w:eastAsia="仿宋_GB2312" w:cs="仿宋_GB2312"/>
          <w:bCs/>
          <w:sz w:val="20"/>
          <w:szCs w:val="20"/>
          <w:highlight w:val="none"/>
          <w:u w:val="single"/>
        </w:rPr>
        <w:t xml:space="preserve">                  </w:t>
      </w:r>
      <w:r>
        <w:rPr>
          <w:rFonts w:hint="eastAsia" w:ascii="仿宋_GB2312" w:hAnsi="仿宋_GB2312" w:eastAsia="仿宋_GB2312" w:cs="仿宋_GB2312"/>
          <w:bCs/>
          <w:sz w:val="20"/>
          <w:szCs w:val="20"/>
          <w:highlight w:val="none"/>
        </w:rPr>
        <w:t>㎡（后附房屋实测面积报告）</w:t>
      </w:r>
      <w:r>
        <w:rPr>
          <w:rFonts w:hint="eastAsia" w:ascii="仿宋_GB2312" w:hAnsi="仿宋_GB2312" w:eastAsia="仿宋_GB2312" w:cs="仿宋_GB2312"/>
          <w:bCs/>
          <w:sz w:val="20"/>
          <w:szCs w:val="20"/>
          <w:highlight w:val="none"/>
          <w:lang w:eastAsia="zh-CN"/>
        </w:rPr>
        <w:t>。</w:t>
      </w:r>
    </w:p>
    <w:p w14:paraId="37B8BBCB">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（四）租金：</w:t>
      </w:r>
      <w:r>
        <w:rPr>
          <w:rFonts w:hint="eastAsia" w:ascii="仿宋_GB2312" w:hAnsi="仿宋_GB2312" w:eastAsia="仿宋_GB2312" w:cs="仿宋_GB2312"/>
          <w:bCs/>
          <w:sz w:val="20"/>
          <w:szCs w:val="20"/>
          <w:highlight w:val="none"/>
          <w:u w:val="single"/>
        </w:rPr>
        <w:t xml:space="preserve">       </w:t>
      </w:r>
      <w:r>
        <w:rPr>
          <w:rFonts w:hint="eastAsia" w:ascii="仿宋_GB2312" w:hAnsi="仿宋_GB2312" w:eastAsia="仿宋_GB2312" w:cs="仿宋_GB2312"/>
          <w:bCs/>
          <w:sz w:val="20"/>
          <w:szCs w:val="20"/>
          <w:highlight w:val="none"/>
          <w:u w:val="single"/>
          <w:lang w:val="en-US" w:eastAsia="zh-CN"/>
        </w:rPr>
        <w:t xml:space="preserve">  </w:t>
      </w:r>
      <w:r>
        <w:rPr>
          <w:rFonts w:hint="eastAsia" w:ascii="仿宋_GB2312" w:hAnsi="仿宋_GB2312" w:eastAsia="仿宋_GB2312" w:cs="仿宋_GB2312"/>
          <w:bCs/>
          <w:sz w:val="20"/>
          <w:szCs w:val="20"/>
          <w:highlight w:val="none"/>
        </w:rPr>
        <w:t>元（其中不含税金额</w:t>
      </w:r>
      <w:r>
        <w:rPr>
          <w:rFonts w:hint="eastAsia" w:ascii="仿宋_GB2312" w:hAnsi="仿宋_GB2312" w:eastAsia="仿宋_GB2312" w:cs="仿宋_GB2312"/>
          <w:bCs/>
          <w:sz w:val="20"/>
          <w:szCs w:val="20"/>
          <w:highlight w:val="none"/>
          <w:u w:val="single"/>
        </w:rPr>
        <w:t xml:space="preserve">       </w:t>
      </w:r>
      <w:r>
        <w:rPr>
          <w:rFonts w:hint="eastAsia" w:ascii="仿宋_GB2312" w:hAnsi="仿宋_GB2312" w:eastAsia="仿宋_GB2312" w:cs="仿宋_GB2312"/>
          <w:bCs/>
          <w:sz w:val="20"/>
          <w:szCs w:val="20"/>
          <w:highlight w:val="none"/>
          <w:u w:val="single"/>
          <w:lang w:val="en-US" w:eastAsia="zh-CN"/>
        </w:rPr>
        <w:t xml:space="preserve">  </w:t>
      </w:r>
      <w:r>
        <w:rPr>
          <w:rFonts w:hint="eastAsia" w:ascii="仿宋_GB2312" w:hAnsi="仿宋_GB2312" w:eastAsia="仿宋_GB2312" w:cs="仿宋_GB2312"/>
          <w:bCs/>
          <w:sz w:val="20"/>
          <w:szCs w:val="20"/>
          <w:highlight w:val="none"/>
        </w:rPr>
        <w:t>元，税额</w:t>
      </w:r>
      <w:r>
        <w:rPr>
          <w:rFonts w:hint="eastAsia" w:ascii="仿宋_GB2312" w:hAnsi="仿宋_GB2312" w:eastAsia="仿宋_GB2312" w:cs="仿宋_GB2312"/>
          <w:bCs/>
          <w:sz w:val="20"/>
          <w:szCs w:val="20"/>
          <w:highlight w:val="none"/>
          <w:u w:val="single"/>
        </w:rPr>
        <w:t xml:space="preserve">       </w:t>
      </w:r>
      <w:r>
        <w:rPr>
          <w:rFonts w:hint="eastAsia" w:ascii="仿宋_GB2312" w:hAnsi="仿宋_GB2312" w:eastAsia="仿宋_GB2312" w:cs="仿宋_GB2312"/>
          <w:bCs/>
          <w:sz w:val="20"/>
          <w:szCs w:val="20"/>
          <w:highlight w:val="none"/>
          <w:u w:val="single"/>
          <w:lang w:val="en-US" w:eastAsia="zh-CN"/>
        </w:rPr>
        <w:t xml:space="preserve"> </w:t>
      </w:r>
      <w:r>
        <w:rPr>
          <w:rFonts w:hint="eastAsia" w:ascii="仿宋_GB2312" w:hAnsi="仿宋_GB2312" w:eastAsia="仿宋_GB2312" w:cs="仿宋_GB2312"/>
          <w:bCs/>
          <w:sz w:val="20"/>
          <w:szCs w:val="20"/>
          <w:highlight w:val="none"/>
        </w:rPr>
        <w:t>元，税率</w:t>
      </w:r>
      <w:r>
        <w:rPr>
          <w:rFonts w:hint="eastAsia" w:ascii="仿宋_GB2312" w:hAnsi="仿宋_GB2312" w:eastAsia="仿宋_GB2312" w:cs="仿宋_GB2312"/>
          <w:bCs/>
          <w:sz w:val="20"/>
          <w:szCs w:val="20"/>
          <w:highlight w:val="none"/>
          <w:u w:val="single"/>
        </w:rPr>
        <w:t xml:space="preserve">       </w:t>
      </w:r>
      <w:r>
        <w:rPr>
          <w:rFonts w:hint="eastAsia" w:ascii="仿宋_GB2312" w:hAnsi="仿宋_GB2312" w:eastAsia="仿宋_GB2312" w:cs="仿宋_GB2312"/>
          <w:bCs/>
          <w:sz w:val="20"/>
          <w:szCs w:val="20"/>
          <w:highlight w:val="none"/>
          <w:u w:val="single"/>
          <w:lang w:val="en-US" w:eastAsia="zh-CN"/>
        </w:rPr>
        <w:t xml:space="preserve"> </w:t>
      </w:r>
      <w:r>
        <w:rPr>
          <w:rFonts w:hint="eastAsia" w:ascii="仿宋_GB2312" w:hAnsi="仿宋_GB2312" w:eastAsia="仿宋_GB2312" w:cs="仿宋_GB2312"/>
          <w:bCs/>
          <w:sz w:val="20"/>
          <w:szCs w:val="20"/>
          <w:highlight w:val="none"/>
        </w:rPr>
        <w:t>%）。</w:t>
      </w:r>
    </w:p>
    <w:p w14:paraId="352F466D">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u w:val="single"/>
          <w:lang w:val="en-US" w:eastAsia="zh-CN"/>
        </w:rPr>
      </w:pPr>
      <w:r>
        <w:rPr>
          <w:rFonts w:hint="eastAsia" w:ascii="仿宋_GB2312" w:hAnsi="仿宋_GB2312" w:eastAsia="仿宋_GB2312" w:cs="仿宋_GB2312"/>
          <w:bCs/>
          <w:sz w:val="20"/>
          <w:szCs w:val="20"/>
          <w:highlight w:val="none"/>
        </w:rPr>
        <w:t>（</w:t>
      </w:r>
      <w:r>
        <w:rPr>
          <w:rFonts w:hint="eastAsia" w:ascii="仿宋_GB2312" w:hAnsi="仿宋_GB2312" w:eastAsia="仿宋_GB2312" w:cs="仿宋_GB2312"/>
          <w:bCs/>
          <w:sz w:val="20"/>
          <w:szCs w:val="20"/>
          <w:highlight w:val="none"/>
          <w:lang w:val="en-US" w:eastAsia="zh-CN"/>
        </w:rPr>
        <w:t>五</w:t>
      </w:r>
      <w:r>
        <w:rPr>
          <w:rFonts w:hint="eastAsia" w:ascii="仿宋_GB2312" w:hAnsi="仿宋_GB2312" w:eastAsia="仿宋_GB2312" w:cs="仿宋_GB2312"/>
          <w:bCs/>
          <w:sz w:val="20"/>
          <w:szCs w:val="20"/>
          <w:highlight w:val="none"/>
        </w:rPr>
        <w:t>）房屋用途：</w:t>
      </w:r>
      <w:r>
        <w:rPr>
          <w:rFonts w:hint="eastAsia" w:ascii="仿宋_GB2312" w:hAnsi="仿宋_GB2312" w:eastAsia="仿宋_GB2312" w:cs="仿宋_GB2312"/>
          <w:bCs/>
          <w:sz w:val="20"/>
          <w:szCs w:val="20"/>
          <w:highlight w:val="none"/>
          <w:u w:val="single"/>
        </w:rPr>
        <w:t xml:space="preserve">              </w:t>
      </w:r>
      <w:r>
        <w:rPr>
          <w:rFonts w:hint="eastAsia" w:ascii="仿宋_GB2312" w:hAnsi="仿宋_GB2312" w:eastAsia="仿宋_GB2312" w:cs="仿宋_GB2312"/>
          <w:bCs/>
          <w:sz w:val="20"/>
          <w:szCs w:val="20"/>
          <w:highlight w:val="none"/>
          <w:u w:val="single"/>
          <w:lang w:val="en-US" w:eastAsia="zh-CN"/>
        </w:rPr>
        <w:t xml:space="preserve">    </w:t>
      </w:r>
      <w:r>
        <w:rPr>
          <w:rFonts w:hint="eastAsia" w:ascii="仿宋_GB2312" w:hAnsi="仿宋_GB2312" w:eastAsia="仿宋_GB2312" w:cs="仿宋_GB2312"/>
          <w:bCs/>
          <w:sz w:val="20"/>
          <w:szCs w:val="20"/>
          <w:highlight w:val="none"/>
          <w:u w:val="none"/>
          <w:lang w:val="en-US" w:eastAsia="zh-CN"/>
        </w:rPr>
        <w:t>。</w:t>
      </w:r>
    </w:p>
    <w:p w14:paraId="454BC7FA">
      <w:pPr>
        <w:keepNext w:val="0"/>
        <w:keepLines w:val="0"/>
        <w:pageBreakBefore w:val="0"/>
        <w:widowControl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
          <w:bCs w:val="0"/>
          <w:sz w:val="20"/>
          <w:szCs w:val="20"/>
          <w:highlight w:val="none"/>
        </w:rPr>
        <w:t>二、租赁期限</w:t>
      </w:r>
      <w:bookmarkStart w:id="0" w:name="_GoBack"/>
      <w:bookmarkEnd w:id="0"/>
    </w:p>
    <w:p w14:paraId="5D7454E5">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lang w:eastAsia="zh-CN"/>
        </w:rPr>
      </w:pPr>
      <w:r>
        <w:rPr>
          <w:rFonts w:hint="eastAsia" w:ascii="仿宋_GB2312" w:hAnsi="仿宋_GB2312" w:eastAsia="仿宋_GB2312" w:cs="仿宋_GB2312"/>
          <w:bCs/>
          <w:sz w:val="20"/>
          <w:szCs w:val="20"/>
          <w:highlight w:val="none"/>
        </w:rPr>
        <w:t>（一）该房屋租赁期</w:t>
      </w:r>
      <w:r>
        <w:rPr>
          <w:rFonts w:hint="eastAsia" w:ascii="仿宋_GB2312" w:hAnsi="仿宋_GB2312" w:eastAsia="仿宋_GB2312" w:cs="仿宋_GB2312"/>
          <w:bCs/>
          <w:sz w:val="20"/>
          <w:szCs w:val="20"/>
          <w:highlight w:val="none"/>
          <w:lang w:eastAsia="zh-CN"/>
        </w:rPr>
        <w:t>：</w:t>
      </w:r>
      <w:r>
        <w:rPr>
          <w:rFonts w:hint="eastAsia" w:ascii="仿宋_GB2312" w:hAnsi="仿宋_GB2312" w:eastAsia="仿宋_GB2312" w:cs="仿宋_GB2312"/>
          <w:bCs/>
          <w:sz w:val="20"/>
          <w:szCs w:val="20"/>
          <w:highlight w:val="none"/>
        </w:rPr>
        <w:t>自合同签订之日起至2026年12月31日。</w:t>
      </w:r>
    </w:p>
    <w:p w14:paraId="0BF43CED">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（二）租赁期满，乙方有权收回全部出租房屋，甲方应如期交还。同等条件下，甲方享有优先续约权。同时乙方在租赁期间出售租赁房屋，应当提前通知甲方，甲方在价格、付款方式同等条件下有优先购买权。</w:t>
      </w:r>
    </w:p>
    <w:p w14:paraId="57F46E25">
      <w:pPr>
        <w:keepNext w:val="0"/>
        <w:keepLines w:val="0"/>
        <w:pageBreakBefore w:val="0"/>
        <w:widowControl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_GB2312" w:hAnsi="仿宋_GB2312" w:eastAsia="仿宋_GB2312" w:cs="仿宋_GB2312"/>
          <w:b/>
          <w:bCs w:val="0"/>
          <w:sz w:val="20"/>
          <w:szCs w:val="20"/>
          <w:highlight w:val="none"/>
        </w:rPr>
      </w:pPr>
      <w:r>
        <w:rPr>
          <w:rFonts w:hint="eastAsia" w:ascii="仿宋_GB2312" w:hAnsi="仿宋_GB2312" w:eastAsia="仿宋_GB2312" w:cs="仿宋_GB2312"/>
          <w:b/>
          <w:bCs w:val="0"/>
          <w:sz w:val="20"/>
          <w:szCs w:val="20"/>
          <w:highlight w:val="none"/>
        </w:rPr>
        <w:t>三、租金及支付方式</w:t>
      </w:r>
    </w:p>
    <w:p w14:paraId="1EA88E5D">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全年服务费用分两次支付，合同签订后10个工作日内支付50%服务费用，剩余50%于当年10月31日前结清。</w:t>
      </w:r>
    </w:p>
    <w:p w14:paraId="76A5B42B">
      <w:pPr>
        <w:keepNext w:val="0"/>
        <w:keepLines w:val="0"/>
        <w:pageBreakBefore w:val="0"/>
        <w:widowControl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_GB2312" w:hAnsi="仿宋_GB2312" w:eastAsia="仿宋_GB2312" w:cs="仿宋_GB2312"/>
          <w:b/>
          <w:bCs w:val="0"/>
          <w:sz w:val="20"/>
          <w:szCs w:val="20"/>
          <w:highlight w:val="none"/>
        </w:rPr>
      </w:pPr>
      <w:r>
        <w:rPr>
          <w:rFonts w:hint="eastAsia" w:ascii="仿宋_GB2312" w:hAnsi="仿宋_GB2312" w:eastAsia="仿宋_GB2312" w:cs="仿宋_GB2312"/>
          <w:b/>
          <w:bCs w:val="0"/>
          <w:sz w:val="20"/>
          <w:szCs w:val="20"/>
          <w:highlight w:val="none"/>
        </w:rPr>
        <w:t>四、甲乙双方的权利及义务</w:t>
      </w:r>
    </w:p>
    <w:p w14:paraId="38BF2F79">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（一）甲方的权利与义务</w:t>
      </w:r>
    </w:p>
    <w:p w14:paraId="17CF1581">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1、所有房屋的设施及水电、气、暖、通讯费等交付情况由甲方在交付房屋时验明，交付之前因乙方原因发生的费用由乙方结清；如交付之前存有因甲方或第三人原因发生的费用，由该主体自行负担。自交付的次日起，房屋及其配套设施物品损坏或所发生费用（除租期内出现房屋质量问题外）由甲方自行承担。因上述事故给相邻各方造成的损失也应由甲方负责，如地震、战争、恐怖袭击等不可抗力因素造成的后果双方均不承担责任。</w:t>
      </w:r>
    </w:p>
    <w:p w14:paraId="00953941">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2、按规定时间及时、足额缴纳房屋租金。</w:t>
      </w:r>
    </w:p>
    <w:p w14:paraId="4D33D719">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3、不得在共用楼道内堆放物品或从事与租房用途无关的活动或任何非法活动。</w:t>
      </w:r>
    </w:p>
    <w:p w14:paraId="1E732BFA">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4、租赁期满不可因拆除装修造成承租房屋及配套设施的损坏，否则应承担赔偿责任。</w:t>
      </w:r>
    </w:p>
    <w:p w14:paraId="4DBB661E">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5、因甲方原因造成房屋和附属设施损坏的，甲方以书面形式报乙方，并应当根据乙方的要求进行维修或者赔偿。</w:t>
      </w:r>
    </w:p>
    <w:p w14:paraId="7B7FD30E">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6、甲方在房屋使用中，严格遵守国家、省、市安全生产的各项法律法规及规章制度，严格落实消防安全责任，服从消防安全管理，落实安全生产目标责任书。服从物业公司管理，遵守乙方、物业公司制定的各项规章制度。</w:t>
      </w:r>
    </w:p>
    <w:p w14:paraId="084F3E94">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（二）乙方的权利与义务</w:t>
      </w:r>
    </w:p>
    <w:p w14:paraId="6D9325FD">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1.乙方须保证该房屋权属真实无争议，且房屋财产的共有人对出售此房屋无异议。若发生与乙方有关的权属纠纷或债务纠纷，由乙方负责解决并承担一切后果及违约责任。若乙方房产不符合国家的政策法规及有关规定，双方均有权解除合同，因此造成甲方的损失乙方应予赔偿。 </w:t>
      </w:r>
    </w:p>
    <w:p w14:paraId="6EDC2AA2">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2.交房时乙方应保证配套设施的正常使用，并完整地交付给甲方。</w:t>
      </w:r>
    </w:p>
    <w:p w14:paraId="3AEE334B">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3、因出租房屋质量问题，致使乙方人身或财产遭受损害，所造成的一切损失，甲方应承担全部责任。</w:t>
      </w:r>
    </w:p>
    <w:p w14:paraId="2103A3E8">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4、在本协议有效期内，甲方应对出租的房屋的质量负责，如出现房屋质量问题，甲方应及时告知乙方，双方进行问题责任判定后，如为甲方本身导致房屋质量问题，应由甲方负责安排维修，并承担相应维修费用。</w:t>
      </w:r>
    </w:p>
    <w:p w14:paraId="3DF2B2B2">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5、在本协议有效期内，乙方应对出租的房屋内部的附属设施（包括但不限于空调、电梯、卫生间、网络光纤线路(有备用接</w:t>
      </w:r>
      <w:r>
        <w:rPr>
          <w:rFonts w:hint="eastAsia" w:ascii="仿宋_GB2312" w:hAnsi="仿宋_GB2312" w:eastAsia="仿宋_GB2312" w:cs="仿宋_GB2312"/>
          <w:bCs/>
          <w:sz w:val="20"/>
          <w:szCs w:val="20"/>
          <w:highlight w:val="none"/>
          <w:lang w:eastAsia="zh-CN"/>
        </w:rPr>
        <w:t>□</w:t>
      </w:r>
      <w:r>
        <w:rPr>
          <w:rFonts w:hint="eastAsia" w:ascii="仿宋_GB2312" w:hAnsi="仿宋_GB2312" w:eastAsia="仿宋_GB2312" w:cs="仿宋_GB2312"/>
          <w:bCs/>
          <w:sz w:val="20"/>
          <w:szCs w:val="20"/>
          <w:highlight w:val="none"/>
        </w:rPr>
        <w:t>)、应急照明电源、安全防护设备、消防设施等）的质量负责，如发生正常使用的损坏或故障时，乙方应在接到甲方通知3日内负责安排维修，并承担维修材料及维修费用。</w:t>
      </w:r>
    </w:p>
    <w:p w14:paraId="183AB6EC">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6、租赁期间，房屋产权人发生变更，乙方应在变更后30日内向甲方函件告知，但不影响本协议效力。</w:t>
      </w:r>
    </w:p>
    <w:p w14:paraId="3DC2DDDA">
      <w:pPr>
        <w:keepNext w:val="0"/>
        <w:keepLines w:val="0"/>
        <w:pageBreakBefore w:val="0"/>
        <w:widowControl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_GB2312" w:hAnsi="仿宋_GB2312" w:eastAsia="仿宋_GB2312" w:cs="仿宋_GB2312"/>
          <w:b/>
          <w:bCs w:val="0"/>
          <w:sz w:val="20"/>
          <w:szCs w:val="20"/>
          <w:highlight w:val="none"/>
        </w:rPr>
      </w:pPr>
      <w:r>
        <w:rPr>
          <w:rFonts w:hint="eastAsia" w:ascii="仿宋_GB2312" w:hAnsi="仿宋_GB2312" w:eastAsia="仿宋_GB2312" w:cs="仿宋_GB2312"/>
          <w:b/>
          <w:bCs w:val="0"/>
          <w:sz w:val="20"/>
          <w:szCs w:val="20"/>
          <w:highlight w:val="none"/>
        </w:rPr>
        <w:t>五、其它事项</w:t>
      </w:r>
    </w:p>
    <w:p w14:paraId="086E6A84">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（一）乙方的</w:t>
      </w:r>
      <w:r>
        <w:rPr>
          <w:rFonts w:hint="eastAsia" w:ascii="仿宋_GB2312" w:hAnsi="仿宋_GB2312" w:eastAsia="仿宋_GB2312" w:cs="仿宋_GB2312"/>
          <w:bCs/>
          <w:sz w:val="20"/>
          <w:szCs w:val="20"/>
          <w:highlight w:val="none"/>
          <w:lang w:val="en-US" w:eastAsia="zh-CN"/>
        </w:rPr>
        <w:t>响应</w:t>
      </w:r>
      <w:r>
        <w:rPr>
          <w:rFonts w:hint="eastAsia" w:ascii="仿宋_GB2312" w:hAnsi="仿宋_GB2312" w:eastAsia="仿宋_GB2312" w:cs="仿宋_GB2312"/>
          <w:bCs/>
          <w:sz w:val="20"/>
          <w:szCs w:val="20"/>
          <w:highlight w:val="none"/>
        </w:rPr>
        <w:t>文件和承诺等内容将列入合同。</w:t>
      </w:r>
    </w:p>
    <w:p w14:paraId="03DDD93A">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（二）房屋交付使用时应确保房屋建筑结构安全可靠，门、窗完好，上、下水通畅，供电正常，家具、设备能正常使用。</w:t>
      </w:r>
    </w:p>
    <w:p w14:paraId="73D25B2A">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（三）乙方应在中标签订合同后，向甲方交付房屋，并保证房屋及其附属设施安全、合格（含空气质量）。</w:t>
      </w:r>
    </w:p>
    <w:p w14:paraId="12F47C42">
      <w:pPr>
        <w:keepNext w:val="0"/>
        <w:keepLines w:val="0"/>
        <w:pageBreakBefore w:val="0"/>
        <w:widowControl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_GB2312" w:hAnsi="仿宋_GB2312" w:eastAsia="仿宋_GB2312" w:cs="仿宋_GB2312"/>
          <w:b/>
          <w:bCs w:val="0"/>
          <w:sz w:val="20"/>
          <w:szCs w:val="20"/>
          <w:highlight w:val="none"/>
        </w:rPr>
      </w:pPr>
      <w:r>
        <w:rPr>
          <w:rFonts w:hint="eastAsia" w:ascii="仿宋_GB2312" w:hAnsi="仿宋_GB2312" w:eastAsia="仿宋_GB2312" w:cs="仿宋_GB2312"/>
          <w:b/>
          <w:bCs w:val="0"/>
          <w:sz w:val="20"/>
          <w:szCs w:val="20"/>
          <w:highlight w:val="none"/>
        </w:rPr>
        <w:t>六、违约责任</w:t>
      </w:r>
    </w:p>
    <w:p w14:paraId="2405EEDC">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1.双方应严格遵守本协议的各项规定，任何一方违反本协议的规定，除本协议另有约定外，违约方应向对方支付当年租金总额的3%作为违约金。甲方违反本协议应支付的违约金，乙方有权在下一年度租金中予以扣除。不足部分守约方仍有权向违约方追偿。</w:t>
      </w:r>
    </w:p>
    <w:p w14:paraId="3726C3DF">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 xml:space="preserve"> 2.因违约方违约给守约方造成损失的，违约方应承担违约责任，并向守约方赔偿各种损失，包括但不限于守约方为追索该损失而发生的律师代理费、诉讼费、仲裁费、证据调查费、保全费、保全担保费等费用。</w:t>
      </w:r>
    </w:p>
    <w:p w14:paraId="4A7ADB28">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3. 甲乙双方在合同存续期内提前收回或取消租赁房屋，双方本着协商解决的原则，视具体情况进行适当补偿。</w:t>
      </w:r>
    </w:p>
    <w:p w14:paraId="6EE3F36E">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4.乙方有下列情形之一的，甲方有权单方解除合同，乙方还应承担本条第1款违约责任：</w:t>
      </w:r>
    </w:p>
    <w:p w14:paraId="20173CE1">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（1）未按约定时间交付租赁房屋达7日；</w:t>
      </w:r>
    </w:p>
    <w:p w14:paraId="529C5A9E">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（2）乙方无权出租房屋或交付的房屋不符合合同约定严重影响甲方使用或者危及甲方安全或健康；</w:t>
      </w:r>
    </w:p>
    <w:p w14:paraId="48540DBE">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（3）不承担约定的维修义务或不交纳应当由乙方承担的各项费用致使甲方无法正常使用租赁房屋。</w:t>
      </w:r>
    </w:p>
    <w:p w14:paraId="468A59E1">
      <w:pPr>
        <w:keepNext w:val="0"/>
        <w:keepLines w:val="0"/>
        <w:pageBreakBefore w:val="0"/>
        <w:widowControl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_GB2312" w:hAnsi="仿宋_GB2312" w:eastAsia="仿宋_GB2312" w:cs="仿宋_GB2312"/>
          <w:b/>
          <w:bCs w:val="0"/>
          <w:sz w:val="20"/>
          <w:szCs w:val="20"/>
          <w:highlight w:val="none"/>
        </w:rPr>
      </w:pPr>
      <w:r>
        <w:rPr>
          <w:rFonts w:hint="eastAsia" w:ascii="仿宋_GB2312" w:hAnsi="仿宋_GB2312" w:eastAsia="仿宋_GB2312" w:cs="仿宋_GB2312"/>
          <w:b/>
          <w:bCs w:val="0"/>
          <w:sz w:val="20"/>
          <w:szCs w:val="20"/>
          <w:highlight w:val="none"/>
        </w:rPr>
        <w:t>七、不可抗力</w:t>
      </w:r>
    </w:p>
    <w:p w14:paraId="677490E0">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1.双方一致同意，因自然灾害、疫情、政府行为等不可抗力事件，导致本合同部分或全部无法履行、迟延履行的，经双方协商一致，互不承担违约责任；导致本合同终止的，双方据实结算。</w:t>
      </w:r>
    </w:p>
    <w:p w14:paraId="4E3622F9">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2.宣称发生不可抗力的一方应在具备通知条件后24小时内书面通知其他方，并提供该不可抗力发生和持续时间的有效官方证明，未履行通知义务的，不免除违约责任。</w:t>
      </w:r>
    </w:p>
    <w:p w14:paraId="2D20C8BD">
      <w:pPr>
        <w:keepNext w:val="0"/>
        <w:keepLines w:val="0"/>
        <w:pageBreakBefore w:val="0"/>
        <w:widowControl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_GB2312" w:hAnsi="仿宋_GB2312" w:eastAsia="仿宋_GB2312" w:cs="仿宋_GB2312"/>
          <w:b/>
          <w:bCs w:val="0"/>
          <w:sz w:val="20"/>
          <w:szCs w:val="20"/>
          <w:highlight w:val="none"/>
        </w:rPr>
      </w:pPr>
      <w:r>
        <w:rPr>
          <w:rFonts w:hint="eastAsia" w:ascii="仿宋_GB2312" w:hAnsi="仿宋_GB2312" w:eastAsia="仿宋_GB2312" w:cs="仿宋_GB2312"/>
          <w:b/>
          <w:bCs w:val="0"/>
          <w:sz w:val="20"/>
          <w:szCs w:val="20"/>
          <w:highlight w:val="none"/>
        </w:rPr>
        <w:t>八、合同争议解决的方式</w:t>
      </w:r>
    </w:p>
    <w:p w14:paraId="47A8938A">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本合同在履行过程中发生的争议，由甲、乙双方当事人协商解决，协商不成的按下列第</w:t>
      </w:r>
      <w:r>
        <w:rPr>
          <w:rFonts w:hint="eastAsia" w:ascii="仿宋_GB2312" w:hAnsi="仿宋_GB2312" w:eastAsia="仿宋_GB2312" w:cs="仿宋_GB2312"/>
          <w:bCs/>
          <w:sz w:val="20"/>
          <w:szCs w:val="20"/>
          <w:highlight w:val="none"/>
          <w:u w:val="single"/>
        </w:rPr>
        <w:t>（二）</w:t>
      </w:r>
      <w:r>
        <w:rPr>
          <w:rFonts w:hint="eastAsia" w:ascii="仿宋_GB2312" w:hAnsi="仿宋_GB2312" w:eastAsia="仿宋_GB2312" w:cs="仿宋_GB2312"/>
          <w:bCs/>
          <w:sz w:val="20"/>
          <w:szCs w:val="20"/>
          <w:highlight w:val="none"/>
        </w:rPr>
        <w:t>种方式解决：</w:t>
      </w:r>
    </w:p>
    <w:p w14:paraId="0DF27550">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（一）提交西安仲裁委员会仲裁；</w:t>
      </w:r>
    </w:p>
    <w:p w14:paraId="7D22DB54">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（二）依法向房屋所在地人民法院起诉。</w:t>
      </w:r>
    </w:p>
    <w:p w14:paraId="59A63DAB">
      <w:pPr>
        <w:keepNext w:val="0"/>
        <w:keepLines w:val="0"/>
        <w:pageBreakBefore w:val="0"/>
        <w:widowControl w:val="0"/>
        <w:kinsoku/>
        <w:wordWrap/>
        <w:overflowPunct/>
        <w:topLinePunct w:val="0"/>
        <w:autoSpaceDE w:val="0"/>
        <w:autoSpaceDN w:val="0"/>
        <w:bidi w:val="0"/>
        <w:adjustRightInd w:val="0"/>
        <w:snapToGrid w:val="0"/>
        <w:spacing w:line="360" w:lineRule="auto"/>
        <w:ind w:firstLine="402" w:firstLineChars="200"/>
        <w:textAlignment w:val="auto"/>
        <w:rPr>
          <w:rFonts w:hint="eastAsia" w:ascii="仿宋_GB2312" w:hAnsi="仿宋_GB2312" w:eastAsia="仿宋_GB2312" w:cs="仿宋_GB2312"/>
          <w:b/>
          <w:bCs w:val="0"/>
          <w:sz w:val="20"/>
          <w:szCs w:val="20"/>
          <w:highlight w:val="none"/>
        </w:rPr>
      </w:pPr>
      <w:r>
        <w:rPr>
          <w:rFonts w:hint="eastAsia" w:ascii="仿宋_GB2312" w:hAnsi="仿宋_GB2312" w:eastAsia="仿宋_GB2312" w:cs="仿宋_GB2312"/>
          <w:b/>
          <w:bCs w:val="0"/>
          <w:sz w:val="20"/>
          <w:szCs w:val="20"/>
          <w:highlight w:val="none"/>
        </w:rPr>
        <w:t>九、合同生效</w:t>
      </w:r>
    </w:p>
    <w:p w14:paraId="5F73ADE4">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（一）本合同须经甲、乙双方的法定代表人（负责人）或授权代表在合同书上签字并加盖本单位公章后正式生效。</w:t>
      </w:r>
    </w:p>
    <w:p w14:paraId="231CFC67">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（二）合同生效后，甲、乙双方须严格执行本合同条款的规定，全面履行合同，违者按《中华人民共和国民法典》的有关规定承担相应责任。</w:t>
      </w:r>
    </w:p>
    <w:p w14:paraId="60653FB2">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（三）本合同一式</w:t>
      </w:r>
      <w:r>
        <w:rPr>
          <w:rFonts w:hint="eastAsia" w:ascii="仿宋_GB2312" w:hAnsi="仿宋_GB2312" w:eastAsia="仿宋_GB2312" w:cs="仿宋_GB2312"/>
          <w:bCs/>
          <w:sz w:val="20"/>
          <w:szCs w:val="20"/>
          <w:highlight w:val="none"/>
          <w:lang w:val="en-US" w:eastAsia="zh-CN"/>
        </w:rPr>
        <w:t>肆</w:t>
      </w:r>
      <w:r>
        <w:rPr>
          <w:rFonts w:hint="eastAsia" w:ascii="仿宋_GB2312" w:hAnsi="仿宋_GB2312" w:eastAsia="仿宋_GB2312" w:cs="仿宋_GB2312"/>
          <w:bCs/>
          <w:sz w:val="20"/>
          <w:szCs w:val="20"/>
          <w:highlight w:val="none"/>
        </w:rPr>
        <w:t>份，甲乙双方各执</w:t>
      </w:r>
      <w:r>
        <w:rPr>
          <w:rFonts w:hint="eastAsia" w:ascii="仿宋_GB2312" w:hAnsi="仿宋_GB2312" w:eastAsia="仿宋_GB2312" w:cs="仿宋_GB2312"/>
          <w:bCs/>
          <w:sz w:val="20"/>
          <w:szCs w:val="20"/>
          <w:highlight w:val="none"/>
          <w:lang w:val="en-US" w:eastAsia="zh-CN"/>
        </w:rPr>
        <w:t>贰</w:t>
      </w:r>
      <w:r>
        <w:rPr>
          <w:rFonts w:hint="eastAsia" w:ascii="仿宋_GB2312" w:hAnsi="仿宋_GB2312" w:eastAsia="仿宋_GB2312" w:cs="仿宋_GB2312"/>
          <w:bCs/>
          <w:sz w:val="20"/>
          <w:szCs w:val="20"/>
          <w:highlight w:val="none"/>
        </w:rPr>
        <w:t>份。</w:t>
      </w:r>
    </w:p>
    <w:p w14:paraId="45E16C73">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（四）本合同如有未尽事宜，甲、乙双方协商解决。</w:t>
      </w:r>
    </w:p>
    <w:tbl>
      <w:tblPr>
        <w:tblStyle w:val="12"/>
        <w:tblW w:w="0" w:type="auto"/>
        <w:jc w:val="center"/>
        <w:tblLayout w:type="fixed"/>
        <w:tblCellMar>
          <w:top w:w="0" w:type="dxa"/>
          <w:left w:w="108" w:type="dxa"/>
          <w:bottom w:w="0" w:type="dxa"/>
          <w:right w:w="108" w:type="dxa"/>
        </w:tblCellMar>
      </w:tblPr>
      <w:tblGrid>
        <w:gridCol w:w="4201"/>
        <w:gridCol w:w="4202"/>
      </w:tblGrid>
      <w:tr w14:paraId="17BA34CC">
        <w:tblPrEx>
          <w:tblCellMar>
            <w:top w:w="0" w:type="dxa"/>
            <w:left w:w="108" w:type="dxa"/>
            <w:bottom w:w="0" w:type="dxa"/>
            <w:right w:w="108" w:type="dxa"/>
          </w:tblCellMar>
        </w:tblPrEx>
        <w:trPr>
          <w:trHeight w:val="567" w:hRule="exact"/>
          <w:jc w:val="center"/>
        </w:trPr>
        <w:tc>
          <w:tcPr>
            <w:tcW w:w="4201" w:type="dxa"/>
            <w:noWrap w:val="0"/>
            <w:vAlign w:val="center"/>
          </w:tcPr>
          <w:p w14:paraId="054F55D6">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甲  方</w:t>
            </w:r>
          </w:p>
        </w:tc>
        <w:tc>
          <w:tcPr>
            <w:tcW w:w="4202" w:type="dxa"/>
            <w:noWrap w:val="0"/>
            <w:vAlign w:val="center"/>
          </w:tcPr>
          <w:p w14:paraId="4FBAC9EC">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乙  方</w:t>
            </w:r>
          </w:p>
        </w:tc>
      </w:tr>
      <w:tr w14:paraId="31EB1800">
        <w:tblPrEx>
          <w:tblCellMar>
            <w:top w:w="0" w:type="dxa"/>
            <w:left w:w="108" w:type="dxa"/>
            <w:bottom w:w="0" w:type="dxa"/>
            <w:right w:w="108" w:type="dxa"/>
          </w:tblCellMar>
        </w:tblPrEx>
        <w:trPr>
          <w:trHeight w:val="567" w:hRule="exact"/>
          <w:jc w:val="center"/>
        </w:trPr>
        <w:tc>
          <w:tcPr>
            <w:tcW w:w="4201" w:type="dxa"/>
            <w:noWrap w:val="0"/>
            <w:vAlign w:val="center"/>
          </w:tcPr>
          <w:p w14:paraId="4324E8B0">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（盖章）</w:t>
            </w:r>
          </w:p>
        </w:tc>
        <w:tc>
          <w:tcPr>
            <w:tcW w:w="4202" w:type="dxa"/>
            <w:noWrap w:val="0"/>
            <w:vAlign w:val="center"/>
          </w:tcPr>
          <w:p w14:paraId="32996DC5">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（盖章）</w:t>
            </w:r>
          </w:p>
        </w:tc>
      </w:tr>
      <w:tr w14:paraId="11836592">
        <w:tblPrEx>
          <w:tblCellMar>
            <w:top w:w="0" w:type="dxa"/>
            <w:left w:w="108" w:type="dxa"/>
            <w:bottom w:w="0" w:type="dxa"/>
            <w:right w:w="108" w:type="dxa"/>
          </w:tblCellMar>
        </w:tblPrEx>
        <w:trPr>
          <w:trHeight w:val="567" w:hRule="exact"/>
          <w:jc w:val="center"/>
        </w:trPr>
        <w:tc>
          <w:tcPr>
            <w:tcW w:w="4201" w:type="dxa"/>
            <w:noWrap w:val="0"/>
            <w:vAlign w:val="center"/>
          </w:tcPr>
          <w:p w14:paraId="248784A2">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 xml:space="preserve">地址： </w:t>
            </w:r>
          </w:p>
        </w:tc>
        <w:tc>
          <w:tcPr>
            <w:tcW w:w="4202" w:type="dxa"/>
            <w:noWrap w:val="0"/>
            <w:vAlign w:val="center"/>
          </w:tcPr>
          <w:p w14:paraId="3437BF36">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地址：</w:t>
            </w:r>
          </w:p>
        </w:tc>
      </w:tr>
      <w:tr w14:paraId="79BF39DA">
        <w:tblPrEx>
          <w:tblCellMar>
            <w:top w:w="0" w:type="dxa"/>
            <w:left w:w="108" w:type="dxa"/>
            <w:bottom w:w="0" w:type="dxa"/>
            <w:right w:w="108" w:type="dxa"/>
          </w:tblCellMar>
        </w:tblPrEx>
        <w:trPr>
          <w:trHeight w:val="567" w:hRule="exact"/>
          <w:jc w:val="center"/>
        </w:trPr>
        <w:tc>
          <w:tcPr>
            <w:tcW w:w="4201" w:type="dxa"/>
            <w:noWrap w:val="0"/>
            <w:vAlign w:val="center"/>
          </w:tcPr>
          <w:p w14:paraId="7C5FAD5E">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 xml:space="preserve">法定代表人 </w:t>
            </w:r>
          </w:p>
        </w:tc>
        <w:tc>
          <w:tcPr>
            <w:tcW w:w="4202" w:type="dxa"/>
            <w:noWrap w:val="0"/>
            <w:vAlign w:val="center"/>
          </w:tcPr>
          <w:p w14:paraId="7B069964">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法定代表人</w:t>
            </w:r>
          </w:p>
        </w:tc>
      </w:tr>
      <w:tr w14:paraId="1992C140">
        <w:tblPrEx>
          <w:tblCellMar>
            <w:top w:w="0" w:type="dxa"/>
            <w:left w:w="108" w:type="dxa"/>
            <w:bottom w:w="0" w:type="dxa"/>
            <w:right w:w="108" w:type="dxa"/>
          </w:tblCellMar>
        </w:tblPrEx>
        <w:trPr>
          <w:trHeight w:val="567" w:hRule="exact"/>
          <w:jc w:val="center"/>
        </w:trPr>
        <w:tc>
          <w:tcPr>
            <w:tcW w:w="4201" w:type="dxa"/>
            <w:noWrap w:val="0"/>
            <w:vAlign w:val="center"/>
          </w:tcPr>
          <w:p w14:paraId="201BF65D">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或授权代表：</w:t>
            </w:r>
          </w:p>
        </w:tc>
        <w:tc>
          <w:tcPr>
            <w:tcW w:w="4202" w:type="dxa"/>
            <w:noWrap w:val="0"/>
            <w:vAlign w:val="center"/>
          </w:tcPr>
          <w:p w14:paraId="5F34F498">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或授权代表：</w:t>
            </w:r>
          </w:p>
        </w:tc>
      </w:tr>
      <w:tr w14:paraId="49D8AF78">
        <w:tblPrEx>
          <w:tblCellMar>
            <w:top w:w="0" w:type="dxa"/>
            <w:left w:w="108" w:type="dxa"/>
            <w:bottom w:w="0" w:type="dxa"/>
            <w:right w:w="108" w:type="dxa"/>
          </w:tblCellMar>
        </w:tblPrEx>
        <w:trPr>
          <w:trHeight w:val="567" w:hRule="exact"/>
          <w:jc w:val="center"/>
        </w:trPr>
        <w:tc>
          <w:tcPr>
            <w:tcW w:w="4201" w:type="dxa"/>
            <w:noWrap w:val="0"/>
            <w:vAlign w:val="center"/>
          </w:tcPr>
          <w:p w14:paraId="298310E5">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电话：</w:t>
            </w:r>
          </w:p>
        </w:tc>
        <w:tc>
          <w:tcPr>
            <w:tcW w:w="4202" w:type="dxa"/>
            <w:noWrap w:val="0"/>
            <w:vAlign w:val="center"/>
          </w:tcPr>
          <w:p w14:paraId="48716912">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电话：</w:t>
            </w:r>
          </w:p>
        </w:tc>
      </w:tr>
      <w:tr w14:paraId="2CF32C55">
        <w:tblPrEx>
          <w:tblCellMar>
            <w:top w:w="0" w:type="dxa"/>
            <w:left w:w="108" w:type="dxa"/>
            <w:bottom w:w="0" w:type="dxa"/>
            <w:right w:w="108" w:type="dxa"/>
          </w:tblCellMar>
        </w:tblPrEx>
        <w:trPr>
          <w:trHeight w:val="567" w:hRule="exact"/>
          <w:jc w:val="center"/>
        </w:trPr>
        <w:tc>
          <w:tcPr>
            <w:tcW w:w="4201" w:type="dxa"/>
            <w:noWrap w:val="0"/>
            <w:vAlign w:val="center"/>
          </w:tcPr>
          <w:p w14:paraId="61791C90">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传真：</w:t>
            </w:r>
          </w:p>
        </w:tc>
        <w:tc>
          <w:tcPr>
            <w:tcW w:w="4202" w:type="dxa"/>
            <w:noWrap w:val="0"/>
            <w:vAlign w:val="center"/>
          </w:tcPr>
          <w:p w14:paraId="3EC4821A">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传真：</w:t>
            </w:r>
          </w:p>
        </w:tc>
      </w:tr>
      <w:tr w14:paraId="5D01837A">
        <w:tblPrEx>
          <w:tblCellMar>
            <w:top w:w="0" w:type="dxa"/>
            <w:left w:w="108" w:type="dxa"/>
            <w:bottom w:w="0" w:type="dxa"/>
            <w:right w:w="108" w:type="dxa"/>
          </w:tblCellMar>
        </w:tblPrEx>
        <w:trPr>
          <w:trHeight w:val="567" w:hRule="exact"/>
          <w:jc w:val="center"/>
        </w:trPr>
        <w:tc>
          <w:tcPr>
            <w:tcW w:w="4201" w:type="dxa"/>
            <w:noWrap w:val="0"/>
            <w:vAlign w:val="center"/>
          </w:tcPr>
          <w:p w14:paraId="58FEB364">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开户银行：</w:t>
            </w:r>
          </w:p>
        </w:tc>
        <w:tc>
          <w:tcPr>
            <w:tcW w:w="4202" w:type="dxa"/>
            <w:noWrap w:val="0"/>
            <w:vAlign w:val="center"/>
          </w:tcPr>
          <w:p w14:paraId="38DEE9FA">
            <w:pPr>
              <w:keepNext w:val="0"/>
              <w:keepLines w:val="0"/>
              <w:pageBreakBefore w:val="0"/>
              <w:widowControl w:val="0"/>
              <w:kinsoku/>
              <w:wordWrap/>
              <w:overflowPunct/>
              <w:topLinePunct w:val="0"/>
              <w:autoSpaceDE w:val="0"/>
              <w:autoSpaceDN w:val="0"/>
              <w:bidi w:val="0"/>
              <w:adjustRightInd w:val="0"/>
              <w:snapToGrid w:val="0"/>
              <w:spacing w:line="360" w:lineRule="auto"/>
              <w:ind w:firstLine="400" w:firstLineChars="200"/>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开户银行：</w:t>
            </w:r>
          </w:p>
        </w:tc>
      </w:tr>
    </w:tbl>
    <w:p w14:paraId="3EFEF585">
      <w:pPr>
        <w:pStyle w:val="2"/>
        <w:ind w:firstLine="0"/>
        <w:rPr>
          <w:color w:val="0000FF"/>
          <w:u w:val="single"/>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xNWU5MTM1NDJhMzM3NzZlNjAyMmRiMjcyMmY4OWYifQ=="/>
  </w:docVars>
  <w:rsids>
    <w:rsidRoot w:val="29BB6BC2"/>
    <w:rsid w:val="00032C77"/>
    <w:rsid w:val="0005444A"/>
    <w:rsid w:val="00055484"/>
    <w:rsid w:val="00196F8D"/>
    <w:rsid w:val="002134F5"/>
    <w:rsid w:val="002A2C9E"/>
    <w:rsid w:val="00301B8C"/>
    <w:rsid w:val="00333158"/>
    <w:rsid w:val="00366B06"/>
    <w:rsid w:val="005C205E"/>
    <w:rsid w:val="00680F55"/>
    <w:rsid w:val="006B2966"/>
    <w:rsid w:val="006E04B8"/>
    <w:rsid w:val="007377F8"/>
    <w:rsid w:val="008B1E38"/>
    <w:rsid w:val="009015B2"/>
    <w:rsid w:val="00AD6F4F"/>
    <w:rsid w:val="00B35765"/>
    <w:rsid w:val="00C65FC8"/>
    <w:rsid w:val="00CC3A78"/>
    <w:rsid w:val="00CF6641"/>
    <w:rsid w:val="00EF3803"/>
    <w:rsid w:val="00F47186"/>
    <w:rsid w:val="00FA5ACA"/>
    <w:rsid w:val="00FC1B97"/>
    <w:rsid w:val="071938B9"/>
    <w:rsid w:val="09FA6D1F"/>
    <w:rsid w:val="0EBB3568"/>
    <w:rsid w:val="0EC60B07"/>
    <w:rsid w:val="10CF4970"/>
    <w:rsid w:val="10EC511C"/>
    <w:rsid w:val="172B4FA4"/>
    <w:rsid w:val="198577DD"/>
    <w:rsid w:val="1B3470AD"/>
    <w:rsid w:val="1D6E70FD"/>
    <w:rsid w:val="1DFA7E83"/>
    <w:rsid w:val="244871F4"/>
    <w:rsid w:val="26991F36"/>
    <w:rsid w:val="26EA4955"/>
    <w:rsid w:val="274E2D73"/>
    <w:rsid w:val="27EF733B"/>
    <w:rsid w:val="29BB6BC2"/>
    <w:rsid w:val="2F1025C8"/>
    <w:rsid w:val="30104537"/>
    <w:rsid w:val="313868D1"/>
    <w:rsid w:val="325B49C3"/>
    <w:rsid w:val="326A7D77"/>
    <w:rsid w:val="33EF3E56"/>
    <w:rsid w:val="3A4F41B7"/>
    <w:rsid w:val="3B613B5B"/>
    <w:rsid w:val="3CCE5611"/>
    <w:rsid w:val="3CE71A85"/>
    <w:rsid w:val="412A6A1E"/>
    <w:rsid w:val="414032D5"/>
    <w:rsid w:val="420F6433"/>
    <w:rsid w:val="4EC118A7"/>
    <w:rsid w:val="4FDA2485"/>
    <w:rsid w:val="54F63A8A"/>
    <w:rsid w:val="55FA72C4"/>
    <w:rsid w:val="5B9C0E07"/>
    <w:rsid w:val="5C7E1FD1"/>
    <w:rsid w:val="5D3B49BA"/>
    <w:rsid w:val="60E414E6"/>
    <w:rsid w:val="61721786"/>
    <w:rsid w:val="619B357C"/>
    <w:rsid w:val="61E5759F"/>
    <w:rsid w:val="62EF26C7"/>
    <w:rsid w:val="67F0048D"/>
    <w:rsid w:val="696F3399"/>
    <w:rsid w:val="69C71C15"/>
    <w:rsid w:val="6D7F1CA8"/>
    <w:rsid w:val="6E930520"/>
    <w:rsid w:val="734E36BE"/>
    <w:rsid w:val="74343D24"/>
    <w:rsid w:val="764F97C9"/>
    <w:rsid w:val="78C53A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4">
    <w:name w:val="Default Paragraph Font"/>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pPr>
    <w:rPr>
      <w:szCs w:val="21"/>
    </w:rPr>
  </w:style>
  <w:style w:type="paragraph" w:styleId="3">
    <w:name w:val="annotation text"/>
    <w:basedOn w:val="1"/>
    <w:qFormat/>
    <w:uiPriority w:val="0"/>
    <w:pPr>
      <w:jc w:val="left"/>
    </w:pPr>
  </w:style>
  <w:style w:type="paragraph" w:styleId="4">
    <w:name w:val="Body Text"/>
    <w:basedOn w:val="1"/>
    <w:next w:val="1"/>
    <w:autoRedefine/>
    <w:qFormat/>
    <w:uiPriority w:val="99"/>
    <w:pPr>
      <w:jc w:val="left"/>
    </w:pPr>
    <w:rPr>
      <w:kern w:val="0"/>
    </w:rPr>
  </w:style>
  <w:style w:type="paragraph" w:styleId="5">
    <w:name w:val="Body Text Indent"/>
    <w:basedOn w:val="1"/>
    <w:qFormat/>
    <w:uiPriority w:val="0"/>
    <w:pPr>
      <w:spacing w:line="480" w:lineRule="exact"/>
      <w:ind w:firstLine="480" w:firstLineChars="200"/>
    </w:pPr>
    <w:rPr>
      <w:rFonts w:ascii="楷体_GB2312" w:hAnsi="宋体" w:eastAsia="楷体_GB2312"/>
      <w:sz w:val="24"/>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7"/>
    <w:autoRedefine/>
    <w:qFormat/>
    <w:uiPriority w:val="0"/>
    <w:rPr>
      <w:sz w:val="18"/>
      <w:szCs w:val="18"/>
    </w:rPr>
  </w:style>
  <w:style w:type="paragraph" w:styleId="8">
    <w:name w:val="footer"/>
    <w:basedOn w:val="1"/>
    <w:next w:val="1"/>
    <w:autoRedefine/>
    <w:qFormat/>
    <w:uiPriority w:val="0"/>
    <w:pPr>
      <w:tabs>
        <w:tab w:val="center" w:pos="4140"/>
        <w:tab w:val="right" w:pos="8300"/>
      </w:tabs>
      <w:snapToGrid w:val="0"/>
      <w:jc w:val="left"/>
    </w:pPr>
    <w:rPr>
      <w:sz w:val="18"/>
      <w:szCs w:val="18"/>
    </w:rPr>
  </w:style>
  <w:style w:type="paragraph" w:styleId="9">
    <w:name w:val="header"/>
    <w:basedOn w:val="1"/>
    <w:link w:val="16"/>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tabs>
        <w:tab w:val="right" w:leader="dot" w:pos="9060"/>
      </w:tabs>
      <w:spacing w:line="360" w:lineRule="auto"/>
    </w:pPr>
  </w:style>
  <w:style w:type="paragraph" w:styleId="1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table" w:styleId="13">
    <w:name w:val="Table Grid"/>
    <w:basedOn w:val="1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annotation reference"/>
    <w:basedOn w:val="14"/>
    <w:autoRedefine/>
    <w:qFormat/>
    <w:uiPriority w:val="0"/>
    <w:rPr>
      <w:sz w:val="21"/>
      <w:szCs w:val="21"/>
    </w:rPr>
  </w:style>
  <w:style w:type="character" w:customStyle="1" w:styleId="16">
    <w:name w:val="页眉 Char"/>
    <w:basedOn w:val="14"/>
    <w:link w:val="9"/>
    <w:autoRedefine/>
    <w:qFormat/>
    <w:uiPriority w:val="0"/>
    <w:rPr>
      <w:kern w:val="2"/>
      <w:sz w:val="18"/>
      <w:szCs w:val="18"/>
    </w:rPr>
  </w:style>
  <w:style w:type="character" w:customStyle="1" w:styleId="17">
    <w:name w:val="批注框文本 Char"/>
    <w:basedOn w:val="14"/>
    <w:link w:val="7"/>
    <w:autoRedefine/>
    <w:qFormat/>
    <w:uiPriority w:val="0"/>
    <w:rPr>
      <w:kern w:val="2"/>
      <w:sz w:val="18"/>
      <w:szCs w:val="18"/>
    </w:rPr>
  </w:style>
  <w:style w:type="paragraph" w:styleId="18">
    <w:name w:val="List Paragraph"/>
    <w:basedOn w:val="1"/>
    <w:autoRedefine/>
    <w:qFormat/>
    <w:uiPriority w:val="34"/>
    <w:pPr>
      <w:ind w:firstLine="420" w:firstLineChars="200"/>
    </w:pPr>
    <w:rPr>
      <w:rFonts w:ascii="Calibri" w:hAnsi="Calibri" w:eastAsia="宋体"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2417</Words>
  <Characters>2452</Characters>
  <Lines>23</Lines>
  <Paragraphs>6</Paragraphs>
  <TotalTime>0</TotalTime>
  <ScaleCrop>false</ScaleCrop>
  <LinksUpToDate>false</LinksUpToDate>
  <CharactersWithSpaces>2608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2022-09-28T14:56:00Z</dcterms:created>
  <dc:creator>独舞的蒲公英</dc:creator>
  <cp:lastModifiedBy>陕西华采招标有限公司</cp:lastModifiedBy>
  <cp:lastPrinted>2022-09-28T14:56:00Z</cp:lastPrinted>
  <dcterms:modified xsi:type="dcterms:W3CDTF">2026-07-06T09:11:09Z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E79E879024B94D3FB100E7468F0D228F</vt:lpwstr>
  </property>
  <property fmtid="{D5CDD505-2E9C-101B-9397-08002B2CF9AE}" pid="4" name="KSOTemplateDocerSaveRecord">
    <vt:lpwstr>eyJoZGlkIjoiZWMxNWU5MTM1NDJhMzM3NzZlNjAyMmRiMjcyMmY4OWYiLCJ1c2VySWQiOiI5MzY1NjA0ODAifQ==</vt:lpwstr>
  </property>
</Properties>
</file>