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版本号：YMD-2026078F20260612001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市属高校“双高建设”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YMD-2026078F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市属高校“双高建设”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YMD-2026078F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市属高校“双高建设”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本项目建设紧密围绕省级高水平专业群建设重点任务，致力于实现专业群建设的智慧化管理和高效孵化培育。项目建设内容包括:提供全国及陕西区域产业动态与就业形势的实时数据，精准对接产业发展需求;指导编写专业群建设实施方案;开发人才培养方案引擎，实现在线制定、审核及智能分析，优化人才培养流程;构建专业(群)课程体系图谱，清晰呈现课程逻辑与知识架构;为专业开发专属智能体，实现师生专业知识智能问答，提升教学互动效率;建立专业群建设周期管理模块，实现建设任务全周期智慧化监测与预警，并集中展示建设成果，同时支持与学校现有教学资源平台的有效衔接。双高专业群申报和建设辅导服务，包括提供专家对双高专业群解读和分析、学院7个专业群调研分析报告和建设方案进行打磨、双高专业群建设辅导和省级高水平专业群申报材料打磨等。 采购包2：新型光电显示技术培训中心(校企合作项目)以打造“教学-实训-认证-就业”一体化平台，开展相关教学、实训、教研等活动提供软硬件条件为核心目标，计划投资175万元采购智能光电显示技术实训台，光电显示校正系统，信息化教学音视频平台等设备。项目定位为集教学培训、技能鉴定、技术研发、社会服务于一体的综合性基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029-88519189、13772116417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进行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本项目建设紧密围绕省级高水平专业群建设重点任务，致力于实现专业群建设的智慧化管理和高效孵化培育。项目建设内容包括:提供全国及陕西区域产业动态与就业形势的实时数据，精准对接产业发展需求;指导编写专业群建设实施方案;开发人才培养方案引擎，实现在线制定、审核及智能分析，优化人才培养流程;构建专业(群)课程体系图谱，清晰呈现课程逻辑与知识架构;为专业开发专属智能体，实现师生专业知识智能问答，提升教学互动效率;建立专业群建设周期管理模块，实现建设任务全周期智慧化监测与预警，并集中展示建设成果，同时支持与学校现有教学资源平台的有效衔接。双高专业群申报和建设辅导服务，包括提供专家对双高专业群解读和分析、学院7个专业群调研分析报告和建设方案进行打磨、双高专业群建设辅导和省级高水平专业群申报材料打磨等。</w:t>
      </w:r>
    </w:p>
    <w:p>
      <w:pPr>
        <w:pStyle w:val="null3"/>
      </w:pPr>
      <w:r>
        <w:rPr>
          <w:rFonts w:ascii="仿宋_GB2312" w:hAnsi="仿宋_GB2312" w:cs="仿宋_GB2312" w:eastAsia="仿宋_GB2312"/>
        </w:rPr>
        <w:t>采购包2：新型光电显示技术培训中心(校企合作项目)以打造“教学-实训-认证-就业”一体化平台，开展相关教学、实训、教研等活动提供软硬件条件为核心目标，计划投资175万元采购智能光电显示技术实训台，光电显示校正系统，信息化教学音视频平台等设备。项目定位为集教学培训、技能鉴定、技术研发、社会服务于一体的综合性基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省级高水平专业群孵化培育与智慧平台建设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新型光电显示技术培训中心（校企合作项目）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标的名称：省级高水平专业群孵化培育与智慧平台建设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一、内容</w:t>
            </w:r>
          </w:p>
          <w:tbl>
            <w:tblPr>
              <w:tblBorders>
                <w:top w:val="none" w:color="000000" w:sz="4"/>
                <w:left w:val="none" w:color="000000" w:sz="4"/>
                <w:bottom w:val="none" w:color="000000" w:sz="4"/>
                <w:right w:val="none" w:color="000000" w:sz="4"/>
                <w:insideH w:val="none"/>
                <w:insideV w:val="none"/>
              </w:tblBorders>
            </w:tblPr>
            <w:tblGrid>
              <w:gridCol w:w="243"/>
              <w:gridCol w:w="394"/>
              <w:gridCol w:w="1125"/>
              <w:gridCol w:w="261"/>
              <w:gridCol w:w="261"/>
              <w:gridCol w:w="261"/>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模块名称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平台部分</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1.双高建设成果展示门户建设</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w:t>
                  </w:r>
                </w:p>
              </w:tc>
            </w:tr>
            <w:tr>
              <w:tc>
                <w:tcPr>
                  <w:tcW w:type="dxa" w:w="243"/>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2.双高建设任务管理平台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1"/>
                  <w:vMerge/>
                  <w:tcBorders>
                    <w:top w:val="none" w:color="000000" w:sz="4"/>
                    <w:left w:val="single" w:color="000000" w:sz="4"/>
                    <w:bottom w:val="single" w:color="000000" w:sz="4"/>
                    <w:right w:val="single" w:color="000000" w:sz="4"/>
                  </w:tcBorders>
                </w:tcPr>
                <w:p/>
              </w:tc>
            </w:tr>
            <w:tr>
              <w:tc>
                <w:tcPr>
                  <w:tcW w:type="dxa" w:w="243"/>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3.专业建设平台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1"/>
                  <w:vMerge/>
                  <w:tcBorders>
                    <w:top w:val="none" w:color="000000" w:sz="4"/>
                    <w:left w:val="single" w:color="000000" w:sz="4"/>
                    <w:bottom w:val="single" w:color="000000" w:sz="4"/>
                    <w:right w:val="single" w:color="000000" w:sz="4"/>
                  </w:tcBorders>
                </w:tcPr>
                <w:p/>
              </w:tc>
            </w:tr>
            <w:tr>
              <w:tc>
                <w:tcPr>
                  <w:tcW w:type="dxa" w:w="243"/>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AI智能体助手</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1"/>
                  <w:vMerge/>
                  <w:tcBorders>
                    <w:top w:val="none" w:color="000000" w:sz="4"/>
                    <w:left w:val="single" w:color="000000" w:sz="4"/>
                    <w:bottom w:val="single" w:color="000000" w:sz="4"/>
                    <w:right w:val="single" w:color="000000" w:sz="4"/>
                  </w:tcBorders>
                </w:tcP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专业群孵化培育</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1.佐证材料指导</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243"/>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2.成果培育</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61"/>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二、要求</w:t>
            </w:r>
          </w:p>
          <w:p>
            <w:pPr>
              <w:pStyle w:val="null3"/>
            </w:pPr>
            <w:r>
              <w:rPr>
                <w:rFonts w:ascii="仿宋_GB2312" w:hAnsi="仿宋_GB2312" w:cs="仿宋_GB2312" w:eastAsia="仿宋_GB2312"/>
              </w:rPr>
              <w:t>1.基本要求</w:t>
            </w:r>
          </w:p>
          <w:p>
            <w:pPr>
              <w:pStyle w:val="null3"/>
            </w:pPr>
            <w:r>
              <w:rPr>
                <w:rFonts w:ascii="仿宋_GB2312" w:hAnsi="仿宋_GB2312" w:cs="仿宋_GB2312" w:eastAsia="仿宋_GB2312"/>
              </w:rPr>
              <w:t>双高建设任务管理平台，依托互联网、大数据等技术手段，通过构建双高建设成果展示、双高文件管理、双高建设任务管理、观测指标评价、大数据分析、</w:t>
            </w:r>
            <w:r>
              <w:rPr>
                <w:rFonts w:ascii="仿宋_GB2312" w:hAnsi="仿宋_GB2312" w:cs="仿宋_GB2312" w:eastAsia="仿宋_GB2312"/>
              </w:rPr>
              <w:t>AI智能体管理、专</w:t>
            </w:r>
            <w:r>
              <w:rPr>
                <w:rFonts w:ascii="仿宋_GB2312" w:hAnsi="仿宋_GB2312" w:cs="仿宋_GB2312" w:eastAsia="仿宋_GB2312"/>
              </w:rPr>
              <w:t>业建设管理、人培管理等模块。实现双高建设任务全过程管理，深度融合一体化教学、资源互通、管理高度聚合的一个综合性服务平台。平台应满足以下基本要求：</w:t>
            </w:r>
          </w:p>
          <w:p>
            <w:pPr>
              <w:pStyle w:val="null3"/>
            </w:pPr>
            <w:r>
              <w:rPr>
                <w:rFonts w:ascii="仿宋_GB2312" w:hAnsi="仿宋_GB2312" w:cs="仿宋_GB2312" w:eastAsia="仿宋_GB2312"/>
              </w:rPr>
              <w:t>（</w:t>
            </w:r>
            <w:r>
              <w:rPr>
                <w:rFonts w:ascii="仿宋_GB2312" w:hAnsi="仿宋_GB2312" w:cs="仿宋_GB2312" w:eastAsia="仿宋_GB2312"/>
              </w:rPr>
              <w:t>1）特色成果展示门户，支持多层级，包含多套模板可供选择，支持二级门户建设，内置多种功能控件，一键发布即时生效，并可随时更新和推送平台管理和应用的各类信息和数据。</w:t>
            </w:r>
          </w:p>
          <w:p>
            <w:pPr>
              <w:pStyle w:val="null3"/>
            </w:pPr>
            <w:r>
              <w:rPr>
                <w:rFonts w:ascii="仿宋_GB2312" w:hAnsi="仿宋_GB2312" w:cs="仿宋_GB2312" w:eastAsia="仿宋_GB2312"/>
              </w:rPr>
              <w:t>（</w:t>
            </w:r>
            <w:r>
              <w:rPr>
                <w:rFonts w:ascii="仿宋_GB2312" w:hAnsi="仿宋_GB2312" w:cs="仿宋_GB2312" w:eastAsia="仿宋_GB2312"/>
              </w:rPr>
              <w:t>2）平台采用微服务架构，可以灵活建设学校的应用中心并提供灵活的终端管理工具，可以灵活配置Web端，大屏端，也可以根据不同角色配置不同的应用场景。</w:t>
            </w:r>
          </w:p>
          <w:p>
            <w:pPr>
              <w:pStyle w:val="null3"/>
            </w:pPr>
            <w:r>
              <w:rPr>
                <w:rFonts w:ascii="仿宋_GB2312" w:hAnsi="仿宋_GB2312" w:cs="仿宋_GB2312" w:eastAsia="仿宋_GB2312"/>
              </w:rPr>
              <w:t>（</w:t>
            </w:r>
            <w:r>
              <w:rPr>
                <w:rFonts w:ascii="仿宋_GB2312" w:hAnsi="仿宋_GB2312" w:cs="仿宋_GB2312" w:eastAsia="仿宋_GB2312"/>
              </w:rPr>
              <w:t>3）平台需实现与我校现有正在使用的资源库、教学平台无缝对接，使教学与专业群建设紧密结合，对接至少应包括师生账号数据、课程数据、教学运行数据等。。</w:t>
            </w:r>
          </w:p>
          <w:p>
            <w:pPr>
              <w:pStyle w:val="null3"/>
            </w:pPr>
            <w:r>
              <w:rPr>
                <w:rFonts w:ascii="仿宋_GB2312" w:hAnsi="仿宋_GB2312" w:cs="仿宋_GB2312" w:eastAsia="仿宋_GB2312"/>
              </w:rPr>
              <w:t>（</w:t>
            </w:r>
            <w:r>
              <w:rPr>
                <w:rFonts w:ascii="仿宋_GB2312" w:hAnsi="仿宋_GB2312" w:cs="仿宋_GB2312" w:eastAsia="仿宋_GB2312"/>
              </w:rPr>
              <w:t>4）系统设计满足大规模用户使用、支持分布式部署。</w:t>
            </w:r>
          </w:p>
          <w:p>
            <w:pPr>
              <w:pStyle w:val="null3"/>
            </w:pPr>
            <w:r>
              <w:rPr>
                <w:rFonts w:ascii="仿宋_GB2312" w:hAnsi="仿宋_GB2312" w:cs="仿宋_GB2312" w:eastAsia="仿宋_GB2312"/>
              </w:rPr>
              <w:t>（</w:t>
            </w:r>
            <w:r>
              <w:rPr>
                <w:rFonts w:ascii="仿宋_GB2312" w:hAnsi="仿宋_GB2312" w:cs="仿宋_GB2312" w:eastAsia="仿宋_GB2312"/>
              </w:rPr>
              <w:t>5）采用B/S结构，基于J2EE架构，页面采用Web2.0 AJAX开发，不需要另行安装插件就可支持主流浏览器。</w:t>
            </w:r>
          </w:p>
          <w:p>
            <w:pPr>
              <w:pStyle w:val="null3"/>
            </w:pPr>
            <w:r>
              <w:rPr>
                <w:rFonts w:ascii="仿宋_GB2312" w:hAnsi="仿宋_GB2312" w:cs="仿宋_GB2312" w:eastAsia="仿宋_GB2312"/>
              </w:rPr>
              <w:t>（</w:t>
            </w:r>
            <w:r>
              <w:rPr>
                <w:rFonts w:ascii="仿宋_GB2312" w:hAnsi="仿宋_GB2312" w:cs="仿宋_GB2312" w:eastAsia="仿宋_GB2312"/>
              </w:rPr>
              <w:t>6）具有先进性、可移植性、开放性和兼容性，支持随用户使用量的增大而只需增加相应的硬件或网络带宽等条件即可。</w:t>
            </w:r>
          </w:p>
          <w:p>
            <w:pPr>
              <w:pStyle w:val="null3"/>
            </w:pPr>
            <w:r>
              <w:rPr>
                <w:rFonts w:ascii="仿宋_GB2312" w:hAnsi="仿宋_GB2312" w:cs="仿宋_GB2312" w:eastAsia="仿宋_GB2312"/>
              </w:rPr>
              <w:t>（</w:t>
            </w:r>
            <w:r>
              <w:rPr>
                <w:rFonts w:ascii="仿宋_GB2312" w:hAnsi="仿宋_GB2312" w:cs="仿宋_GB2312" w:eastAsia="仿宋_GB2312"/>
              </w:rPr>
              <w:t>7）支持Web服务器集群。具有安全策略和备份机制，可根据不同的业务要求采用不同的安全措施，保证发生故障时不影响整个系统的正常运行。提供各级数据备份机制。具有相关策略对知识产权进行保护。</w:t>
            </w:r>
          </w:p>
          <w:p>
            <w:pPr>
              <w:pStyle w:val="null3"/>
            </w:pPr>
            <w:r>
              <w:rPr>
                <w:rFonts w:ascii="仿宋_GB2312" w:hAnsi="仿宋_GB2312" w:cs="仿宋_GB2312" w:eastAsia="仿宋_GB2312"/>
              </w:rPr>
              <w:t>（</w:t>
            </w:r>
            <w:r>
              <w:rPr>
                <w:rFonts w:ascii="仿宋_GB2312" w:hAnsi="仿宋_GB2312" w:cs="仿宋_GB2312" w:eastAsia="仿宋_GB2312"/>
              </w:rPr>
              <w:t>8）角色管理：可建立学生、教师、专业群负责人、职能部门负责人、企业人员，双高管理员、超级管理员等角色，各级管理员也可以根据自身的需求创建角色和为角色指定权限。</w:t>
            </w:r>
          </w:p>
          <w:p>
            <w:pPr>
              <w:pStyle w:val="null3"/>
            </w:pPr>
            <w:r>
              <w:rPr>
                <w:rFonts w:ascii="仿宋_GB2312" w:hAnsi="仿宋_GB2312" w:cs="仿宋_GB2312" w:eastAsia="仿宋_GB2312"/>
              </w:rPr>
              <w:t>（</w:t>
            </w:r>
            <w:r>
              <w:rPr>
                <w:rFonts w:ascii="仿宋_GB2312" w:hAnsi="仿宋_GB2312" w:cs="仿宋_GB2312" w:eastAsia="仿宋_GB2312"/>
              </w:rPr>
              <w:t>9）权限管理：可为每个导航功能点分配访问、管理等不同的权限，管理员可以批量给用户分配、收回权限，具有权限整体移交功能。</w:t>
            </w:r>
          </w:p>
          <w:p>
            <w:pPr>
              <w:pStyle w:val="null3"/>
            </w:pPr>
            <w:r>
              <w:rPr>
                <w:rFonts w:ascii="仿宋_GB2312" w:hAnsi="仿宋_GB2312" w:cs="仿宋_GB2312" w:eastAsia="仿宋_GB2312"/>
              </w:rPr>
              <w:t>（</w:t>
            </w:r>
            <w:r>
              <w:rPr>
                <w:rFonts w:ascii="仿宋_GB2312" w:hAnsi="仿宋_GB2312" w:cs="仿宋_GB2312" w:eastAsia="仿宋_GB2312"/>
              </w:rPr>
              <w:t>10）国产化部署要求：本项目所涉及的软硬件产品必须全部满足国产化要求。</w:t>
            </w:r>
          </w:p>
          <w:p>
            <w:pPr>
              <w:pStyle w:val="null3"/>
            </w:pPr>
            <w:r>
              <w:rPr>
                <w:rFonts w:ascii="仿宋_GB2312" w:hAnsi="仿宋_GB2312" w:cs="仿宋_GB2312" w:eastAsia="仿宋_GB2312"/>
              </w:rPr>
              <w:t>（</w:t>
            </w:r>
            <w:r>
              <w:rPr>
                <w:rFonts w:ascii="仿宋_GB2312" w:hAnsi="仿宋_GB2312" w:cs="仿宋_GB2312" w:eastAsia="仿宋_GB2312"/>
              </w:rPr>
              <w:t>11）支持移动端访问。</w:t>
            </w:r>
          </w:p>
          <w:p>
            <w:pPr>
              <w:pStyle w:val="null3"/>
            </w:pPr>
            <w:r>
              <w:rPr>
                <w:rFonts w:ascii="仿宋_GB2312" w:hAnsi="仿宋_GB2312" w:cs="仿宋_GB2312" w:eastAsia="仿宋_GB2312"/>
              </w:rPr>
              <w:t>2.功能要求</w:t>
            </w:r>
          </w:p>
          <w:tbl>
            <w:tblPr>
              <w:tblBorders>
                <w:top w:val="none" w:color="000000" w:sz="4"/>
                <w:left w:val="none" w:color="000000" w:sz="4"/>
                <w:bottom w:val="none" w:color="000000" w:sz="4"/>
                <w:right w:val="none" w:color="000000" w:sz="4"/>
                <w:insideH w:val="none"/>
                <w:insideV w:val="none"/>
              </w:tblBorders>
            </w:tblPr>
            <w:tblGrid>
              <w:gridCol w:w="142"/>
              <w:gridCol w:w="158"/>
              <w:gridCol w:w="164"/>
              <w:gridCol w:w="153"/>
              <w:gridCol w:w="1634"/>
              <w:gridCol w:w="131"/>
              <w:gridCol w:w="153"/>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模块名称</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功能名称</w:t>
                  </w:r>
                </w:p>
              </w:tc>
              <w:tc>
                <w:tcPr>
                  <w:tcW w:type="dxa" w:w="1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r>
            <w:tr>
              <w:tc>
                <w:tcPr>
                  <w:tcW w:type="dxa" w:w="14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平台部分</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双高建设成果展示门户建设</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集成展示学校双高建设相关成果，包含师资数据、资源数据、建设任务、标志性成果、双高核心指标数据等内容。用于阶段性成果展示和未来双高建设成果验收需要。</w:t>
                  </w:r>
                </w:p>
                <w:p>
                  <w:pPr>
                    <w:pStyle w:val="null3"/>
                    <w:jc w:val="left"/>
                  </w:pPr>
                  <w:r>
                    <w:rPr>
                      <w:rFonts w:ascii="仿宋_GB2312" w:hAnsi="仿宋_GB2312" w:cs="仿宋_GB2312" w:eastAsia="仿宋_GB2312"/>
                      <w:sz w:val="21"/>
                    </w:rPr>
                    <w:t>可以自定义门户模块菜单，包含（不限于）双高建设相关新闻资讯动态、包含专业构成、专业群组群逻辑、专业群课程体系、资源、教学创新团队等。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）双高建设专题门户建设原则：建设，需要遵循灵活、可配置、简单的拖拽式操作即可生成的原则；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）自定义菜单：可以自定义门户模块菜单，包含（</w:t>
                  </w:r>
                  <w:r>
                    <w:rPr>
                      <w:rFonts w:ascii="仿宋_GB2312" w:hAnsi="仿宋_GB2312" w:cs="仿宋_GB2312" w:eastAsia="仿宋_GB2312"/>
                      <w:sz w:val="21"/>
                    </w:rPr>
                    <w:t>不限于）专业群建设相关新闻资讯动态、专业群包含专业构成、专业组组群逻辑、专业群课程体系、资源、教学创新团队等。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）多层级：双高建设任务管理平台的建设，根据业务需要，需要支持至少</w:t>
                  </w:r>
                  <w:r>
                    <w:rPr>
                      <w:rFonts w:ascii="仿宋_GB2312" w:hAnsi="仿宋_GB2312" w:cs="仿宋_GB2312" w:eastAsia="仿宋_GB2312"/>
                      <w:sz w:val="21"/>
                    </w:rPr>
                    <w:t>2</w:t>
                  </w:r>
                  <w:r>
                    <w:rPr>
                      <w:rFonts w:ascii="仿宋_GB2312" w:hAnsi="仿宋_GB2312" w:cs="仿宋_GB2312" w:eastAsia="仿宋_GB2312"/>
                      <w:sz w:val="21"/>
                    </w:rPr>
                    <w:t>级门户，因此配置过程中，需要支持多层级门户。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）支持与学校已有课程平台、资源库平台、任务管理模块等无缝对接；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）支持有独立的登录体系，同时支持与学校单点认证对接；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）支持展示网站版权信息、总访问量、今日访问量等信息等。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）门户管理：自建门户，提供不少于</w:t>
                  </w:r>
                  <w:r>
                    <w:rPr>
                      <w:rFonts w:ascii="仿宋_GB2312" w:hAnsi="仿宋_GB2312" w:cs="仿宋_GB2312" w:eastAsia="仿宋_GB2312"/>
                      <w:sz w:val="21"/>
                    </w:rPr>
                    <w:t>10</w:t>
                  </w:r>
                  <w:r>
                    <w:rPr>
                      <w:rFonts w:ascii="仿宋_GB2312" w:hAnsi="仿宋_GB2312" w:cs="仿宋_GB2312" w:eastAsia="仿宋_GB2312"/>
                      <w:sz w:val="21"/>
                    </w:rPr>
                    <w:t>套门户样式供选择，门户管理人员只需要对模板内容进行编辑调整即</w:t>
                  </w:r>
                  <w:r>
                    <w:rPr>
                      <w:rFonts w:ascii="仿宋_GB2312" w:hAnsi="仿宋_GB2312" w:cs="仿宋_GB2312" w:eastAsia="仿宋_GB2312"/>
                      <w:sz w:val="21"/>
                    </w:rPr>
                    <w:t>可，也可以自定义门户。系统提供相应的模块配置和背景设置，自定义布局，通过拖拽的方式，即可将需要展示的内容拖拽到展示的布局内，并可随时调整。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）双高建设专题门户支持对轮播</w:t>
                  </w:r>
                  <w:r>
                    <w:rPr>
                      <w:rFonts w:ascii="仿宋_GB2312" w:hAnsi="仿宋_GB2312" w:cs="仿宋_GB2312" w:eastAsia="仿宋_GB2312"/>
                      <w:sz w:val="21"/>
                    </w:rPr>
                    <w:t>banner</w:t>
                  </w:r>
                  <w:r>
                    <w:rPr>
                      <w:rFonts w:ascii="仿宋_GB2312" w:hAnsi="仿宋_GB2312" w:cs="仿宋_GB2312" w:eastAsia="仿宋_GB2312"/>
                      <w:sz w:val="21"/>
                    </w:rPr>
                    <w:t>等后台自定义编辑；</w:t>
                  </w:r>
                </w:p>
                <w:p>
                  <w:pPr>
                    <w:pStyle w:val="null3"/>
                    <w:jc w:val="left"/>
                  </w:pPr>
                  <w:r>
                    <w:rPr>
                      <w:rFonts w:ascii="仿宋_GB2312" w:hAnsi="仿宋_GB2312" w:cs="仿宋_GB2312" w:eastAsia="仿宋_GB2312"/>
                      <w:sz w:val="21"/>
                    </w:rPr>
                    <w:t>支持基本信息展示，包括专业群介绍，组群专业，建设目标，组群逻辑等；</w:t>
                  </w:r>
                </w:p>
                <w:p>
                  <w:pPr>
                    <w:pStyle w:val="null3"/>
                    <w:jc w:val="left"/>
                  </w:pPr>
                  <w:r>
                    <w:rPr>
                      <w:rFonts w:ascii="仿宋_GB2312" w:hAnsi="仿宋_GB2312" w:cs="仿宋_GB2312" w:eastAsia="仿宋_GB2312"/>
                      <w:sz w:val="21"/>
                    </w:rPr>
                    <w:t>支持统计信息，包括用户数，课程数，开课数，素材数；</w:t>
                  </w:r>
                </w:p>
                <w:p>
                  <w:pPr>
                    <w:pStyle w:val="null3"/>
                    <w:jc w:val="left"/>
                  </w:pPr>
                  <w:r>
                    <w:rPr>
                      <w:rFonts w:ascii="仿宋_GB2312" w:hAnsi="仿宋_GB2312" w:cs="仿宋_GB2312" w:eastAsia="仿宋_GB2312"/>
                      <w:sz w:val="21"/>
                    </w:rPr>
                    <w:t>支持课程体系的展示和管理，包括专业课程体系，公共基础课程体系等；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）权限管理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支持自主添加管理员；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支持设置管理员编辑权限，编辑内容包括页面布局编辑、页面内容编辑、资源条目编辑、文章内容编辑等；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支持设置管理员按照网页和网页内的模块的独立权限，权限范围精确到具体的页面模块；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）访问统计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支持统计门户访问</w:t>
                  </w:r>
                  <w:r>
                    <w:rPr>
                      <w:rFonts w:ascii="仿宋_GB2312" w:hAnsi="仿宋_GB2312" w:cs="仿宋_GB2312" w:eastAsia="仿宋_GB2312"/>
                      <w:sz w:val="21"/>
                    </w:rPr>
                    <w:t>PV</w:t>
                  </w:r>
                  <w:r>
                    <w:rPr>
                      <w:rFonts w:ascii="仿宋_GB2312" w:hAnsi="仿宋_GB2312" w:cs="仿宋_GB2312" w:eastAsia="仿宋_GB2312"/>
                      <w:sz w:val="21"/>
                    </w:rPr>
                    <w:t>数据，可自定义时间段查看；</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支持统计门户访问明细，可根据</w:t>
                  </w:r>
                  <w:r>
                    <w:rPr>
                      <w:rFonts w:ascii="仿宋_GB2312" w:hAnsi="仿宋_GB2312" w:cs="仿宋_GB2312" w:eastAsia="仿宋_GB2312"/>
                      <w:sz w:val="21"/>
                    </w:rPr>
                    <w:t>ip</w:t>
                  </w:r>
                  <w:r>
                    <w:rPr>
                      <w:rFonts w:ascii="仿宋_GB2312" w:hAnsi="仿宋_GB2312" w:cs="仿宋_GB2312" w:eastAsia="仿宋_GB2312"/>
                      <w:sz w:val="21"/>
                    </w:rPr>
                    <w:t>查询记录；</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支持统计门户访客数</w:t>
                  </w:r>
                  <w:r>
                    <w:rPr>
                      <w:rFonts w:ascii="仿宋_GB2312" w:hAnsi="仿宋_GB2312" w:cs="仿宋_GB2312" w:eastAsia="仿宋_GB2312"/>
                      <w:sz w:val="21"/>
                    </w:rPr>
                    <w:t>uv</w:t>
                  </w:r>
                  <w:r>
                    <w:rPr>
                      <w:rFonts w:ascii="仿宋_GB2312" w:hAnsi="仿宋_GB2312" w:cs="仿宋_GB2312" w:eastAsia="仿宋_GB2312"/>
                      <w:sz w:val="21"/>
                    </w:rPr>
                    <w:t>数据，可自定义时间段查看；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支持统计手机、电脑访问门户的占比；</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支持统计门户内模块访问数据；详情可自定义时间段查看；</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支持统计网站资源条目访问统计情况，包含排行榜等信息；可自定义时间段</w:t>
                  </w:r>
                  <w:r>
                    <w:rPr>
                      <w:rFonts w:ascii="仿宋_GB2312" w:hAnsi="仿宋_GB2312" w:cs="仿宋_GB2312" w:eastAsia="仿宋_GB2312"/>
                      <w:sz w:val="21"/>
                    </w:rPr>
                    <w:t>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）网站编辑</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PC</w:t>
                  </w:r>
                  <w:r>
                    <w:rPr>
                      <w:rFonts w:ascii="仿宋_GB2312" w:hAnsi="仿宋_GB2312" w:cs="仿宋_GB2312" w:eastAsia="仿宋_GB2312"/>
                      <w:sz w:val="21"/>
                    </w:rPr>
                    <w:t>门户配置功能：页面需支持用户自定义模块布局，需支持拖拽调整同一模块内不同栏目的位置，需支持用户自定义对页面背景、音乐、主题色及简体或繁体字的转换设置。每一个模块内的数据来源均需支持人工培植；可以是外部数据接入，直接复用已有接口，也可以直接从数据中心抽调。</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rPr>
                    <w:t>IP</w:t>
                  </w:r>
                  <w:r>
                    <w:rPr>
                      <w:rFonts w:ascii="仿宋_GB2312" w:hAnsi="仿宋_GB2312" w:cs="仿宋_GB2312" w:eastAsia="仿宋_GB2312"/>
                      <w:sz w:val="21"/>
                    </w:rPr>
                    <w:t>、地图等多种基础模块用以生成网站应用模块和页面，满足绝大部分网站内容的展现形式。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文本、按钮、图片、视频、天气、搜索条、日期、</w:t>
                  </w:r>
                  <w:r>
                    <w:rPr>
                      <w:rFonts w:ascii="仿宋_GB2312" w:hAnsi="仿宋_GB2312" w:cs="仿宋_GB2312" w:eastAsia="仿宋_GB2312"/>
                      <w:sz w:val="21"/>
                    </w:rPr>
                    <w:t>IP</w:t>
                  </w:r>
                  <w:r>
                    <w:rPr>
                      <w:rFonts w:ascii="仿宋_GB2312" w:hAnsi="仿宋_GB2312" w:cs="仿宋_GB2312" w:eastAsia="仿宋_GB2312"/>
                      <w:sz w:val="21"/>
                    </w:rPr>
                    <w:t>基础模块支持设置颜色、形状、粗细等自定义样式；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支持添加资源展示类型的应用模块时，自动生成资源列表页面和详情页面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门户支持设置全局模块，包含头部、全局轮播图、底部、飘窗、快捷入口等模块，支持隐藏或开启全局模块；</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支持调整所有应用模块的布局及排列，更新内容或删除模块，快速更新页面排版；</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支持发布前预览。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）应用模块管理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应用模块拥有各自独立的设置后台，可以设置模块的名称、显示样式、次级页面的细节设置、添加数据内容等；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应用模块提供多种样式展示形式，包含图标列表、图文列表、轮播图、多图列表、搜索、文本列表、图表、表格、搜索列表等</w:t>
                  </w:r>
                  <w:r>
                    <w:rPr>
                      <w:rFonts w:ascii="仿宋_GB2312" w:hAnsi="仿宋_GB2312" w:cs="仿宋_GB2312" w:eastAsia="仿宋_GB2312"/>
                      <w:sz w:val="21"/>
                    </w:rPr>
                    <w:t>9</w:t>
                  </w:r>
                  <w:r>
                    <w:rPr>
                      <w:rFonts w:ascii="仿宋_GB2312" w:hAnsi="仿宋_GB2312" w:cs="仿宋_GB2312" w:eastAsia="仿宋_GB2312"/>
                      <w:sz w:val="21"/>
                    </w:rPr>
                    <w:t>类模块；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）内容管理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提供数据中心用于图标列表、图文列表、多图列表、文本列表、图表、搜索列表类应用，单位根据相关产品使用情况可直接选择数据源生成诸如数据库导航、期刊导航、热词词云、词云排行榜、阅读喜好、阅读测评趋势、活动管理、读者荐购、阅读推荐等应用模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本地添加内容自定义编辑器采用富文本编辑器，支持富文本线编辑，支持图片、视频、附件、超链接等上传；支持调用教师课程空间云盘文件。</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142"/>
                  <w:vMerge/>
                  <w:tcBorders>
                    <w:top w:val="none" w:color="000000" w:sz="4"/>
                    <w:left w:val="single" w:color="000000" w:sz="4"/>
                    <w:bottom w:val="none" w:color="000000" w:sz="4"/>
                    <w:right w:val="single" w:color="000000" w:sz="4"/>
                  </w:tcBorders>
                </w:tcPr>
                <w:p/>
              </w:tc>
              <w:tc>
                <w:tcPr>
                  <w:tcW w:type="dxa" w:w="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双高建设任务管理平台</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双高文件管理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）制度文件管理：支持新增、修改、删除项目过程中产生的一些制度文件；支持制度文件的导出及打包下载。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）典型案例管理：支持新增、修改、删除项目过程中产生的一些典型案例；支持典型案例的导出及打包下载。</w:t>
                  </w:r>
                </w:p>
              </w:tc>
              <w:tc>
                <w:tcPr>
                  <w:tcW w:type="dxa" w:w="1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双高建设任务管理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、建设任务基础信息管理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任务基础数据管理：支持根据业务的需要，进行任务内容字段的删改操作，包含常用中间件，包括单行输入、多行输入、数字输入、下拉框、多级下拉等基础字段，同时包括矩阵单选、子表单、计算公式等高级字段，只需进行“拖、拉、拽”等操作，无需进行二次代码开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）任务内容高级设置：支持针对任务字段内容进行高级设置、包含自定义筛选设置、支持对页面字段显示状态开关控制、支持审核设置，对审核通知和发放采集、发放修正等进行自定义设置。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）任务库管理：支持管理者，对学校双高建设任务库进行维护，支持多类型任务的维护、支持逐级下发任务，将具体的任务责任落实到人。支持多种数据导入模式，仅新增数据、仅更新时间、更新和新增数据等。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）支持根据任务管理需要，自定义用户角色及管理权限，如项目管理员可管理及查看所有任务，普通老师只能查看和自己相关的任务；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、建设任务过程管理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）任务分解：基于任务库，学校可以根据实际业务需要，进行任务的逐级分解，每个上级任务可以分成若干子任务，支持对分解的任务进行审核。</w:t>
                  </w:r>
                </w:p>
                <w:p>
                  <w:pPr>
                    <w:pStyle w:val="null3"/>
                    <w:jc w:val="left"/>
                  </w:pPr>
                  <w:r>
                    <w:rPr>
                      <w:rFonts w:ascii="仿宋_GB2312" w:hAnsi="仿宋_GB2312" w:cs="仿宋_GB2312" w:eastAsia="仿宋_GB2312"/>
                      <w:sz w:val="21"/>
                    </w:rPr>
                    <w:t>上级负责申报任务设定</w:t>
                  </w:r>
                </w:p>
                <w:p>
                  <w:pPr>
                    <w:pStyle w:val="null3"/>
                    <w:jc w:val="left"/>
                  </w:pPr>
                  <w:r>
                    <w:rPr>
                      <w:rFonts w:ascii="仿宋_GB2312" w:hAnsi="仿宋_GB2312" w:cs="仿宋_GB2312" w:eastAsia="仿宋_GB2312"/>
                      <w:sz w:val="21"/>
                    </w:rPr>
                    <w:t>项目负责人对任务进行下发分配，可根据不同任务层级，进行任务分配</w:t>
                  </w:r>
                </w:p>
                <w:p>
                  <w:pPr>
                    <w:pStyle w:val="null3"/>
                    <w:jc w:val="left"/>
                  </w:pPr>
                  <w:r>
                    <w:rPr>
                      <w:rFonts w:ascii="仿宋_GB2312" w:hAnsi="仿宋_GB2312" w:cs="仿宋_GB2312" w:eastAsia="仿宋_GB2312"/>
                      <w:sz w:val="21"/>
                    </w:rPr>
                    <w:t>任务分配完成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任务过程管理：可以设定各种维度筛选条件，方便管理部门，发放任务，支持任务的逐级下发，分解过程，支持定义多层级任务。实现对双高建设任务进行进度把控，随时发起任务提醒，包括任务记录存档，随时追溯，任务成果过的展示和导出。</w:t>
                  </w:r>
                </w:p>
                <w:p>
                  <w:pPr>
                    <w:pStyle w:val="null3"/>
                    <w:jc w:val="left"/>
                  </w:pPr>
                  <w:r>
                    <w:rPr>
                      <w:rFonts w:ascii="仿宋_GB2312" w:hAnsi="仿宋_GB2312" w:cs="仿宋_GB2312" w:eastAsia="仿宋_GB2312"/>
                      <w:sz w:val="21"/>
                    </w:rPr>
                    <w:t>任务逐级分解的过程完成后，各项任务即可完成下放的过程。</w:t>
                  </w:r>
                </w:p>
                <w:p>
                  <w:pPr>
                    <w:pStyle w:val="null3"/>
                    <w:jc w:val="left"/>
                  </w:pPr>
                  <w:r>
                    <w:rPr>
                      <w:rFonts w:ascii="仿宋_GB2312" w:hAnsi="仿宋_GB2312" w:cs="仿宋_GB2312" w:eastAsia="仿宋_GB2312"/>
                      <w:sz w:val="21"/>
                    </w:rPr>
                    <w:t>建设过程中，学校相关负责人部门需要了解上一级分配的任务，并且将任务内容进行拆解并分配到下一级人管管理部门及任务执行部门；双高执行部门需要上报任务完成进度、及时对任务完成进度进行督导、提醒。</w:t>
                  </w:r>
                </w:p>
                <w:p>
                  <w:pPr>
                    <w:pStyle w:val="null3"/>
                    <w:jc w:val="left"/>
                  </w:pPr>
                  <w:r>
                    <w:rPr>
                      <w:rFonts w:ascii="仿宋_GB2312" w:hAnsi="仿宋_GB2312" w:cs="仿宋_GB2312" w:eastAsia="仿宋_GB2312"/>
                      <w:sz w:val="21"/>
                    </w:rPr>
                    <w:t>支持不定期进行任务进度采集，同时也支持子任务完成人任意时间提交任务进度，以便管理部门了解完成的情况。</w:t>
                  </w:r>
                </w:p>
                <w:p>
                  <w:pPr>
                    <w:pStyle w:val="null3"/>
                    <w:jc w:val="left"/>
                  </w:pPr>
                  <w:r>
                    <w:rPr>
                      <w:rFonts w:ascii="仿宋_GB2312" w:hAnsi="仿宋_GB2312" w:cs="仿宋_GB2312" w:eastAsia="仿宋_GB2312"/>
                      <w:sz w:val="21"/>
                    </w:rPr>
                    <w:t>建设任务监测反馈、上一级负责人对于下一级提交的任务结果进行分析、反馈，对于任务进度有问题的部门予以一定监督。</w:t>
                  </w:r>
                </w:p>
                <w:p>
                  <w:pPr>
                    <w:pStyle w:val="null3"/>
                    <w:jc w:val="left"/>
                  </w:pPr>
                  <w:r>
                    <w:rPr>
                      <w:rFonts w:ascii="仿宋_GB2312" w:hAnsi="仿宋_GB2312" w:cs="仿宋_GB2312" w:eastAsia="仿宋_GB2312"/>
                      <w:sz w:val="21"/>
                    </w:rPr>
                    <w:t>任务执行人，提交任务进度、上传佐证材料等。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支持根据定量的任务完成时间，自定义设置督促提醒（预警）如提前一周或三天给任务执行人发送通知提醒；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）支持任务执行人填写任务执行情况，包含资金使用、完成情况报告、佐证材料数量、佐证材料上传、问题改进措施等；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）佐证材料管理：执行人员或相关管理者可以支持上传相关任务佐证材料，支持对佐证材料的在线预览、下载、审核，确保提交数据和内容的的真实性和可靠性。支持批量下载、批量审核操作。</w:t>
                  </w:r>
                </w:p>
                <w:p>
                  <w:pPr>
                    <w:pStyle w:val="null3"/>
                    <w:jc w:val="left"/>
                  </w:pPr>
                  <w:r>
                    <w:rPr>
                      <w:rFonts w:ascii="仿宋_GB2312" w:hAnsi="仿宋_GB2312" w:cs="仿宋_GB2312" w:eastAsia="仿宋_GB2312"/>
                      <w:sz w:val="21"/>
                    </w:rPr>
                    <w:t>建设任务的过程，需要上传很多佐证材料，以便负责人对任务的过程质量把控。</w:t>
                  </w:r>
                </w:p>
                <w:p>
                  <w:pPr>
                    <w:pStyle w:val="null3"/>
                    <w:jc w:val="left"/>
                  </w:pPr>
                  <w:r>
                    <w:rPr>
                      <w:rFonts w:ascii="仿宋_GB2312" w:hAnsi="仿宋_GB2312" w:cs="仿宋_GB2312" w:eastAsia="仿宋_GB2312"/>
                      <w:sz w:val="21"/>
                    </w:rPr>
                    <w:t>支持在线预览佐证材料，支持批量下载。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、建设任务资金管理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）支持根据任务执行人填写的资金使用情况，自动计算剩余资金及资金执行率；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）支持根据定量的任务完成时间或定量的完成指标，对任务执行状态进行标记，如进行中、已完成、已逾期；</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、建设任务绩效管理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）支持按照各级别对绩效指标进行拆解并分配各级指标责任人。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）支持绩效指标关联任务项，并支持联动任务佐证材料。</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、建设任务审核管理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）支持任务执行人提交执行相关信息后，指定人员或默认由上级任务负责人对执行情况进行审批并填写评价意见，审批通过任务状态更新为已完成；</w:t>
                  </w:r>
                </w:p>
                <w:p>
                  <w:pPr>
                    <w:pStyle w:val="null3"/>
                    <w:jc w:val="left"/>
                  </w:pPr>
                  <w:r>
                    <w:rPr>
                      <w:rFonts w:ascii="仿宋_GB2312" w:hAnsi="仿宋_GB2312" w:cs="仿宋_GB2312" w:eastAsia="仿宋_GB2312"/>
                      <w:sz w:val="21"/>
                    </w:rPr>
                    <w:t>支持对任务的提交审批。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）支持任务执行人对已完成的任务提出修改申请，由指定人员审批通过后可进行修改；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）支持在线查看所有任务执行情况及佐证材料或根据字段筛选指定任务查看，支持批量导出</w:t>
                  </w:r>
                  <w:r>
                    <w:rPr>
                      <w:rFonts w:ascii="仿宋_GB2312" w:hAnsi="仿宋_GB2312" w:cs="仿宋_GB2312" w:eastAsia="仿宋_GB2312"/>
                      <w:sz w:val="21"/>
                    </w:rPr>
                    <w:t>excel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）支持根据任务审批情况，对任务当前状态进行标记，如进行中、待审批、已打回、已完成；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）支持任务执行人对已完成的任务提出修改申请，由指定人员审批通过后可进行修改，修改完成再次提交任务审核；</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、建设任务数据统计分析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）针对建设任务进行各维度的可视化展示分析，能实时随着数据的动态变化，支持根据实际建设任务变更，统计分析数据项可以调整展示内容。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）任务数据输出支持，支持对数据进行导出操作，支持筛选导出指定数据或批量导出全部数据，支持导出的数据文件类型为</w:t>
                  </w:r>
                  <w:r>
                    <w:rPr>
                      <w:rFonts w:ascii="仿宋_GB2312" w:hAnsi="仿宋_GB2312" w:cs="仿宋_GB2312" w:eastAsia="仿宋_GB2312"/>
                      <w:sz w:val="21"/>
                    </w:rPr>
                    <w:t>excel</w:t>
                  </w:r>
                  <w:r>
                    <w:rPr>
                      <w:rFonts w:ascii="仿宋_GB2312" w:hAnsi="仿宋_GB2312" w:cs="仿宋_GB2312" w:eastAsia="仿宋_GB2312"/>
                      <w:sz w:val="21"/>
                    </w:rPr>
                    <w:t>，同时保留导出数据的不同版本记录，支持数据共享，根据实际业务需要提供标准数据共享接口。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）根据情况需要，可以支持对进行中或已结项的任务进行数据输出，前台支持数据导出，支持自定义数据导出内容，导出数据保留不同版本导出记录。</w:t>
                  </w:r>
                </w:p>
                <w:p>
                  <w:pPr>
                    <w:pStyle w:val="null3"/>
                    <w:jc w:val="left"/>
                  </w:pPr>
                  <w:r>
                    <w:rPr>
                      <w:rFonts w:ascii="仿宋_GB2312" w:hAnsi="仿宋_GB2312" w:cs="仿宋_GB2312" w:eastAsia="仿宋_GB2312"/>
                      <w:sz w:val="21"/>
                    </w:rPr>
                    <w:t>另外，针对数据，支持数据接口方式提供给学校数据中心等用途。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）支持将任务提交信息中已有的字段信息，以柱状图、饼状图、列表等多种形式进行可视化图表的展示，如任务总体完成概况、未完成项目清单、资金明细等；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、任务管理页设计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）支持根据体验及习惯，选择页面展示的样式，提供可供选择的样式模板至少</w:t>
                  </w:r>
                  <w:r>
                    <w:rPr>
                      <w:rFonts w:ascii="仿宋_GB2312" w:hAnsi="仿宋_GB2312" w:cs="仿宋_GB2312" w:eastAsia="仿宋_GB2312"/>
                      <w:sz w:val="21"/>
                    </w:rPr>
                    <w:t>3</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）支持一键操作开启或关闭显示表单标题，支持对表单的行高度进行自定义设置；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）支持对页面顶部操作按钮管理，可以设定按钮名称、按钮颜色、按钮图标、是否显示状态、排序等。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）支持对页面右侧操作列进行设置，包括最大宽度、按钮名称、显示状态、排序等。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）支持对页面字段显示项设置，包括字段名称、是否支持数据排序、是否可以直接编辑字段内容、字段底色设置、排序等。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）支持设置字段层级在数据列表左侧形成树状导航，并支持通过树状导航进行快捷数据筛选。</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观测指标评价</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观测指标管理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内置新双高建设观测指标。</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支持查看末级指标关联的任务和绩效明细。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新增</w:t>
                  </w:r>
                  <w:r>
                    <w:rPr>
                      <w:rFonts w:ascii="仿宋_GB2312" w:hAnsi="仿宋_GB2312" w:cs="仿宋_GB2312" w:eastAsia="仿宋_GB2312"/>
                      <w:sz w:val="21"/>
                    </w:rPr>
                    <w:t>:</w:t>
                  </w:r>
                  <w:r>
                    <w:rPr>
                      <w:rFonts w:ascii="仿宋_GB2312" w:hAnsi="仿宋_GB2312" w:cs="仿宋_GB2312" w:eastAsia="仿宋_GB2312"/>
                      <w:sz w:val="21"/>
                    </w:rPr>
                    <w:t>支持新增指标，同时支持在当前级别下新增子指标，按照不同指标类型的指标级别创建子指标。</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导入</w:t>
                  </w:r>
                  <w:r>
                    <w:rPr>
                      <w:rFonts w:ascii="仿宋_GB2312" w:hAnsi="仿宋_GB2312" w:cs="仿宋_GB2312" w:eastAsia="仿宋_GB2312"/>
                      <w:sz w:val="21"/>
                    </w:rPr>
                    <w:t>:</w:t>
                  </w:r>
                  <w:r>
                    <w:rPr>
                      <w:rFonts w:ascii="仿宋_GB2312" w:hAnsi="仿宋_GB2312" w:cs="仿宋_GB2312" w:eastAsia="仿宋_GB2312"/>
                      <w:sz w:val="21"/>
                    </w:rPr>
                    <w:t>支持根据系统提供模板批量导入指标数据。</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修改</w:t>
                  </w:r>
                  <w:r>
                    <w:rPr>
                      <w:rFonts w:ascii="仿宋_GB2312" w:hAnsi="仿宋_GB2312" w:cs="仿宋_GB2312" w:eastAsia="仿宋_GB2312"/>
                      <w:sz w:val="21"/>
                    </w:rPr>
                    <w:t>:</w:t>
                  </w:r>
                  <w:r>
                    <w:rPr>
                      <w:rFonts w:ascii="仿宋_GB2312" w:hAnsi="仿宋_GB2312" w:cs="仿宋_GB2312" w:eastAsia="仿宋_GB2312"/>
                      <w:sz w:val="21"/>
                    </w:rPr>
                    <w:t>支持选择指标对内容进行修改。</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删除</w:t>
                  </w:r>
                  <w:r>
                    <w:rPr>
                      <w:rFonts w:ascii="仿宋_GB2312" w:hAnsi="仿宋_GB2312" w:cs="仿宋_GB2312" w:eastAsia="仿宋_GB2312"/>
                      <w:sz w:val="21"/>
                    </w:rPr>
                    <w:t>:</w:t>
                  </w:r>
                  <w:r>
                    <w:rPr>
                      <w:rFonts w:ascii="仿宋_GB2312" w:hAnsi="仿宋_GB2312" w:cs="仿宋_GB2312" w:eastAsia="仿宋_GB2312"/>
                      <w:sz w:val="21"/>
                    </w:rPr>
                    <w:t>支持选择指标，进行删除，支持批量勾选删除数据。</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导出</w:t>
                  </w:r>
                  <w:r>
                    <w:rPr>
                      <w:rFonts w:ascii="仿宋_GB2312" w:hAnsi="仿宋_GB2312" w:cs="仿宋_GB2312" w:eastAsia="仿宋_GB2312"/>
                      <w:sz w:val="21"/>
                    </w:rPr>
                    <w:t>:</w:t>
                  </w:r>
                  <w:r>
                    <w:rPr>
                      <w:rFonts w:ascii="仿宋_GB2312" w:hAnsi="仿宋_GB2312" w:cs="仿宋_GB2312" w:eastAsia="仿宋_GB2312"/>
                      <w:sz w:val="21"/>
                    </w:rPr>
                    <w:t>支持将指标信息，导出为</w:t>
                  </w:r>
                  <w:r>
                    <w:rPr>
                      <w:rFonts w:ascii="仿宋_GB2312" w:hAnsi="仿宋_GB2312" w:cs="仿宋_GB2312" w:eastAsia="仿宋_GB2312"/>
                      <w:sz w:val="21"/>
                    </w:rPr>
                    <w:t>Excel</w:t>
                  </w:r>
                  <w:r>
                    <w:rPr>
                      <w:rFonts w:ascii="仿宋_GB2312" w:hAnsi="仿宋_GB2312" w:cs="仿宋_GB2312" w:eastAsia="仿宋_GB2312"/>
                      <w:sz w:val="21"/>
                    </w:rPr>
                    <w:t>表格；</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观测指标评价</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关联任务评价</w:t>
                  </w:r>
                  <w:r>
                    <w:rPr>
                      <w:rFonts w:ascii="仿宋_GB2312" w:hAnsi="仿宋_GB2312" w:cs="仿宋_GB2312" w:eastAsia="仿宋_GB2312"/>
                      <w:sz w:val="21"/>
                    </w:rPr>
                    <w:t>:</w:t>
                  </w:r>
                  <w:r>
                    <w:rPr>
                      <w:rFonts w:ascii="仿宋_GB2312" w:hAnsi="仿宋_GB2312" w:cs="仿宋_GB2312" w:eastAsia="仿宋_GB2312"/>
                      <w:sz w:val="21"/>
                    </w:rPr>
                    <w:t>支持按照观测指标自定义关联任务明细和任务相关佐证材料，并支持对每条任务进行单独评分和整体指标总评分。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关联绩效分析</w:t>
                  </w:r>
                  <w:r>
                    <w:rPr>
                      <w:rFonts w:ascii="仿宋_GB2312" w:hAnsi="仿宋_GB2312" w:cs="仿宋_GB2312" w:eastAsia="仿宋_GB2312"/>
                      <w:sz w:val="21"/>
                    </w:rPr>
                    <w:t>:</w:t>
                  </w:r>
                  <w:r>
                    <w:rPr>
                      <w:rFonts w:ascii="仿宋_GB2312" w:hAnsi="仿宋_GB2312" w:cs="仿宋_GB2312" w:eastAsia="仿宋_GB2312"/>
                      <w:sz w:val="21"/>
                    </w:rPr>
                    <w:t>支持按照观测指标自定义关联绩效指标明细和绩效相关佐证材料，并支持对每条绩效进行单独评分和整体指标总评分。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观测指标统计</w:t>
                  </w:r>
                </w:p>
                <w:p>
                  <w:pPr>
                    <w:pStyle w:val="null3"/>
                    <w:jc w:val="left"/>
                  </w:pPr>
                  <w:r>
                    <w:rPr>
                      <w:rFonts w:ascii="仿宋_GB2312" w:hAnsi="仿宋_GB2312" w:cs="仿宋_GB2312" w:eastAsia="仿宋_GB2312"/>
                      <w:sz w:val="21"/>
                    </w:rPr>
                    <w:t>支持根据业务的需要，基于评价模块的数据内容进行自定义维度分析；</w:t>
                  </w:r>
                </w:p>
                <w:p>
                  <w:pPr>
                    <w:pStyle w:val="null3"/>
                    <w:jc w:val="left"/>
                  </w:pPr>
                  <w:r>
                    <w:rPr>
                      <w:rFonts w:ascii="仿宋_GB2312" w:hAnsi="仿宋_GB2312" w:cs="仿宋_GB2312" w:eastAsia="仿宋_GB2312"/>
                      <w:sz w:val="21"/>
                    </w:rPr>
                    <w:t>支持自定义模块和样式设置。</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④</w:t>
                  </w:r>
                  <w:r>
                    <w:rPr>
                      <w:rFonts w:ascii="仿宋_GB2312" w:hAnsi="仿宋_GB2312" w:cs="仿宋_GB2312" w:eastAsia="仿宋_GB2312"/>
                      <w:sz w:val="21"/>
                    </w:rPr>
                    <w:t>专业建设管理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专业建设任务管理：支持自上而下发起专业建设任务，编辑完专业相关信息之后选择专业版本年级后即可发起建设任务到指定负责人，其中专业负责人支持添加多个人共同建设管理。</w:t>
                  </w:r>
                </w:p>
                <w:p>
                  <w:pPr>
                    <w:pStyle w:val="null3"/>
                    <w:numPr>
                      <w:ilvl w:val="0"/>
                      <w:numId w:val="1"/>
                    </w:numPr>
                    <w:jc w:val="left"/>
                  </w:pPr>
                  <w:r>
                    <w:rPr>
                      <w:rFonts w:ascii="仿宋_GB2312" w:hAnsi="仿宋_GB2312" w:cs="仿宋_GB2312" w:eastAsia="仿宋_GB2312"/>
                      <w:sz w:val="21"/>
                    </w:rPr>
                    <w:t>专业任务下发后，支持负责人创建工作台，</w:t>
                  </w:r>
                  <w:r>
                    <w:rPr>
                      <w:rFonts w:ascii="仿宋_GB2312" w:hAnsi="仿宋_GB2312" w:cs="仿宋_GB2312" w:eastAsia="仿宋_GB2312"/>
                      <w:sz w:val="21"/>
                    </w:rPr>
                    <w:t>能</w:t>
                  </w:r>
                  <w:r>
                    <w:rPr>
                      <w:rFonts w:ascii="仿宋_GB2312" w:hAnsi="仿宋_GB2312" w:cs="仿宋_GB2312" w:eastAsia="仿宋_GB2312"/>
                      <w:sz w:val="21"/>
                    </w:rPr>
                    <w:t>对专业建设任务工作台</w:t>
                  </w:r>
                  <w:r>
                    <w:rPr>
                      <w:rFonts w:ascii="仿宋_GB2312" w:hAnsi="仿宋_GB2312" w:cs="仿宋_GB2312" w:eastAsia="仿宋_GB2312"/>
                      <w:sz w:val="21"/>
                    </w:rPr>
                    <w:t>进行</w:t>
                  </w:r>
                  <w:r>
                    <w:rPr>
                      <w:rFonts w:ascii="仿宋_GB2312" w:hAnsi="仿宋_GB2312" w:cs="仿宋_GB2312" w:eastAsia="仿宋_GB2312"/>
                      <w:sz w:val="21"/>
                    </w:rPr>
                    <w:t>搭建和管理。</w:t>
                  </w:r>
                </w:p>
                <w:p>
                  <w:pPr>
                    <w:pStyle w:val="null3"/>
                    <w:numPr>
                      <w:ilvl w:val="0"/>
                      <w:numId w:val="1"/>
                    </w:numPr>
                    <w:jc w:val="left"/>
                  </w:pPr>
                  <w:r>
                    <w:rPr>
                      <w:rFonts w:ascii="仿宋_GB2312" w:hAnsi="仿宋_GB2312" w:cs="仿宋_GB2312" w:eastAsia="仿宋_GB2312"/>
                      <w:sz w:val="21"/>
                    </w:rPr>
                    <w:t>提供专业化工作台，为专业负责人开展专业调研、专业建设等工作提供全面支撑。具体功能包括：支持查看对应专业的岗位能力模型，为专业建设方向提供参考；维护专业知识库时，可直接从该专业对应的网络课程中一键拉取内容并添加，提升知识库更新效率；专业智能体与对应网络课程的知识库直接关联，借助网络课程资源，实现智能体对专业问题的高效答疑解惑，形成</w:t>
                  </w:r>
                  <w:r>
                    <w:rPr>
                      <w:rFonts w:ascii="仿宋_GB2312" w:hAnsi="仿宋_GB2312" w:cs="仿宋_GB2312" w:eastAsia="仿宋_GB2312"/>
                      <w:sz w:val="21"/>
                    </w:rPr>
                    <w:t xml:space="preserve">“课程资源 </w:t>
                  </w:r>
                  <w:r>
                    <w:rPr>
                      <w:rFonts w:ascii="仿宋_GB2312" w:hAnsi="仿宋_GB2312" w:cs="仿宋_GB2312" w:eastAsia="仿宋_GB2312"/>
                      <w:sz w:val="21"/>
                    </w:rPr>
                    <w:t xml:space="preserve">- </w:t>
                  </w:r>
                  <w:r>
                    <w:rPr>
                      <w:rFonts w:ascii="仿宋_GB2312" w:hAnsi="仿宋_GB2312" w:cs="仿宋_GB2312" w:eastAsia="仿宋_GB2312"/>
                      <w:sz w:val="21"/>
                    </w:rPr>
                    <w:t xml:space="preserve">知识库 </w:t>
                  </w:r>
                  <w:r>
                    <w:rPr>
                      <w:rFonts w:ascii="仿宋_GB2312" w:hAnsi="仿宋_GB2312" w:cs="仿宋_GB2312" w:eastAsia="仿宋_GB2312"/>
                      <w:sz w:val="21"/>
                    </w:rPr>
                    <w:t xml:space="preserve">- </w:t>
                  </w:r>
                  <w:r>
                    <w:rPr>
                      <w:rFonts w:ascii="仿宋_GB2312" w:hAnsi="仿宋_GB2312" w:cs="仿宋_GB2312" w:eastAsia="仿宋_GB2312"/>
                      <w:sz w:val="21"/>
                    </w:rPr>
                    <w:t>智能答疑” 的联动支撑体系。</w:t>
                  </w:r>
                </w:p>
                <w:p>
                  <w:pPr>
                    <w:pStyle w:val="null3"/>
                    <w:numPr>
                      <w:ilvl w:val="0"/>
                      <w:numId w:val="1"/>
                    </w:numPr>
                    <w:jc w:val="left"/>
                  </w:pPr>
                  <w:r>
                    <w:rPr>
                      <w:rFonts w:ascii="仿宋_GB2312" w:hAnsi="仿宋_GB2312" w:cs="仿宋_GB2312" w:eastAsia="仿宋_GB2312"/>
                      <w:sz w:val="21"/>
                    </w:rPr>
                    <w:t>专业负责人可对于本专业的调研数据、人才培养方案、图谱等进行在线管理。</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⑤任务数据可视化</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大数据动态监测大屏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）支持根据业务的需要，创建任务维度、绩效维度、资金维度、成果维度等场景大数据屏；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）支持修改数字滚动、文本、图片、表格、饼图、柱状图、折线图等组件模块的静态数据；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）模块数据内容支持对接标准接口规范的外部数据源；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）提供包含专题和课程的资源库，用于表格、轮播图类模块数据的添加；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表格、轮播图等模块，本地数据管理支持批量导入、数据导出、多级分类管理、动态字段、置顶、发布、排序、批量编辑、关键词数据筛选；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）应用模块支持随时、自主在各应用的设置后台进行内容管理，添加、编辑、删除应用的内容；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）支持各应用的相关设置实时更新到页面上；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）支持列表应用创建多级分类，分类可自定义编辑详情或者跳转外链；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）支持业务数据，直接对接表单、图表引擎相关数据；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）支持对接数据中台数据源数据；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）支持多种图表组件，饼图、柱状图、折线图多种样式选择；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）支持图表组件中各个模块的单独设置，如图表颜色、背景、边框等；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）支持展示学校双高建设各维度数据，包括（但不限于）建设任务数、任务建设状态分布、任务资金分布、绩效完成情况等。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大数据管理端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）支持创建多场景大屏；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）支持随时根据需求对已建大屏进行修改编辑及删除；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）支持大屏挂接自有域名；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）支持设置大屏访问权限为无需权限和需登录后访问；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）支持大屏自定义一种或多种登录方式，包含手机号登录密码登录、手机号验证码登录、账号密码登录、第三方统一认证登录等方式；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）支持设置大屏</w:t>
                  </w:r>
                  <w:r>
                    <w:rPr>
                      <w:rFonts w:ascii="仿宋_GB2312" w:hAnsi="仿宋_GB2312" w:cs="仿宋_GB2312" w:eastAsia="仿宋_GB2312"/>
                      <w:sz w:val="21"/>
                    </w:rPr>
                    <w:t>IP</w:t>
                  </w:r>
                  <w:r>
                    <w:rPr>
                      <w:rFonts w:ascii="仿宋_GB2312" w:hAnsi="仿宋_GB2312" w:cs="仿宋_GB2312" w:eastAsia="仿宋_GB2312"/>
                      <w:sz w:val="21"/>
                    </w:rPr>
                    <w:t>白名单；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）支持调整大屏播放顺序，支持手动翻页或自动翻页模块，自定义自动翻页时间；</w:t>
                  </w:r>
                </w:p>
                <w:p>
                  <w:pPr>
                    <w:pStyle w:val="null3"/>
                    <w:jc w:val="left"/>
                  </w:pPr>
                  <w:r>
                    <w:rPr>
                      <w:rFonts w:ascii="仿宋_GB2312" w:hAnsi="仿宋_GB2312" w:cs="仿宋_GB2312" w:eastAsia="仿宋_GB2312"/>
                      <w:sz w:val="21"/>
                    </w:rPr>
                    <w:t>权限管理：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）支持自主添加管理员；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）支持按照大屏页面独立设置编辑和管理权限，权限范围精确到具体的页面；</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⑥个人空</w:t>
                  </w:r>
                  <w:r>
                    <w:rPr>
                      <w:rFonts w:ascii="仿宋_GB2312" w:hAnsi="仿宋_GB2312" w:cs="仿宋_GB2312" w:eastAsia="仿宋_GB2312"/>
                      <w:sz w:val="21"/>
                    </w:rPr>
                    <w:t>间及工作台管理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系统对每个角色可以灵活定义个人空间，并能够按照个人业务调整空间功能模块和应用的灵活配置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）教师空间：教师登录空间，能接收，执行自己双高建设任务，拥有个人工作台，查询自己相关应用。收发站内信函，能直接进行课程教学，与学习平台无缝对接。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）双高管理员</w:t>
                  </w:r>
                  <w:r>
                    <w:rPr>
                      <w:rFonts w:ascii="仿宋_GB2312" w:hAnsi="仿宋_GB2312" w:cs="仿宋_GB2312" w:eastAsia="仿宋_GB2312"/>
                      <w:sz w:val="21"/>
                    </w:rPr>
                    <w:t>/</w:t>
                  </w:r>
                  <w:r>
                    <w:rPr>
                      <w:rFonts w:ascii="仿宋_GB2312" w:hAnsi="仿宋_GB2312" w:cs="仿宋_GB2312" w:eastAsia="仿宋_GB2312"/>
                      <w:sz w:val="21"/>
                    </w:rPr>
                    <w:t>专业主任（二级管理员）等角色，支持直接在空间进行建设任务发放，查询相关进度等。</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⑦系统管</w:t>
                  </w:r>
                  <w:r>
                    <w:rPr>
                      <w:rFonts w:ascii="仿宋_GB2312" w:hAnsi="仿宋_GB2312" w:cs="仿宋_GB2312" w:eastAsia="仿宋_GB2312"/>
                      <w:sz w:val="21"/>
                    </w:rPr>
                    <w:t>理模块</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应用管理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）自定义分类：可以给系统应用或自建应用等进行自定分类，支持按主题、按角色、按标签等方式，方便管理。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）排序：可以对分类的应用进行类型排序，应用排序，便捷移动。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）按角色配应用：支持针对角色，批量配置相关应用，同时支持针对不同的应用，配置不同的角色，包括不同角色权限分配管理。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）添加应用：支持应用市场、自建应用、应用引擎等多种应用添加模式，应用管理可以为专业群建设需要添加所需的应用，提供一个单位应用市场。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）支持针对学校实际需求，可以通过系统提供不同的引擎类型进行自建应用，包含表单、审批、图表、报告、报表、资讯采集等应用类型引擎。支持通过自建方式对接第三方应用。</w:t>
                  </w:r>
                </w:p>
                <w:p>
                  <w:pPr>
                    <w:pStyle w:val="null3"/>
                    <w:jc w:val="left"/>
                  </w:pPr>
                  <w:r>
                    <w:rPr>
                      <w:rFonts w:ascii="仿宋_GB2312" w:hAnsi="仿宋_GB2312" w:cs="仿宋_GB2312" w:eastAsia="仿宋_GB2312"/>
                      <w:sz w:val="21"/>
                    </w:rPr>
                    <w:t>双高管理员进入应用管理后，可以通过应用市场和自建应用两种方式来添加管理本单位应用。在添加好所需应用后，可以自定义应用分类，同时满足双高对应用分类和应用进行增加、删除和修改；也支持对单个应用修改基本信息、设置可见范围、设置二级管理员；另外，管理员也可以从应用管理直接进入每个应用的后台。设置完成后，可以通过终端管理中学校空间配置和移动端配置调整应用显示顺序及效果，已达到预期的界面效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）支持给应用设置配置不同终端，包括应用</w:t>
                  </w:r>
                  <w:r>
                    <w:rPr>
                      <w:rFonts w:ascii="仿宋_GB2312" w:hAnsi="仿宋_GB2312" w:cs="仿宋_GB2312" w:eastAsia="仿宋_GB2312"/>
                      <w:sz w:val="21"/>
                    </w:rPr>
                    <w:t>pc</w:t>
                  </w:r>
                  <w:r>
                    <w:rPr>
                      <w:rFonts w:ascii="仿宋_GB2312" w:hAnsi="仿宋_GB2312" w:cs="仿宋_GB2312" w:eastAsia="仿宋_GB2312"/>
                      <w:sz w:val="21"/>
                    </w:rPr>
                    <w:t>、应用移动、应用后台、访问统计、配置对应管理角色、支持设置是否可通过邀请码进入应用等。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用户管理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）用户管理：</w:t>
                  </w:r>
                </w:p>
                <w:p>
                  <w:pPr>
                    <w:pStyle w:val="null3"/>
                    <w:jc w:val="left"/>
                  </w:pPr>
                  <w:r>
                    <w:rPr>
                      <w:rFonts w:ascii="仿宋_GB2312" w:hAnsi="仿宋_GB2312" w:cs="仿宋_GB2312" w:eastAsia="仿宋_GB2312"/>
                      <w:sz w:val="21"/>
                    </w:rPr>
                    <w:t>满足支持批量导入教师、学生等账号，同时支持对账号进行编辑修改以及删除等操作，支持与我校已有教学平台用户能实时同步，同时可以支持与我校单点认证平台对接。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）角色管理：支持根据双高的建设管理需要，进行自定义角色维护，包括教师、学生、专业带头人、专业群带头人、校领导等角色，支持对角色删改增，人员管理等。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）角色管理权限配置：支持给角色进行应用权限设定，包括前台权限、后台权限，支持给对应权限添加应用。支持给角色进行人员管理，包括添加人员、导入、导出、批量设置管理范围等。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）组织架构管理：支持构建本单位的组织架构树，可单个、批量增加、删除、修改、查找用户信息。支持设置部门主管、支持部门设置子部门等。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）管理员设置：支持添加多位管理员共同管理系统，可自定义管理员角色并为不同的管理员角色赋予不同的权限。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系统设置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）展示单位名称，所属地区等信息。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）管理员操作日志管理，查询日志记录，包含管理员姓名、</w:t>
                  </w:r>
                  <w:r>
                    <w:rPr>
                      <w:rFonts w:ascii="仿宋_GB2312" w:hAnsi="仿宋_GB2312" w:cs="仿宋_GB2312" w:eastAsia="仿宋_GB2312"/>
                      <w:sz w:val="21"/>
                    </w:rPr>
                    <w:t>id</w:t>
                  </w:r>
                  <w:r>
                    <w:rPr>
                      <w:rFonts w:ascii="仿宋_GB2312" w:hAnsi="仿宋_GB2312" w:cs="仿宋_GB2312" w:eastAsia="仿宋_GB2312"/>
                      <w:sz w:val="21"/>
                    </w:rPr>
                    <w:t>信息，操作时间，修改模块，操作备注、</w:t>
                  </w:r>
                  <w:r>
                    <w:rPr>
                      <w:rFonts w:ascii="仿宋_GB2312" w:hAnsi="仿宋_GB2312" w:cs="仿宋_GB2312" w:eastAsia="仿宋_GB2312"/>
                      <w:sz w:val="21"/>
                    </w:rPr>
                    <w:t>ip</w:t>
                  </w:r>
                  <w:r>
                    <w:rPr>
                      <w:rFonts w:ascii="仿宋_GB2312" w:hAnsi="仿宋_GB2312" w:cs="仿宋_GB2312" w:eastAsia="仿宋_GB2312"/>
                      <w:sz w:val="21"/>
                    </w:rPr>
                    <w:t>地址等信息；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）业务系统界面配置，根据不同角色，配置不同后台，包含地址信息、角色名称、自定义菜单、菜单配置、权限配置等。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）移动端权限管理：支持对移动端应用做开关设置，包括云盘权限、笔记权限、小组权限、通讯录权限等。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）可以在移动客户端选择给指定的人发送通知，并统计已读和未读名单。并与</w:t>
                  </w:r>
                  <w:r>
                    <w:rPr>
                      <w:rFonts w:ascii="仿宋_GB2312" w:hAnsi="仿宋_GB2312" w:cs="仿宋_GB2312" w:eastAsia="仿宋_GB2312"/>
                      <w:sz w:val="21"/>
                    </w:rPr>
                    <w:t>pc</w:t>
                  </w:r>
                  <w:r>
                    <w:rPr>
                      <w:rFonts w:ascii="仿宋_GB2312" w:hAnsi="仿宋_GB2312" w:cs="仿宋_GB2312" w:eastAsia="仿宋_GB2312"/>
                      <w:sz w:val="21"/>
                    </w:rPr>
                    <w:t>端无缝对接。针对未读通知，</w:t>
                  </w:r>
                  <w:r>
                    <w:rPr>
                      <w:rFonts w:ascii="仿宋_GB2312" w:hAnsi="仿宋_GB2312" w:cs="仿宋_GB2312" w:eastAsia="仿宋_GB2312"/>
                      <w:sz w:val="21"/>
                    </w:rPr>
                    <w:t>需支持</w:t>
                  </w:r>
                  <w:r>
                    <w:rPr>
                      <w:rFonts w:ascii="仿宋_GB2312" w:hAnsi="仿宋_GB2312" w:cs="仿宋_GB2312" w:eastAsia="仿宋_GB2312"/>
                      <w:sz w:val="21"/>
                    </w:rPr>
                    <w:t>短信提醒、电话提醒、微信提醒等提醒方式</w:t>
                  </w:r>
                  <w:r>
                    <w:rPr>
                      <w:rFonts w:ascii="仿宋_GB2312" w:hAnsi="仿宋_GB2312" w:cs="仿宋_GB2312" w:eastAsia="仿宋_GB2312"/>
                      <w:sz w:val="21"/>
                    </w:rPr>
                    <w:t>。</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1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专业建设平台</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专业调研</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岗位能力模型</w:t>
                  </w:r>
                </w:p>
                <w:p>
                  <w:pPr>
                    <w:pStyle w:val="null3"/>
                    <w:numPr>
                      <w:ilvl w:val="0"/>
                      <w:numId w:val="1"/>
                    </w:numPr>
                    <w:jc w:val="left"/>
                  </w:pPr>
                  <w:r>
                    <w:rPr>
                      <w:rFonts w:ascii="仿宋_GB2312" w:hAnsi="仿宋_GB2312" w:cs="仿宋_GB2312" w:eastAsia="仿宋_GB2312"/>
                      <w:sz w:val="21"/>
                    </w:rPr>
                    <w:t>支持查看专业相关信息，可按照职业教育专业大类进行筛选，</w:t>
                  </w:r>
                  <w:r>
                    <w:rPr>
                      <w:rFonts w:ascii="仿宋_GB2312" w:hAnsi="仿宋_GB2312" w:cs="仿宋_GB2312" w:eastAsia="仿宋_GB2312"/>
                      <w:sz w:val="21"/>
                    </w:rPr>
                    <w:t>提供</w:t>
                  </w:r>
                  <w:r>
                    <w:rPr>
                      <w:rFonts w:ascii="仿宋_GB2312" w:hAnsi="仿宋_GB2312" w:cs="仿宋_GB2312" w:eastAsia="仿宋_GB2312"/>
                      <w:sz w:val="21"/>
                    </w:rPr>
                    <w:t>本院</w:t>
                  </w:r>
                  <w:r>
                    <w:rPr>
                      <w:rFonts w:ascii="仿宋_GB2312" w:hAnsi="仿宋_GB2312" w:cs="仿宋_GB2312" w:eastAsia="仿宋_GB2312"/>
                      <w:sz w:val="21"/>
                    </w:rPr>
                    <w:t>包含农林牧渔等</w:t>
                  </w:r>
                  <w:r>
                    <w:rPr>
                      <w:rFonts w:ascii="仿宋_GB2312" w:hAnsi="仿宋_GB2312" w:cs="仿宋_GB2312" w:eastAsia="仿宋_GB2312"/>
                      <w:sz w:val="21"/>
                    </w:rPr>
                    <w:t>19</w:t>
                  </w:r>
                  <w:r>
                    <w:rPr>
                      <w:rFonts w:ascii="仿宋_GB2312" w:hAnsi="仿宋_GB2312" w:cs="仿宋_GB2312" w:eastAsia="仿宋_GB2312"/>
                      <w:sz w:val="21"/>
                    </w:rPr>
                    <w:t>个专业大类相关数据。同时，结</w:t>
                  </w:r>
                  <w:r>
                    <w:rPr>
                      <w:rFonts w:ascii="仿宋_GB2312" w:hAnsi="仿宋_GB2312" w:cs="仿宋_GB2312" w:eastAsia="仿宋_GB2312"/>
                      <w:sz w:val="21"/>
                    </w:rPr>
                    <w:t>合大数据分析，提取了国内热门专业、高薪专业、热门区域</w:t>
                  </w:r>
                  <w:r>
                    <w:rPr>
                      <w:rFonts w:ascii="仿宋_GB2312" w:hAnsi="仿宋_GB2312" w:cs="仿宋_GB2312" w:eastAsia="仿宋_GB2312"/>
                      <w:sz w:val="21"/>
                    </w:rPr>
                    <w:t>TOP5</w:t>
                  </w:r>
                  <w:r>
                    <w:rPr>
                      <w:rFonts w:ascii="仿宋_GB2312" w:hAnsi="仿宋_GB2312" w:cs="仿宋_GB2312" w:eastAsia="仿宋_GB2312"/>
                      <w:sz w:val="21"/>
                    </w:rPr>
                    <w:t>、热门行业</w:t>
                  </w:r>
                  <w:r>
                    <w:rPr>
                      <w:rFonts w:ascii="仿宋_GB2312" w:hAnsi="仿宋_GB2312" w:cs="仿宋_GB2312" w:eastAsia="仿宋_GB2312"/>
                      <w:sz w:val="21"/>
                    </w:rPr>
                    <w:t>TOP5</w:t>
                  </w:r>
                  <w:r>
                    <w:rPr>
                      <w:rFonts w:ascii="仿宋_GB2312" w:hAnsi="仿宋_GB2312" w:cs="仿宋_GB2312" w:eastAsia="仿宋_GB2312"/>
                      <w:sz w:val="21"/>
                    </w:rPr>
                    <w:t>、热门企业</w:t>
                  </w:r>
                  <w:r>
                    <w:rPr>
                      <w:rFonts w:ascii="仿宋_GB2312" w:hAnsi="仿宋_GB2312" w:cs="仿宋_GB2312" w:eastAsia="仿宋_GB2312"/>
                      <w:sz w:val="21"/>
                    </w:rPr>
                    <w:t>TOP5</w:t>
                  </w:r>
                  <w:r>
                    <w:rPr>
                      <w:rFonts w:ascii="仿宋_GB2312" w:hAnsi="仿宋_GB2312" w:cs="仿宋_GB2312" w:eastAsia="仿宋_GB2312"/>
                      <w:sz w:val="21"/>
                    </w:rPr>
                    <w:t>等数据。</w:t>
                  </w:r>
                </w:p>
                <w:p>
                  <w:pPr>
                    <w:pStyle w:val="null3"/>
                    <w:numPr>
                      <w:ilvl w:val="0"/>
                      <w:numId w:val="1"/>
                    </w:numPr>
                    <w:jc w:val="left"/>
                  </w:pPr>
                  <w:r>
                    <w:rPr>
                      <w:rFonts w:ascii="仿宋_GB2312" w:hAnsi="仿宋_GB2312" w:cs="仿宋_GB2312" w:eastAsia="仿宋_GB2312"/>
                      <w:sz w:val="21"/>
                    </w:rPr>
                    <w:t>支持</w:t>
                  </w:r>
                  <w:r>
                    <w:rPr>
                      <w:rFonts w:ascii="仿宋_GB2312" w:hAnsi="仿宋_GB2312" w:cs="仿宋_GB2312" w:eastAsia="仿宋_GB2312"/>
                      <w:sz w:val="21"/>
                    </w:rPr>
                    <w:t>提供各相关专业的专业介绍、职业教育专业教学标准、专业证书、典型工作岗位、相关企业等。</w:t>
                  </w:r>
                </w:p>
                <w:p>
                  <w:pPr>
                    <w:pStyle w:val="null3"/>
                    <w:numPr>
                      <w:ilvl w:val="0"/>
                      <w:numId w:val="1"/>
                    </w:numPr>
                    <w:jc w:val="left"/>
                  </w:pPr>
                  <w:r>
                    <w:rPr>
                      <w:rFonts w:ascii="仿宋_GB2312" w:hAnsi="仿宋_GB2312" w:cs="仿宋_GB2312" w:eastAsia="仿宋_GB2312"/>
                      <w:sz w:val="21"/>
                    </w:rPr>
                    <w:t>围绕本专业需求分析，展示当前专业人才招聘需求占比，指定省份招聘需求占比，其中区块颜色根据需求量进行变化，支持单独点亮人数规模对应区块。也支持按照学历或者经验进行分析占比。</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对于某个专业，综合大数据分析展示本专业对应的产业及行业方向，数据支持个性化图表展示，同时展示该行业对应相关岗位。</w:t>
                  </w:r>
                </w:p>
                <w:p>
                  <w:pPr>
                    <w:pStyle w:val="null3"/>
                    <w:numPr>
                      <w:ilvl w:val="0"/>
                      <w:numId w:val="1"/>
                    </w:numPr>
                    <w:jc w:val="left"/>
                  </w:pPr>
                  <w:r>
                    <w:rPr>
                      <w:rFonts w:ascii="仿宋_GB2312" w:hAnsi="仿宋_GB2312" w:cs="仿宋_GB2312" w:eastAsia="仿宋_GB2312"/>
                      <w:sz w:val="21"/>
                    </w:rPr>
                    <w:t>对于某个专业，提供产业趋势分析，通过大数据分析提供参考数据，如产业需求趋势、技能趋势预测、岗位需求分析预测、院校开设情况、招生趋势、应届生薪资趋势。</w:t>
                  </w:r>
                </w:p>
                <w:p>
                  <w:pPr>
                    <w:pStyle w:val="null3"/>
                    <w:numPr>
                      <w:ilvl w:val="0"/>
                      <w:numId w:val="1"/>
                    </w:numPr>
                    <w:jc w:val="left"/>
                  </w:pPr>
                  <w:r>
                    <w:rPr>
                      <w:rFonts w:ascii="仿宋_GB2312" w:hAnsi="仿宋_GB2312" w:cs="仿宋_GB2312" w:eastAsia="仿宋_GB2312"/>
                      <w:sz w:val="21"/>
                    </w:rPr>
                    <w:t>对于某个岗位，支持按地区、按行业类型、按企业类型查看岗位信息，包括岗位需求数量、平均薪资、岗位能力要求、经验要求、学历要求等。其中，岗位能力</w:t>
                  </w:r>
                  <w:r>
                    <w:rPr>
                      <w:rFonts w:ascii="仿宋_GB2312" w:hAnsi="仿宋_GB2312" w:cs="仿宋_GB2312" w:eastAsia="仿宋_GB2312"/>
                      <w:sz w:val="21"/>
                    </w:rPr>
                    <w:t>能够</w:t>
                  </w:r>
                  <w:r>
                    <w:rPr>
                      <w:rFonts w:ascii="仿宋_GB2312" w:hAnsi="仿宋_GB2312" w:cs="仿宋_GB2312" w:eastAsia="仿宋_GB2312"/>
                      <w:sz w:val="21"/>
                    </w:rPr>
                    <w:t>以词云形式，展示该岗位对专业人才的能力需求，并以列表形式，对各项能力的需求占比进行排名。</w:t>
                  </w:r>
                </w:p>
                <w:p>
                  <w:pPr>
                    <w:pStyle w:val="null3"/>
                    <w:numPr>
                      <w:ilvl w:val="0"/>
                      <w:numId w:val="1"/>
                    </w:numPr>
                    <w:jc w:val="left"/>
                  </w:pPr>
                  <w:r>
                    <w:rPr>
                      <w:rFonts w:ascii="仿宋_GB2312" w:hAnsi="仿宋_GB2312" w:cs="仿宋_GB2312" w:eastAsia="仿宋_GB2312"/>
                      <w:sz w:val="21"/>
                    </w:rPr>
                    <w:t>岗位能力需求分析中支持按岗位招聘溯源查看原始招聘网站招聘信息。支持通过大模型自动抽取岗位招聘信息为岗位能力要求并可对比展示。</w:t>
                  </w:r>
                </w:p>
                <w:p>
                  <w:pPr>
                    <w:pStyle w:val="null3"/>
                    <w:numPr>
                      <w:ilvl w:val="0"/>
                      <w:numId w:val="1"/>
                    </w:numPr>
                    <w:jc w:val="left"/>
                  </w:pPr>
                  <w:r>
                    <w:rPr>
                      <w:rFonts w:ascii="仿宋_GB2312" w:hAnsi="仿宋_GB2312" w:cs="仿宋_GB2312" w:eastAsia="仿宋_GB2312"/>
                      <w:sz w:val="21"/>
                    </w:rPr>
                    <w:t>支持按行业类型、企业类型对区域岗位进行分析，展示区域岗位的岗位需求人数和平均薪资，并对城市需求人数以及城市平均薪资进行排名。</w:t>
                  </w:r>
                </w:p>
                <w:p>
                  <w:pPr>
                    <w:pStyle w:val="null3"/>
                    <w:numPr>
                      <w:ilvl w:val="0"/>
                      <w:numId w:val="1"/>
                    </w:numPr>
                    <w:jc w:val="left"/>
                  </w:pPr>
                  <w:r>
                    <w:rPr>
                      <w:rFonts w:ascii="仿宋_GB2312" w:hAnsi="仿宋_GB2312" w:cs="仿宋_GB2312" w:eastAsia="仿宋_GB2312"/>
                      <w:sz w:val="21"/>
                    </w:rPr>
                    <w:t>用色块的颜色和大小来展示岗位相关的行业分布，并在色块中标注招聘的需求量。同时支持展示不同企业规模、企业类型在行业中的占比。</w:t>
                  </w:r>
                </w:p>
                <w:p>
                  <w:pPr>
                    <w:pStyle w:val="null3"/>
                    <w:numPr>
                      <w:ilvl w:val="0"/>
                      <w:numId w:val="1"/>
                    </w:numPr>
                    <w:jc w:val="left"/>
                  </w:pPr>
                  <w:r>
                    <w:rPr>
                      <w:rFonts w:ascii="仿宋_GB2312" w:hAnsi="仿宋_GB2312" w:cs="仿宋_GB2312" w:eastAsia="仿宋_GB2312"/>
                      <w:sz w:val="21"/>
                    </w:rPr>
                    <w:t>可以在岗位薪资分析中，按不同地区、不同行业类型查看岗位分析。支持薪资分析中查看薪资的区间分布以及人才经验、学历对薪资的影响。</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岗位调研管理</w:t>
                  </w:r>
                </w:p>
                <w:p>
                  <w:pPr>
                    <w:pStyle w:val="null3"/>
                    <w:numPr>
                      <w:ilvl w:val="0"/>
                      <w:numId w:val="1"/>
                    </w:numPr>
                    <w:jc w:val="left"/>
                  </w:pPr>
                  <w:r>
                    <w:rPr>
                      <w:rFonts w:ascii="仿宋_GB2312" w:hAnsi="仿宋_GB2312" w:cs="仿宋_GB2312" w:eastAsia="仿宋_GB2312"/>
                      <w:sz w:val="21"/>
                    </w:rPr>
                    <w:t>基于调研需求，支持搭建个性化数据采集工具，协助开展相关人才培养质量调研表的搭建采集。</w:t>
                  </w:r>
                </w:p>
                <w:p>
                  <w:pPr>
                    <w:pStyle w:val="null3"/>
                    <w:numPr>
                      <w:ilvl w:val="0"/>
                      <w:numId w:val="1"/>
                    </w:numPr>
                    <w:jc w:val="left"/>
                  </w:pPr>
                  <w:r>
                    <w:rPr>
                      <w:rFonts w:ascii="仿宋_GB2312" w:hAnsi="仿宋_GB2312" w:cs="仿宋_GB2312" w:eastAsia="仿宋_GB2312"/>
                      <w:sz w:val="21"/>
                    </w:rPr>
                    <w:t>调研报表生成支持多终端填写入口，其中</w:t>
                  </w:r>
                  <w:r>
                    <w:rPr>
                      <w:rFonts w:ascii="仿宋_GB2312" w:hAnsi="仿宋_GB2312" w:cs="仿宋_GB2312" w:eastAsia="仿宋_GB2312"/>
                      <w:sz w:val="21"/>
                    </w:rPr>
                    <w:t>PC</w:t>
                  </w:r>
                  <w:r>
                    <w:rPr>
                      <w:rFonts w:ascii="仿宋_GB2312" w:hAnsi="仿宋_GB2312" w:cs="仿宋_GB2312" w:eastAsia="仿宋_GB2312"/>
                      <w:sz w:val="21"/>
                    </w:rPr>
                    <w:t>端可通过点击链接直接填写，移动端可扫码进行数据填写，其中可支持免登录填写或登陆后填写。</w:t>
                  </w:r>
                </w:p>
                <w:p>
                  <w:pPr>
                    <w:pStyle w:val="null3"/>
                    <w:numPr>
                      <w:ilvl w:val="0"/>
                      <w:numId w:val="1"/>
                    </w:numPr>
                    <w:jc w:val="left"/>
                  </w:pPr>
                  <w:r>
                    <w:rPr>
                      <w:rFonts w:ascii="仿宋_GB2312" w:hAnsi="仿宋_GB2312" w:cs="仿宋_GB2312" w:eastAsia="仿宋_GB2312"/>
                      <w:sz w:val="21"/>
                    </w:rPr>
                    <w:t>可基于本地已有调研资料直接生成相关分析报告，可输入生成要求或图表要求，生成前支持选择对应大模型。</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岗位支撑分析，系统抽取当前专业人培方案内容进行分析，同时可同步上传补充材料；专业负责人可基于系统推荐的相关岗位进行选择，添加岗位时支持专业关键数据匹配或能力模型匹配。最终输出该专业对应岗位的支持情况，基于不同色块显示支持情况。</w:t>
                  </w:r>
                </w:p>
                <w:p>
                  <w:pPr>
                    <w:pStyle w:val="null3"/>
                    <w:numPr>
                      <w:ilvl w:val="0"/>
                      <w:numId w:val="1"/>
                    </w:numPr>
                    <w:jc w:val="left"/>
                  </w:pPr>
                  <w:r>
                    <w:rPr>
                      <w:rFonts w:ascii="仿宋_GB2312" w:hAnsi="仿宋_GB2312" w:cs="仿宋_GB2312" w:eastAsia="仿宋_GB2312"/>
                      <w:sz w:val="21"/>
                    </w:rPr>
                    <w:t>分析报告，支持专业负责人新建专业报告，可选择专业、区域等相关信息后即可完成报告的创建，输出报告前可进行模版的设定、大模型的选择、生成要求的提供，最终输出的报告包含图文、图表等总结性信息，支持导出为本地文档。</w:t>
                  </w:r>
                </w:p>
              </w:tc>
              <w:tc>
                <w:tcPr>
                  <w:tcW w:type="dxa" w:w="1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人培方案管理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基础数据管理，能够灵活管理基础数据表，包括院系表、课程表、专业表等，</w:t>
                  </w:r>
                  <w:r>
                    <w:rPr>
                      <w:rFonts w:ascii="仿宋_GB2312" w:hAnsi="仿宋_GB2312" w:cs="仿宋_GB2312" w:eastAsia="仿宋_GB2312"/>
                      <w:sz w:val="21"/>
                    </w:rPr>
                    <w:t>支持</w:t>
                  </w:r>
                  <w:r>
                    <w:rPr>
                      <w:rFonts w:ascii="仿宋_GB2312" w:hAnsi="仿宋_GB2312" w:cs="仿宋_GB2312" w:eastAsia="仿宋_GB2312"/>
                      <w:sz w:val="21"/>
                    </w:rPr>
                    <w:t>基础数据表格能够灵活自定义扩展字段。</w:t>
                  </w:r>
                </w:p>
                <w:p>
                  <w:pPr>
                    <w:pStyle w:val="null3"/>
                    <w:numPr>
                      <w:ilvl w:val="0"/>
                      <w:numId w:val="1"/>
                    </w:numPr>
                    <w:jc w:val="left"/>
                  </w:pPr>
                  <w:r>
                    <w:rPr>
                      <w:rFonts w:ascii="仿宋_GB2312" w:hAnsi="仿宋_GB2312" w:cs="仿宋_GB2312" w:eastAsia="仿宋_GB2312"/>
                      <w:sz w:val="21"/>
                    </w:rPr>
                    <w:t>数据定义管理，</w:t>
                  </w:r>
                  <w:r>
                    <w:rPr>
                      <w:rFonts w:ascii="仿宋_GB2312" w:hAnsi="仿宋_GB2312" w:cs="仿宋_GB2312" w:eastAsia="仿宋_GB2312"/>
                      <w:sz w:val="21"/>
                    </w:rPr>
                    <w:t>支持</w:t>
                  </w:r>
                  <w:r>
                    <w:rPr>
                      <w:rFonts w:ascii="仿宋_GB2312" w:hAnsi="仿宋_GB2312" w:cs="仿宋_GB2312" w:eastAsia="仿宋_GB2312"/>
                      <w:sz w:val="21"/>
                    </w:rPr>
                    <w:t>自定义管理常用数据定义项，如课程性质、课程类别、考核方式、学科类别等内容。</w:t>
                  </w:r>
                </w:p>
                <w:p>
                  <w:pPr>
                    <w:pStyle w:val="null3"/>
                    <w:numPr>
                      <w:ilvl w:val="0"/>
                      <w:numId w:val="1"/>
                    </w:numPr>
                    <w:jc w:val="left"/>
                  </w:pPr>
                  <w:r>
                    <w:rPr>
                      <w:rFonts w:ascii="仿宋_GB2312" w:hAnsi="仿宋_GB2312" w:cs="仿宋_GB2312" w:eastAsia="仿宋_GB2312"/>
                      <w:sz w:val="21"/>
                    </w:rPr>
                    <w:t>人才培养方案模板管理，能够自定义建设、管理人才培养方案模板，能够定义模板的目录结构、固定文本内容以及内置的结构化数据组件；支持通过导入培养方案文件创建模板，支持模板的复制</w:t>
                  </w:r>
                </w:p>
                <w:p>
                  <w:pPr>
                    <w:pStyle w:val="null3"/>
                    <w:numPr>
                      <w:ilvl w:val="0"/>
                      <w:numId w:val="1"/>
                    </w:numPr>
                    <w:jc w:val="left"/>
                  </w:pPr>
                  <w:r>
                    <w:rPr>
                      <w:rFonts w:ascii="仿宋_GB2312" w:hAnsi="仿宋_GB2312" w:cs="仿宋_GB2312" w:eastAsia="仿宋_GB2312"/>
                      <w:sz w:val="21"/>
                    </w:rPr>
                    <w:t>人才培养方案修订</w:t>
                  </w:r>
                </w:p>
                <w:p>
                  <w:pPr>
                    <w:pStyle w:val="null3"/>
                    <w:numPr>
                      <w:ilvl w:val="0"/>
                      <w:numId w:val="2"/>
                    </w:numPr>
                    <w:jc w:val="left"/>
                  </w:pPr>
                  <w:r>
                    <w:rPr>
                      <w:rFonts w:ascii="仿宋_GB2312" w:hAnsi="仿宋_GB2312" w:cs="仿宋_GB2312" w:eastAsia="仿宋_GB2312"/>
                      <w:sz w:val="21"/>
                    </w:rPr>
                    <w:t>修订任务管理，支持创建以及管理全校培养方案建设任务，支持按专业设置负责人，任务下发后专业负责人即可开始修订方案。</w:t>
                  </w:r>
                </w:p>
                <w:p>
                  <w:pPr>
                    <w:pStyle w:val="null3"/>
                    <w:numPr>
                      <w:ilvl w:val="0"/>
                      <w:numId w:val="2"/>
                    </w:numPr>
                    <w:jc w:val="left"/>
                  </w:pPr>
                  <w:r>
                    <w:rPr>
                      <w:rFonts w:ascii="仿宋_GB2312" w:hAnsi="仿宋_GB2312" w:cs="仿宋_GB2312" w:eastAsia="仿宋_GB2312"/>
                      <w:sz w:val="21"/>
                    </w:rPr>
                    <w:t>在线修订编辑</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平台具有</w:t>
                  </w:r>
                  <w:r>
                    <w:rPr>
                      <w:rFonts w:ascii="仿宋_GB2312" w:hAnsi="仿宋_GB2312" w:cs="仿宋_GB2312" w:eastAsia="仿宋_GB2312"/>
                      <w:sz w:val="21"/>
                    </w:rPr>
                    <w:t>集成式的人才培养方案在线编辑器，在一个编辑器内完成对人才培养方案的在线编辑修订。编辑器支持富文本格式，支持常用的内容格式控制，如字体、字号、颜色、多级标题、行间距、对齐控制、分页功能等，支持添加特殊字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支持导入人才培养方案文件，支持将当前方案存为模板。</w:t>
                  </w:r>
                </w:p>
                <w:p>
                  <w:pPr>
                    <w:pStyle w:val="null3"/>
                    <w:numPr>
                      <w:ilvl w:val="0"/>
                      <w:numId w:val="2"/>
                    </w:numPr>
                    <w:jc w:val="left"/>
                  </w:pPr>
                  <w:r>
                    <w:rPr>
                      <w:rFonts w:ascii="仿宋_GB2312" w:hAnsi="仿宋_GB2312" w:cs="仿宋_GB2312" w:eastAsia="仿宋_GB2312"/>
                      <w:sz w:val="21"/>
                    </w:rPr>
                    <w:t>结构化数据管理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将人才培养方案中具有结构化属性的内容转化为结构化数据，通过组件的方式融入到人才培养方案编辑器中，统一进行修订维护。</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内置符合学校人才培养方案标准和样式的课程体系维护组件，内置的组件至少包含：培养目标、培养规格、职业面向、教学进程表。支持根据学校实际表结构定制相关组件。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支持按照规则要求，教学进程表支持学时学分的校验，可自行设置校验项；学时学分分配表可根据教学进程表填写的内容自动生成，可以根据学校的要求设置增加或减少数据项。</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自定义组件编辑器，能够通过改编辑器自主定制结构化数据组件，支持定义字段匹配的内容，如课程、学时、学分等。</w:t>
                  </w:r>
                </w:p>
                <w:p>
                  <w:pPr>
                    <w:pStyle w:val="null3"/>
                    <w:numPr>
                      <w:ilvl w:val="0"/>
                      <w:numId w:val="2"/>
                    </w:numPr>
                    <w:jc w:val="left"/>
                  </w:pPr>
                  <w:r>
                    <w:rPr>
                      <w:rFonts w:ascii="仿宋_GB2312" w:hAnsi="仿宋_GB2312" w:cs="仿宋_GB2312" w:eastAsia="仿宋_GB2312"/>
                      <w:sz w:val="21"/>
                    </w:rPr>
                    <w:t xml:space="preserve"> </w:t>
                  </w:r>
                  <w:r>
                    <w:rPr>
                      <w:rFonts w:ascii="仿宋_GB2312" w:hAnsi="仿宋_GB2312" w:cs="仿宋_GB2312" w:eastAsia="仿宋_GB2312"/>
                      <w:sz w:val="21"/>
                    </w:rPr>
                    <w:t>数据自动校验，支持按照规则对结构化数据进行自动校验并给出提醒，如学时分配、学分总和等内容。</w:t>
                  </w:r>
                </w:p>
                <w:p>
                  <w:pPr>
                    <w:pStyle w:val="null3"/>
                    <w:numPr>
                      <w:ilvl w:val="0"/>
                      <w:numId w:val="2"/>
                    </w:numPr>
                    <w:jc w:val="left"/>
                  </w:pPr>
                  <w:r>
                    <w:rPr>
                      <w:rFonts w:ascii="仿宋_GB2312" w:hAnsi="仿宋_GB2312" w:cs="仿宋_GB2312" w:eastAsia="仿宋_GB2312"/>
                      <w:sz w:val="21"/>
                    </w:rPr>
                    <w:t xml:space="preserve"> </w:t>
                  </w:r>
                  <w:r>
                    <w:rPr>
                      <w:rFonts w:ascii="仿宋_GB2312" w:hAnsi="仿宋_GB2312" w:cs="仿宋_GB2312" w:eastAsia="仿宋_GB2312"/>
                      <w:sz w:val="21"/>
                    </w:rPr>
                    <w:t>智能导入与粘贴识别，支持导入人才培养方案能识别结构化数据功能，支持通过从</w:t>
                  </w:r>
                  <w:r>
                    <w:rPr>
                      <w:rFonts w:ascii="仿宋_GB2312" w:hAnsi="仿宋_GB2312" w:cs="仿宋_GB2312" w:eastAsia="仿宋_GB2312"/>
                      <w:sz w:val="21"/>
                    </w:rPr>
                    <w:t>word</w:t>
                  </w:r>
                  <w:r>
                    <w:rPr>
                      <w:rFonts w:ascii="仿宋_GB2312" w:hAnsi="仿宋_GB2312" w:cs="仿宋_GB2312" w:eastAsia="仿宋_GB2312"/>
                      <w:sz w:val="21"/>
                    </w:rPr>
                    <w:t>中拷贝并在对应组件中粘贴自动识别并提取内容。</w:t>
                  </w:r>
                </w:p>
                <w:p>
                  <w:pPr>
                    <w:pStyle w:val="null3"/>
                    <w:numPr>
                      <w:ilvl w:val="0"/>
                      <w:numId w:val="1"/>
                    </w:numPr>
                    <w:jc w:val="left"/>
                  </w:pPr>
                  <w:r>
                    <w:rPr>
                      <w:rFonts w:ascii="仿宋_GB2312" w:hAnsi="仿宋_GB2312" w:cs="仿宋_GB2312" w:eastAsia="仿宋_GB2312"/>
                      <w:sz w:val="21"/>
                    </w:rPr>
                    <w:t>人才培养方案部分组件支持一键引用国标内容，支持从三个维度（学校上传的调研报告等、人才培养方案数据库中匹配的同类型院校的人才培养方案、招聘岗位能力模型匹配的岗位）</w:t>
                  </w:r>
                  <w:r>
                    <w:rPr>
                      <w:rFonts w:ascii="仿宋_GB2312" w:hAnsi="仿宋_GB2312" w:cs="仿宋_GB2312" w:eastAsia="仿宋_GB2312"/>
                      <w:sz w:val="21"/>
                    </w:rPr>
                    <w:t>AI</w:t>
                  </w:r>
                  <w:r>
                    <w:rPr>
                      <w:rFonts w:ascii="仿宋_GB2312" w:hAnsi="仿宋_GB2312" w:cs="仿宋_GB2312" w:eastAsia="仿宋_GB2312"/>
                      <w:sz w:val="21"/>
                    </w:rPr>
                    <w:t>智能生成文本内容供专业负责人参考。职业面向表支持按学校模板自定义增加数据维度。</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除内置的结构化数据组件外，支持使用表单和报告引擎搭建学校专有的个性化组件；表单支持各类数据项的设置及统计，报告引擎支持对表单的输出显示进行个性化的设置。</w:t>
                  </w:r>
                </w:p>
                <w:p>
                  <w:pPr>
                    <w:pStyle w:val="null3"/>
                    <w:numPr>
                      <w:ilvl w:val="0"/>
                      <w:numId w:val="1"/>
                    </w:numPr>
                    <w:jc w:val="left"/>
                  </w:pPr>
                  <w:r>
                    <w:rPr>
                      <w:rFonts w:ascii="仿宋_GB2312" w:hAnsi="仿宋_GB2312" w:cs="仿宋_GB2312" w:eastAsia="仿宋_GB2312"/>
                      <w:sz w:val="21"/>
                    </w:rPr>
                    <w:t>人才培养方案导出，支持按学校需求进行排版格式设置和导出。</w:t>
                  </w:r>
                </w:p>
                <w:p>
                  <w:pPr>
                    <w:pStyle w:val="null3"/>
                    <w:numPr>
                      <w:ilvl w:val="0"/>
                      <w:numId w:val="1"/>
                    </w:numPr>
                    <w:jc w:val="left"/>
                  </w:pPr>
                  <w:r>
                    <w:rPr>
                      <w:rFonts w:ascii="仿宋_GB2312" w:hAnsi="仿宋_GB2312" w:cs="仿宋_GB2312" w:eastAsia="仿宋_GB2312"/>
                      <w:sz w:val="21"/>
                    </w:rPr>
                    <w:t>人才培养方案对比，需提供人才培养方案对比功能，支持选择不同版本的两份培养方案进行对比，按模块给出对比结果，包括相似度结果以及标红显示不同的内容。</w:t>
                  </w:r>
                </w:p>
                <w:p>
                  <w:pPr>
                    <w:pStyle w:val="null3"/>
                    <w:numPr>
                      <w:ilvl w:val="0"/>
                      <w:numId w:val="1"/>
                    </w:numPr>
                    <w:jc w:val="left"/>
                  </w:pPr>
                  <w:r>
                    <w:rPr>
                      <w:rFonts w:ascii="仿宋_GB2312" w:hAnsi="仿宋_GB2312" w:cs="仿宋_GB2312" w:eastAsia="仿宋_GB2312"/>
                      <w:sz w:val="21"/>
                    </w:rPr>
                    <w:t>提供通用人才培养方案数据库，整合全国多所院校公开的人才培养方案，可通过专业名称、院校名称、院系名称等关键词进行查找，培养方案能够在线浏览。数据源支持选择本单位线上人才培养方案模块中的已有方案进行对比，也支持本地上传文件进行在线对比。</w:t>
                  </w:r>
                </w:p>
                <w:p>
                  <w:pPr>
                    <w:pStyle w:val="null3"/>
                    <w:numPr>
                      <w:ilvl w:val="0"/>
                      <w:numId w:val="1"/>
                    </w:numPr>
                    <w:jc w:val="left"/>
                  </w:pPr>
                  <w:r>
                    <w:rPr>
                      <w:rFonts w:ascii="仿宋_GB2312" w:hAnsi="仿宋_GB2312" w:cs="仿宋_GB2312" w:eastAsia="仿宋_GB2312"/>
                      <w:sz w:val="21"/>
                    </w:rPr>
                    <w:t>人才培养方案方案审核，</w:t>
                  </w:r>
                  <w:r>
                    <w:rPr>
                      <w:rFonts w:ascii="仿宋_GB2312" w:hAnsi="仿宋_GB2312" w:cs="仿宋_GB2312" w:eastAsia="仿宋_GB2312"/>
                      <w:sz w:val="21"/>
                    </w:rPr>
                    <w:t>支持</w:t>
                  </w:r>
                  <w:r>
                    <w:rPr>
                      <w:rFonts w:ascii="仿宋_GB2312" w:hAnsi="仿宋_GB2312" w:cs="仿宋_GB2312" w:eastAsia="仿宋_GB2312"/>
                      <w:sz w:val="21"/>
                    </w:rPr>
                    <w:t>完全灵活的自定义审批流机制，支持设置电子签名，支持设置或签及会签及打回规则，支持设置自动提醒功能。支持管理及设置评审专家库。支持按照审批流设置对教师提交的培养方案进行评审。</w:t>
                  </w:r>
                </w:p>
                <w:p>
                  <w:pPr>
                    <w:pStyle w:val="null3"/>
                    <w:numPr>
                      <w:ilvl w:val="0"/>
                      <w:numId w:val="1"/>
                    </w:numPr>
                    <w:jc w:val="left"/>
                  </w:pPr>
                  <w:r>
                    <w:rPr>
                      <w:rFonts w:ascii="仿宋_GB2312" w:hAnsi="仿宋_GB2312" w:cs="仿宋_GB2312" w:eastAsia="仿宋_GB2312"/>
                      <w:sz w:val="21"/>
                    </w:rPr>
                    <w:t>监督与统计，管理员、领导能够方便查找已完成或未完成的修订任务，能够对进度缓慢的任务进行提醒督促。能够按照院系等不同维度对人才培养方案修订进度进行统计分析，全面掌握修订进展。</w:t>
                  </w:r>
                </w:p>
                <w:p>
                  <w:pPr>
                    <w:pStyle w:val="null3"/>
                    <w:numPr>
                      <w:ilvl w:val="0"/>
                      <w:numId w:val="1"/>
                    </w:numPr>
                    <w:jc w:val="left"/>
                  </w:pPr>
                  <w:r>
                    <w:rPr>
                      <w:rFonts w:ascii="仿宋_GB2312" w:hAnsi="仿宋_GB2312" w:cs="仿宋_GB2312" w:eastAsia="仿宋_GB2312"/>
                      <w:sz w:val="21"/>
                    </w:rPr>
                    <w:t>关键数据：人才培养方案中的部分数据，可通过组件形式推送至专业关键数据栏目下，实现数据的动态管理，例如培养目标、职业面向、培养规格等。</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专业关键数据生成助手：可上传文档或选择参考内容，参考文件支持个人上传本地文档，支持</w:t>
                  </w:r>
                  <w:r>
                    <w:rPr>
                      <w:rFonts w:ascii="仿宋_GB2312" w:hAnsi="仿宋_GB2312" w:cs="仿宋_GB2312" w:eastAsia="仿宋_GB2312"/>
                      <w:sz w:val="21"/>
                    </w:rPr>
                    <w:t>word</w:t>
                  </w:r>
                  <w:r>
                    <w:rPr>
                      <w:rFonts w:ascii="仿宋_GB2312" w:hAnsi="仿宋_GB2312" w:cs="仿宋_GB2312" w:eastAsia="仿宋_GB2312"/>
                      <w:sz w:val="21"/>
                    </w:rPr>
                    <w:t>和</w:t>
                  </w:r>
                  <w:r>
                    <w:rPr>
                      <w:rFonts w:ascii="仿宋_GB2312" w:hAnsi="仿宋_GB2312" w:cs="仿宋_GB2312" w:eastAsia="仿宋_GB2312"/>
                      <w:sz w:val="21"/>
                    </w:rPr>
                    <w:t>pdf</w:t>
                  </w:r>
                  <w:r>
                    <w:rPr>
                      <w:rFonts w:ascii="仿宋_GB2312" w:hAnsi="仿宋_GB2312" w:cs="仿宋_GB2312" w:eastAsia="仿宋_GB2312"/>
                      <w:sz w:val="21"/>
                    </w:rPr>
                    <w:t>格式，人才培养方案支持从数据库中抽取、适配岗位支持从专业对应岗位能力模型下进行推荐适配。生成时可选择相关模块，例如培养目标等，再选择完大模型之后即可生成相关参考数据，支持重新生成或在此基础上编辑，最终可引用至对应栏目数据下。</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课程标准管理</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w:t>
                  </w:r>
                  <w:r>
                    <w:rPr>
                      <w:rFonts w:ascii="仿宋_GB2312" w:hAnsi="仿宋_GB2312" w:cs="仿宋_GB2312" w:eastAsia="仿宋_GB2312"/>
                      <w:sz w:val="21"/>
                    </w:rPr>
                    <w:t>程信息管理</w:t>
                  </w:r>
                  <w:r>
                    <w:rPr>
                      <w:rFonts w:ascii="仿宋_GB2312" w:hAnsi="仿宋_GB2312" w:cs="仿宋_GB2312" w:eastAsia="仿宋_GB2312"/>
                      <w:sz w:val="21"/>
                    </w:rPr>
                    <w:t>，支持同步专业课程数据，确保课程编号、课程名称等基础信息字段与教务课程信息一致；支持课程基础信息的维护与管理，满足后续课程图谱与课程内容调用需求。</w:t>
                  </w:r>
                </w:p>
                <w:p>
                  <w:pPr>
                    <w:pStyle w:val="null3"/>
                    <w:numPr>
                      <w:ilvl w:val="0"/>
                      <w:numId w:val="1"/>
                    </w:numPr>
                    <w:jc w:val="left"/>
                  </w:pPr>
                  <w:r>
                    <w:rPr>
                      <w:rFonts w:ascii="仿宋_GB2312" w:hAnsi="仿宋_GB2312" w:cs="仿宋_GB2312" w:eastAsia="仿宋_GB2312"/>
                      <w:sz w:val="21"/>
                    </w:rPr>
                    <w:t>支持设置课程目标内容及目标权重，权重总和应为</w:t>
                  </w:r>
                  <w:r>
                    <w:rPr>
                      <w:rFonts w:ascii="仿宋_GB2312" w:hAnsi="仿宋_GB2312" w:cs="仿宋_GB2312" w:eastAsia="仿宋_GB2312"/>
                      <w:sz w:val="21"/>
                    </w:rPr>
                    <w:t>100%</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支持</w:t>
                  </w:r>
                  <w:r>
                    <w:rPr>
                      <w:rFonts w:ascii="仿宋_GB2312" w:hAnsi="仿宋_GB2312" w:cs="仿宋_GB2312" w:eastAsia="仿宋_GB2312"/>
                      <w:sz w:val="21"/>
                    </w:rPr>
                    <w:t>AI</w:t>
                  </w:r>
                  <w:r>
                    <w:rPr>
                      <w:rFonts w:ascii="仿宋_GB2312" w:hAnsi="仿宋_GB2312" w:cs="仿宋_GB2312" w:eastAsia="仿宋_GB2312"/>
                      <w:sz w:val="21"/>
                    </w:rPr>
                    <w:t>自动生成课程目标文本，提高编辑效率。</w:t>
                  </w:r>
                </w:p>
                <w:p>
                  <w:pPr>
                    <w:pStyle w:val="null3"/>
                    <w:numPr>
                      <w:ilvl w:val="0"/>
                      <w:numId w:val="1"/>
                    </w:numPr>
                    <w:jc w:val="left"/>
                  </w:pPr>
                  <w:r>
                    <w:rPr>
                      <w:rFonts w:ascii="仿宋_GB2312" w:hAnsi="仿宋_GB2312" w:cs="仿宋_GB2312" w:eastAsia="仿宋_GB2312"/>
                      <w:sz w:val="21"/>
                    </w:rPr>
                    <w:t>课程内容管理支持按章节维护教学内容，支持章节与课程目标自动关联。</w:t>
                  </w:r>
                </w:p>
                <w:p>
                  <w:pPr>
                    <w:pStyle w:val="null3"/>
                    <w:numPr>
                      <w:ilvl w:val="0"/>
                      <w:numId w:val="1"/>
                    </w:numPr>
                    <w:jc w:val="left"/>
                  </w:pPr>
                  <w:r>
                    <w:rPr>
                      <w:rFonts w:ascii="仿宋_GB2312" w:hAnsi="仿宋_GB2312" w:cs="仿宋_GB2312" w:eastAsia="仿宋_GB2312"/>
                      <w:sz w:val="21"/>
                    </w:rPr>
                    <w:t>支持横向表格与纵向表格两种内容展示方式，适配不同课程样式要求。</w:t>
                  </w:r>
                </w:p>
                <w:p>
                  <w:pPr>
                    <w:pStyle w:val="null3"/>
                    <w:numPr>
                      <w:ilvl w:val="0"/>
                      <w:numId w:val="1"/>
                    </w:numPr>
                    <w:jc w:val="left"/>
                  </w:pPr>
                  <w:r>
                    <w:rPr>
                      <w:rFonts w:ascii="仿宋_GB2312" w:hAnsi="仿宋_GB2312" w:cs="仿宋_GB2312" w:eastAsia="仿宋_GB2312"/>
                      <w:sz w:val="21"/>
                    </w:rPr>
                    <w:t>支持</w:t>
                  </w:r>
                  <w:r>
                    <w:rPr>
                      <w:rFonts w:ascii="仿宋_GB2312" w:hAnsi="仿宋_GB2312" w:cs="仿宋_GB2312" w:eastAsia="仿宋_GB2312"/>
                      <w:sz w:val="21"/>
                    </w:rPr>
                    <w:t>AI</w:t>
                  </w:r>
                  <w:r>
                    <w:rPr>
                      <w:rFonts w:ascii="仿宋_GB2312" w:hAnsi="仿宋_GB2312" w:cs="仿宋_GB2312" w:eastAsia="仿宋_GB2312"/>
                      <w:sz w:val="21"/>
                    </w:rPr>
                    <w:t>生成教学内容，并</w:t>
                  </w:r>
                  <w:r>
                    <w:rPr>
                      <w:rFonts w:ascii="仿宋_GB2312" w:hAnsi="仿宋_GB2312" w:cs="仿宋_GB2312" w:eastAsia="仿宋_GB2312"/>
                      <w:sz w:val="21"/>
                    </w:rPr>
                    <w:t>AI</w:t>
                  </w:r>
                  <w:r>
                    <w:rPr>
                      <w:rFonts w:ascii="仿宋_GB2312" w:hAnsi="仿宋_GB2312" w:cs="仿宋_GB2312" w:eastAsia="仿宋_GB2312"/>
                      <w:sz w:val="21"/>
                    </w:rPr>
                    <w:t>生成课程目标图谱。</w:t>
                  </w:r>
                </w:p>
                <w:p>
                  <w:pPr>
                    <w:pStyle w:val="null3"/>
                    <w:numPr>
                      <w:ilvl w:val="0"/>
                      <w:numId w:val="1"/>
                    </w:numPr>
                    <w:jc w:val="left"/>
                  </w:pPr>
                  <w:r>
                    <w:rPr>
                      <w:rFonts w:ascii="仿宋_GB2312" w:hAnsi="仿宋_GB2312" w:cs="仿宋_GB2312" w:eastAsia="仿宋_GB2312"/>
                      <w:sz w:val="21"/>
                    </w:rPr>
                    <w:t>支持课程章节内容编辑，支持批量删除、自定义字段（教学内容、重难点、思政点等）编辑与维护</w:t>
                  </w:r>
                </w:p>
                <w:p>
                  <w:pPr>
                    <w:pStyle w:val="null3"/>
                    <w:numPr>
                      <w:ilvl w:val="0"/>
                      <w:numId w:val="1"/>
                    </w:numPr>
                    <w:jc w:val="left"/>
                  </w:pPr>
                  <w:r>
                    <w:rPr>
                      <w:rFonts w:ascii="仿宋_GB2312" w:hAnsi="仿宋_GB2312" w:cs="仿宋_GB2312" w:eastAsia="仿宋_GB2312"/>
                      <w:sz w:val="21"/>
                    </w:rPr>
                    <w:t>考核与评价管理，支持配置多级考核方式及权重分配，支持至二级子项结构。</w:t>
                  </w:r>
                </w:p>
                <w:p>
                  <w:pPr>
                    <w:pStyle w:val="null3"/>
                    <w:numPr>
                      <w:ilvl w:val="0"/>
                      <w:numId w:val="1"/>
                    </w:numPr>
                    <w:jc w:val="left"/>
                  </w:pPr>
                  <w:r>
                    <w:rPr>
                      <w:rFonts w:ascii="仿宋_GB2312" w:hAnsi="仿宋_GB2312" w:cs="仿宋_GB2312" w:eastAsia="仿宋_GB2312"/>
                      <w:sz w:val="21"/>
                    </w:rPr>
                    <w:t>支持基于课程目标或考核项设置课程考核评价标准。</w:t>
                  </w:r>
                </w:p>
                <w:p>
                  <w:pPr>
                    <w:pStyle w:val="null3"/>
                    <w:numPr>
                      <w:ilvl w:val="0"/>
                      <w:numId w:val="1"/>
                    </w:numPr>
                    <w:jc w:val="left"/>
                  </w:pPr>
                  <w:r>
                    <w:rPr>
                      <w:rFonts w:ascii="仿宋_GB2312" w:hAnsi="仿宋_GB2312" w:cs="仿宋_GB2312" w:eastAsia="仿宋_GB2312"/>
                      <w:sz w:val="21"/>
                    </w:rPr>
                    <w:t>支持设置课程成绩组成结构，支持配置分值区间及评分逻辑调整。</w:t>
                  </w:r>
                </w:p>
                <w:p>
                  <w:pPr>
                    <w:pStyle w:val="null3"/>
                    <w:numPr>
                      <w:ilvl w:val="0"/>
                      <w:numId w:val="1"/>
                    </w:numPr>
                    <w:jc w:val="left"/>
                  </w:pPr>
                  <w:r>
                    <w:rPr>
                      <w:rFonts w:ascii="仿宋_GB2312" w:hAnsi="仿宋_GB2312" w:cs="仿宋_GB2312" w:eastAsia="仿宋_GB2312"/>
                      <w:sz w:val="21"/>
                    </w:rPr>
                    <w:t>授课计划管理，支持引用教学章节内容，构建授课计划，支持计划内容的在线编辑与维护。</w:t>
                  </w:r>
                </w:p>
                <w:p>
                  <w:pPr>
                    <w:pStyle w:val="null3"/>
                    <w:numPr>
                      <w:ilvl w:val="0"/>
                      <w:numId w:val="1"/>
                    </w:numPr>
                    <w:jc w:val="left"/>
                  </w:pPr>
                  <w:r>
                    <w:rPr>
                      <w:rFonts w:ascii="仿宋_GB2312" w:hAnsi="仿宋_GB2312" w:cs="仿宋_GB2312" w:eastAsia="仿宋_GB2312"/>
                      <w:sz w:val="21"/>
                    </w:rPr>
                    <w:t>教师管理，支持课程教师团队增删改管理。</w:t>
                  </w:r>
                </w:p>
                <w:p>
                  <w:pPr>
                    <w:pStyle w:val="null3"/>
                    <w:numPr>
                      <w:ilvl w:val="0"/>
                      <w:numId w:val="1"/>
                    </w:numPr>
                    <w:jc w:val="left"/>
                  </w:pPr>
                  <w:r>
                    <w:rPr>
                      <w:rFonts w:ascii="仿宋_GB2312" w:hAnsi="仿宋_GB2312" w:cs="仿宋_GB2312" w:eastAsia="仿宋_GB2312"/>
                      <w:sz w:val="21"/>
                    </w:rPr>
                    <w:t>教材管理，支持课程教材增删改管理。</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知识图谱建设，支持构建和维护课程知识图谱、能力图谱、学习地图、知识点列表、问题图谱、思政图谱、等多维图谱，并支持基于课程个性化展示需求，自定义图谱标题、样式、内容，构建个性化图谱，也支持从网络课程一键化同步图谱至课程标准管理内。</w:t>
                  </w:r>
                </w:p>
                <w:p>
                  <w:pPr>
                    <w:pStyle w:val="null3"/>
                    <w:numPr>
                      <w:ilvl w:val="0"/>
                      <w:numId w:val="1"/>
                    </w:numPr>
                    <w:jc w:val="left"/>
                  </w:pPr>
                  <w:r>
                    <w:rPr>
                      <w:rFonts w:ascii="仿宋_GB2312" w:hAnsi="仿宋_GB2312" w:cs="仿宋_GB2312" w:eastAsia="仿宋_GB2312"/>
                      <w:sz w:val="21"/>
                    </w:rPr>
                    <w:t>支持智能识别生成知识图谱，</w:t>
                  </w:r>
                  <w:r>
                    <w:rPr>
                      <w:rFonts w:ascii="仿宋_GB2312" w:hAnsi="仿宋_GB2312" w:cs="仿宋_GB2312" w:eastAsia="仿宋_GB2312"/>
                      <w:sz w:val="21"/>
                    </w:rPr>
                    <w:t>并能支持知识图谱自定义编辑功能，系统支持至少</w:t>
                  </w:r>
                  <w:r>
                    <w:rPr>
                      <w:rFonts w:ascii="仿宋_GB2312" w:hAnsi="仿宋_GB2312" w:cs="仿宋_GB2312" w:eastAsia="仿宋_GB2312"/>
                      <w:sz w:val="21"/>
                    </w:rPr>
                    <w:t>8</w:t>
                  </w:r>
                  <w:r>
                    <w:rPr>
                      <w:rFonts w:ascii="仿宋_GB2312" w:hAnsi="仿宋_GB2312" w:cs="仿宋_GB2312" w:eastAsia="仿宋_GB2312"/>
                      <w:sz w:val="21"/>
                    </w:rPr>
                    <w:t>种图谱形态，用户可根据课程性质选择合适的图谱形态进行编辑。</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④专业门户建设</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按照学校专业特色元素，为学校定制设计门户框架及细节，满足于学校特色展示及成果汇集。</w:t>
                  </w:r>
                </w:p>
                <w:p>
                  <w:pPr>
                    <w:pStyle w:val="null3"/>
                    <w:numPr>
                      <w:ilvl w:val="0"/>
                      <w:numId w:val="1"/>
                    </w:numPr>
                    <w:jc w:val="left"/>
                  </w:pPr>
                  <w:r>
                    <w:rPr>
                      <w:rFonts w:ascii="仿宋_GB2312" w:hAnsi="仿宋_GB2312" w:cs="仿宋_GB2312" w:eastAsia="仿宋_GB2312"/>
                      <w:sz w:val="21"/>
                    </w:rPr>
                    <w:t>支</w:t>
                  </w:r>
                  <w:r>
                    <w:rPr>
                      <w:rFonts w:ascii="仿宋_GB2312" w:hAnsi="仿宋_GB2312" w:cs="仿宋_GB2312" w:eastAsia="仿宋_GB2312"/>
                      <w:sz w:val="21"/>
                    </w:rPr>
                    <w:t>持在门户中显示多门课程汇总展示，支持按照学校课程体系或者课程矩阵搭建相关栏目，并添加课程信息及链接实现跳转。</w:t>
                  </w:r>
                </w:p>
                <w:p>
                  <w:pPr>
                    <w:pStyle w:val="null3"/>
                    <w:numPr>
                      <w:ilvl w:val="0"/>
                      <w:numId w:val="1"/>
                    </w:numPr>
                    <w:jc w:val="left"/>
                  </w:pPr>
                  <w:r>
                    <w:rPr>
                      <w:rFonts w:ascii="仿宋_GB2312" w:hAnsi="仿宋_GB2312" w:cs="仿宋_GB2312" w:eastAsia="仿宋_GB2312"/>
                      <w:sz w:val="21"/>
                    </w:rPr>
                    <w:t>支持查看当前专业基本信息，培养模式等。</w:t>
                  </w:r>
                </w:p>
                <w:p>
                  <w:pPr>
                    <w:pStyle w:val="null3"/>
                    <w:numPr>
                      <w:ilvl w:val="0"/>
                      <w:numId w:val="1"/>
                    </w:numPr>
                    <w:jc w:val="left"/>
                  </w:pPr>
                  <w:r>
                    <w:rPr>
                      <w:rFonts w:ascii="仿宋_GB2312" w:hAnsi="仿宋_GB2312" w:cs="仿宋_GB2312" w:eastAsia="仿宋_GB2312"/>
                      <w:sz w:val="21"/>
                    </w:rPr>
                    <w:t>支持展示专业基本信息介绍，以图文形式进行呈现。</w:t>
                  </w:r>
                </w:p>
                <w:p>
                  <w:pPr>
                    <w:pStyle w:val="null3"/>
                    <w:numPr>
                      <w:ilvl w:val="0"/>
                      <w:numId w:val="1"/>
                    </w:numPr>
                    <w:jc w:val="left"/>
                  </w:pPr>
                  <w:r>
                    <w:rPr>
                      <w:rFonts w:ascii="仿宋_GB2312" w:hAnsi="仿宋_GB2312" w:cs="仿宋_GB2312" w:eastAsia="仿宋_GB2312"/>
                      <w:sz w:val="21"/>
                    </w:rPr>
                    <w:t>支持展示专业培养体系，包括专业下建设课程总数、公共基础课程、专业核心等课程的建设情况。</w:t>
                  </w:r>
                </w:p>
                <w:p>
                  <w:pPr>
                    <w:pStyle w:val="null3"/>
                    <w:numPr>
                      <w:ilvl w:val="0"/>
                      <w:numId w:val="1"/>
                    </w:numPr>
                    <w:jc w:val="left"/>
                  </w:pPr>
                  <w:r>
                    <w:rPr>
                      <w:rFonts w:ascii="仿宋_GB2312" w:hAnsi="仿宋_GB2312" w:cs="仿宋_GB2312" w:eastAsia="仿宋_GB2312"/>
                      <w:sz w:val="21"/>
                    </w:rPr>
                    <w:t>支持展示专业图谱建设情况，包含岗位图谱、竞赛图谱、证书图谱等。</w:t>
                  </w:r>
                </w:p>
                <w:p>
                  <w:pPr>
                    <w:pStyle w:val="null3"/>
                    <w:numPr>
                      <w:ilvl w:val="0"/>
                      <w:numId w:val="1"/>
                    </w:numPr>
                    <w:jc w:val="left"/>
                  </w:pPr>
                  <w:r>
                    <w:rPr>
                      <w:rFonts w:ascii="仿宋_GB2312" w:hAnsi="仿宋_GB2312" w:cs="仿宋_GB2312" w:eastAsia="仿宋_GB2312"/>
                      <w:sz w:val="21"/>
                    </w:rPr>
                    <w:t>支持展示专业课程体系图谱，查看到专业各个学期开设课程情况，以及显示课程之间的先修后继关系。</w:t>
                  </w:r>
                </w:p>
                <w:p>
                  <w:pPr>
                    <w:pStyle w:val="null3"/>
                    <w:numPr>
                      <w:ilvl w:val="0"/>
                      <w:numId w:val="1"/>
                    </w:numPr>
                    <w:jc w:val="left"/>
                  </w:pPr>
                  <w:r>
                    <w:rPr>
                      <w:rFonts w:ascii="仿宋_GB2312" w:hAnsi="仿宋_GB2312" w:cs="仿宋_GB2312" w:eastAsia="仿宋_GB2312"/>
                      <w:sz w:val="21"/>
                    </w:rPr>
                    <w:t>支持展示专业课程间交叉分析，比如重合知识点情况。</w:t>
                  </w:r>
                </w:p>
                <w:p>
                  <w:pPr>
                    <w:pStyle w:val="null3"/>
                    <w:numPr>
                      <w:ilvl w:val="0"/>
                      <w:numId w:val="1"/>
                    </w:numPr>
                    <w:jc w:val="left"/>
                  </w:pPr>
                  <w:r>
                    <w:rPr>
                      <w:rFonts w:ascii="仿宋_GB2312" w:hAnsi="仿宋_GB2312" w:cs="仿宋_GB2312" w:eastAsia="仿宋_GB2312"/>
                      <w:sz w:val="21"/>
                    </w:rPr>
                    <w:t>支持展示特色课程等其他和该专业相关的模块。</w:t>
                  </w:r>
                </w:p>
                <w:p>
                  <w:pPr>
                    <w:pStyle w:val="null3"/>
                    <w:numPr>
                      <w:ilvl w:val="0"/>
                      <w:numId w:val="1"/>
                    </w:numPr>
                    <w:jc w:val="left"/>
                  </w:pPr>
                  <w:r>
                    <w:rPr>
                      <w:rFonts w:ascii="仿宋_GB2312" w:hAnsi="仿宋_GB2312" w:cs="仿宋_GB2312" w:eastAsia="仿宋_GB2312"/>
                      <w:sz w:val="21"/>
                    </w:rPr>
                    <w:t>模块工具：门户支持添加和设置应用基础模块，包含图标列表、图文列表、轮播图、多图列表、搜索、文本列表、图表、表格、搜索列表、文本、图片、按钮、视频、搜索条、天气、日期、插件、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rPr>
                    <w:t>IP</w:t>
                  </w:r>
                  <w:r>
                    <w:rPr>
                      <w:rFonts w:ascii="仿宋_GB2312" w:hAnsi="仿宋_GB2312" w:cs="仿宋_GB2312" w:eastAsia="仿宋_GB2312"/>
                      <w:sz w:val="21"/>
                    </w:rPr>
                    <w:t>、地图等多种基础模块，用以生成网站应用模块和页面，满足绝大部分网站内容的展现形式。</w:t>
                  </w:r>
                </w:p>
                <w:p>
                  <w:pPr>
                    <w:pStyle w:val="null3"/>
                    <w:numPr>
                      <w:ilvl w:val="0"/>
                      <w:numId w:val="1"/>
                    </w:numPr>
                    <w:jc w:val="left"/>
                  </w:pPr>
                  <w:r>
                    <w:rPr>
                      <w:rFonts w:ascii="仿宋_GB2312" w:hAnsi="仿宋_GB2312" w:cs="仿宋_GB2312" w:eastAsia="仿宋_GB2312"/>
                      <w:sz w:val="21"/>
                    </w:rPr>
                    <w:t>布局设置：门户支持设置全局模块，包含头部、全局轮播图、底部、飘窗、快捷入口等模块，支持隐藏或开启全局模块。</w:t>
                  </w:r>
                </w:p>
                <w:p>
                  <w:pPr>
                    <w:pStyle w:val="null3"/>
                    <w:numPr>
                      <w:ilvl w:val="0"/>
                      <w:numId w:val="1"/>
                    </w:numPr>
                    <w:jc w:val="left"/>
                  </w:pPr>
                  <w:r>
                    <w:rPr>
                      <w:rFonts w:ascii="仿宋_GB2312" w:hAnsi="仿宋_GB2312" w:cs="仿宋_GB2312" w:eastAsia="仿宋_GB2312"/>
                      <w:sz w:val="21"/>
                    </w:rPr>
                    <w:t>编辑方式：具有可视化页面设计后台，支持拖拽式布局管理，各应用模块自由调整。、</w:t>
                  </w:r>
                </w:p>
                <w:p>
                  <w:pPr>
                    <w:pStyle w:val="null3"/>
                    <w:numPr>
                      <w:ilvl w:val="0"/>
                      <w:numId w:val="1"/>
                    </w:numPr>
                    <w:jc w:val="left"/>
                  </w:pPr>
                  <w:r>
                    <w:rPr>
                      <w:rFonts w:ascii="仿宋_GB2312" w:hAnsi="仿宋_GB2312" w:cs="仿宋_GB2312" w:eastAsia="仿宋_GB2312"/>
                      <w:sz w:val="21"/>
                    </w:rPr>
                    <w:t>移动端门户配置：需支持系统对移动端</w:t>
                  </w:r>
                  <w:r>
                    <w:rPr>
                      <w:rFonts w:ascii="仿宋_GB2312" w:hAnsi="仿宋_GB2312" w:cs="仿宋_GB2312" w:eastAsia="仿宋_GB2312"/>
                      <w:sz w:val="21"/>
                    </w:rPr>
                    <w:t>APP</w:t>
                  </w:r>
                  <w:r>
                    <w:rPr>
                      <w:rFonts w:ascii="仿宋_GB2312" w:hAnsi="仿宋_GB2312" w:cs="仿宋_GB2312" w:eastAsia="仿宋_GB2312"/>
                      <w:sz w:val="21"/>
                    </w:rPr>
                    <w:t>的门户进行配置，配置操作需要简单明了。模拟手机界面采用可视化拖拽的形式添加如图片、检索、推荐、功能等。并能根据我校不同身份的用户配置不同的移动端</w:t>
                  </w:r>
                  <w:r>
                    <w:rPr>
                      <w:rFonts w:ascii="仿宋_GB2312" w:hAnsi="仿宋_GB2312" w:cs="仿宋_GB2312" w:eastAsia="仿宋_GB2312"/>
                      <w:sz w:val="21"/>
                    </w:rPr>
                    <w:t>APP</w:t>
                  </w:r>
                  <w:r>
                    <w:rPr>
                      <w:rFonts w:ascii="仿宋_GB2312" w:hAnsi="仿宋_GB2312" w:cs="仿宋_GB2312" w:eastAsia="仿宋_GB2312"/>
                      <w:sz w:val="21"/>
                    </w:rPr>
                    <w:t>门户界面。</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⑤专业图谱</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在专业建设门户中，可将建设的图谱内容进行嵌入，包含专业图谱、能力图谱、个性化图谱等。</w:t>
                  </w:r>
                </w:p>
                <w:p>
                  <w:pPr>
                    <w:pStyle w:val="null3"/>
                    <w:numPr>
                      <w:ilvl w:val="0"/>
                      <w:numId w:val="1"/>
                    </w:numPr>
                    <w:jc w:val="left"/>
                  </w:pPr>
                  <w:r>
                    <w:rPr>
                      <w:rFonts w:ascii="仿宋_GB2312" w:hAnsi="仿宋_GB2312" w:cs="仿宋_GB2312" w:eastAsia="仿宋_GB2312"/>
                      <w:sz w:val="21"/>
                    </w:rPr>
                    <w:t>根据人才培养方案自动生成相应的专业图谱，构建人才培养方案可视化体系，通过图谱直观呈现培养目标、培养规格、课程、课程目标、知识点</w:t>
                  </w:r>
                  <w:r>
                    <w:rPr>
                      <w:rFonts w:ascii="仿宋_GB2312" w:hAnsi="仿宋_GB2312" w:cs="仿宋_GB2312" w:eastAsia="仿宋_GB2312"/>
                      <w:sz w:val="21"/>
                    </w:rPr>
                    <w:t>/</w:t>
                  </w:r>
                  <w:r>
                    <w:rPr>
                      <w:rFonts w:ascii="仿宋_GB2312" w:hAnsi="仿宋_GB2312" w:cs="仿宋_GB2312" w:eastAsia="仿宋_GB2312"/>
                      <w:sz w:val="21"/>
                    </w:rPr>
                    <w:t>技能点间的层级关联；实时展示培养方案各要素间的支撑关系与影响路径；实现人才培养方案的立体化展示与逻辑关系的智能解析</w:t>
                  </w:r>
                </w:p>
                <w:p>
                  <w:pPr>
                    <w:pStyle w:val="null3"/>
                    <w:numPr>
                      <w:ilvl w:val="0"/>
                      <w:numId w:val="1"/>
                    </w:numPr>
                    <w:jc w:val="left"/>
                  </w:pPr>
                  <w:r>
                    <w:rPr>
                      <w:rFonts w:ascii="仿宋_GB2312" w:hAnsi="仿宋_GB2312" w:cs="仿宋_GB2312" w:eastAsia="仿宋_GB2312"/>
                      <w:sz w:val="21"/>
                    </w:rPr>
                    <w:t>基于实际专业建设需求，可提供个性化图谱引擎工具，引擎工具支持自定义图谱名称及描述，并提供多种图谱样式供学校使用参考。如</w:t>
                  </w:r>
                  <w:r>
                    <w:rPr>
                      <w:rFonts w:ascii="仿宋_GB2312" w:hAnsi="仿宋_GB2312" w:cs="仿宋_GB2312" w:eastAsia="仿宋_GB2312"/>
                      <w:sz w:val="21"/>
                    </w:rPr>
                    <w:t>3D</w:t>
                  </w:r>
                  <w:r>
                    <w:rPr>
                      <w:rFonts w:ascii="仿宋_GB2312" w:hAnsi="仿宋_GB2312" w:cs="仿宋_GB2312" w:eastAsia="仿宋_GB2312"/>
                      <w:sz w:val="21"/>
                    </w:rPr>
                    <w:t>层级结构、平面关系结构、环状结构等。建设的图谱可在图谱库中检索。</w:t>
                  </w:r>
                </w:p>
                <w:p>
                  <w:pPr>
                    <w:pStyle w:val="null3"/>
                    <w:numPr>
                      <w:ilvl w:val="0"/>
                      <w:numId w:val="1"/>
                    </w:numPr>
                    <w:jc w:val="left"/>
                  </w:pPr>
                  <w:r>
                    <w:rPr>
                      <w:rFonts w:ascii="仿宋_GB2312" w:hAnsi="仿宋_GB2312" w:cs="仿宋_GB2312" w:eastAsia="仿宋_GB2312"/>
                      <w:sz w:val="21"/>
                    </w:rPr>
                    <w:t>基于图谱引擎建设的图谱，支持独立链接地址生成，图谱数据来源支持在线添加、批量导入模版、外部数据源接入，其中外部数据源提供相关接入范例要求，并支持格式校验，建设的图谱数据支持一键导出。</w:t>
                  </w:r>
                </w:p>
                <w:p>
                  <w:pPr>
                    <w:pStyle w:val="null3"/>
                    <w:numPr>
                      <w:ilvl w:val="0"/>
                      <w:numId w:val="1"/>
                    </w:numPr>
                    <w:jc w:val="left"/>
                  </w:pPr>
                  <w:r>
                    <w:rPr>
                      <w:rFonts w:ascii="仿宋_GB2312" w:hAnsi="仿宋_GB2312" w:cs="仿宋_GB2312" w:eastAsia="仿宋_GB2312"/>
                      <w:sz w:val="21"/>
                    </w:rPr>
                    <w:t>基于图谱引擎建设的图谱，显示设置支持控制显示节点名称、线条样式，层级管理支持控制自定义显隐栏目名称，栏目名称支持自定义。在图谱显示页面支持样式切换，节点支持跳转外部链接。</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可根据专业能力培养方向，进行专业能力图谱的构建生成，支持建设包含岗位图谱、竞赛图谱、证书图谱，其中以上能力图谱可实现与课程及技能点</w:t>
                  </w:r>
                  <w:r>
                    <w:rPr>
                      <w:rFonts w:ascii="仿宋_GB2312" w:hAnsi="仿宋_GB2312" w:cs="仿宋_GB2312" w:eastAsia="仿宋_GB2312"/>
                      <w:sz w:val="21"/>
                    </w:rPr>
                    <w:t>/</w:t>
                  </w:r>
                  <w:r>
                    <w:rPr>
                      <w:rFonts w:ascii="仿宋_GB2312" w:hAnsi="仿宋_GB2312" w:cs="仿宋_GB2312" w:eastAsia="仿宋_GB2312"/>
                      <w:sz w:val="21"/>
                    </w:rPr>
                    <w:t>知识点的对接，满足学习者按照能力图谱路径开展闯关式学习打卡。</w:t>
                  </w:r>
                </w:p>
                <w:p>
                  <w:pPr>
                    <w:pStyle w:val="null3"/>
                    <w:numPr>
                      <w:ilvl w:val="0"/>
                      <w:numId w:val="1"/>
                    </w:numPr>
                    <w:jc w:val="left"/>
                  </w:pPr>
                  <w:r>
                    <w:rPr>
                      <w:rFonts w:ascii="仿宋_GB2312" w:hAnsi="仿宋_GB2312" w:cs="仿宋_GB2312" w:eastAsia="仿宋_GB2312"/>
                      <w:sz w:val="21"/>
                    </w:rPr>
                    <w:t>岗位能力关系建立：系统支持关联岗位、岗位能力、其中支持从岗位能力模型引用数据。筛选对应课程后支持添加课程知识点至岗位能力管理模块，并支持技能点</w:t>
                  </w:r>
                  <w:r>
                    <w:rPr>
                      <w:rFonts w:ascii="仿宋_GB2312" w:hAnsi="仿宋_GB2312" w:cs="仿宋_GB2312" w:eastAsia="仿宋_GB2312"/>
                      <w:sz w:val="21"/>
                    </w:rPr>
                    <w:t>/</w:t>
                  </w:r>
                  <w:r>
                    <w:rPr>
                      <w:rFonts w:ascii="仿宋_GB2312" w:hAnsi="仿宋_GB2312" w:cs="仿宋_GB2312" w:eastAsia="仿宋_GB2312"/>
                      <w:sz w:val="21"/>
                    </w:rPr>
                    <w:t>知识点学习顺序排序。</w:t>
                  </w:r>
                </w:p>
                <w:p>
                  <w:pPr>
                    <w:pStyle w:val="null3"/>
                    <w:numPr>
                      <w:ilvl w:val="0"/>
                      <w:numId w:val="1"/>
                    </w:numPr>
                    <w:jc w:val="left"/>
                  </w:pPr>
                  <w:r>
                    <w:rPr>
                      <w:rFonts w:ascii="仿宋_GB2312" w:hAnsi="仿宋_GB2312" w:cs="仿宋_GB2312" w:eastAsia="仿宋_GB2312"/>
                      <w:sz w:val="21"/>
                    </w:rPr>
                    <w:t>证书能力关系建立：系统支持关联证书、证书能力。筛选对应课程后支持添加课程知识点至岗位能力管理模块，并支持技能点</w:t>
                  </w:r>
                  <w:r>
                    <w:rPr>
                      <w:rFonts w:ascii="仿宋_GB2312" w:hAnsi="仿宋_GB2312" w:cs="仿宋_GB2312" w:eastAsia="仿宋_GB2312"/>
                      <w:sz w:val="21"/>
                    </w:rPr>
                    <w:t>/</w:t>
                  </w:r>
                  <w:r>
                    <w:rPr>
                      <w:rFonts w:ascii="仿宋_GB2312" w:hAnsi="仿宋_GB2312" w:cs="仿宋_GB2312" w:eastAsia="仿宋_GB2312"/>
                      <w:sz w:val="21"/>
                    </w:rPr>
                    <w:t>知识点学习顺序排序。</w:t>
                  </w:r>
                </w:p>
                <w:p>
                  <w:pPr>
                    <w:pStyle w:val="null3"/>
                    <w:numPr>
                      <w:ilvl w:val="0"/>
                      <w:numId w:val="1"/>
                    </w:numPr>
                    <w:jc w:val="left"/>
                  </w:pPr>
                  <w:r>
                    <w:rPr>
                      <w:rFonts w:ascii="仿宋_GB2312" w:hAnsi="仿宋_GB2312" w:cs="仿宋_GB2312" w:eastAsia="仿宋_GB2312"/>
                      <w:sz w:val="21"/>
                    </w:rPr>
                    <w:t>竞赛能力关系建立：系统支持关联竞赛、竞赛能力。筛选对应课程后支持添加课程知识点至岗位能力管理模块，并支持技能点</w:t>
                  </w:r>
                  <w:r>
                    <w:rPr>
                      <w:rFonts w:ascii="仿宋_GB2312" w:hAnsi="仿宋_GB2312" w:cs="仿宋_GB2312" w:eastAsia="仿宋_GB2312"/>
                      <w:sz w:val="21"/>
                    </w:rPr>
                    <w:t>/</w:t>
                  </w:r>
                  <w:r>
                    <w:rPr>
                      <w:rFonts w:ascii="仿宋_GB2312" w:hAnsi="仿宋_GB2312" w:cs="仿宋_GB2312" w:eastAsia="仿宋_GB2312"/>
                      <w:sz w:val="21"/>
                    </w:rPr>
                    <w:t>知识点学习顺序排序。</w:t>
                  </w:r>
                </w:p>
                <w:p>
                  <w:pPr>
                    <w:pStyle w:val="null3"/>
                    <w:numPr>
                      <w:ilvl w:val="0"/>
                      <w:numId w:val="1"/>
                    </w:numPr>
                    <w:jc w:val="left"/>
                  </w:pPr>
                  <w:r>
                    <w:rPr>
                      <w:rFonts w:ascii="仿宋_GB2312" w:hAnsi="仿宋_GB2312" w:cs="仿宋_GB2312" w:eastAsia="仿宋_GB2312"/>
                      <w:sz w:val="21"/>
                    </w:rPr>
                    <w:t>批量编辑：构建岗位能力、证书能力、竞赛能力关系图谱时，支持提供导入模版，用户只需按照导入模版进行数据梳理，即可生成对应能力图谱关系，且导入支持全量更新和增量更新，建设的数据支持导出。</w:t>
                  </w:r>
                </w:p>
                <w:p>
                  <w:pPr>
                    <w:pStyle w:val="null3"/>
                    <w:numPr>
                      <w:ilvl w:val="0"/>
                      <w:numId w:val="1"/>
                    </w:numPr>
                    <w:jc w:val="left"/>
                  </w:pPr>
                  <w:r>
                    <w:rPr>
                      <w:rFonts w:ascii="仿宋_GB2312" w:hAnsi="仿宋_GB2312" w:cs="仿宋_GB2312" w:eastAsia="仿宋_GB2312"/>
                      <w:sz w:val="21"/>
                    </w:rPr>
                    <w:t>能力图谱生成：添加图谱时，支持按照院系信息、适用年级等标签进行选用，包括图谱层级</w:t>
                  </w:r>
                  <w:r>
                    <w:rPr>
                      <w:rFonts w:ascii="仿宋_GB2312" w:hAnsi="仿宋_GB2312" w:cs="仿宋_GB2312" w:eastAsia="仿宋_GB2312"/>
                      <w:sz w:val="21"/>
                    </w:rPr>
                    <w:t>支持</w:t>
                  </w:r>
                  <w:r>
                    <w:rPr>
                      <w:rFonts w:ascii="仿宋_GB2312" w:hAnsi="仿宋_GB2312" w:cs="仿宋_GB2312" w:eastAsia="仿宋_GB2312"/>
                      <w:sz w:val="21"/>
                    </w:rPr>
                    <w:t>展示的相关数据，样式勾选完成之后，即可基于前期能力图谱关系的构建生成对应能力图谱。</w:t>
                  </w:r>
                </w:p>
                <w:p>
                  <w:pPr>
                    <w:pStyle w:val="null3"/>
                    <w:numPr>
                      <w:ilvl w:val="0"/>
                      <w:numId w:val="1"/>
                    </w:numPr>
                    <w:jc w:val="left"/>
                  </w:pPr>
                  <w:r>
                    <w:rPr>
                      <w:rFonts w:ascii="仿宋_GB2312" w:hAnsi="仿宋_GB2312" w:cs="仿宋_GB2312" w:eastAsia="仿宋_GB2312"/>
                      <w:sz w:val="21"/>
                    </w:rPr>
                    <w:t>学生在基于能力图谱学习时，会根据知识点所在网络课程关系，跳转至对应知识点详情页面进行学习，系统会对学习者的权限做相关校验。在维护课程对应关系时，支持对接教务课程激活或者授课教师标记教务课。</w:t>
                  </w:r>
                </w:p>
              </w:tc>
              <w:tc>
                <w:tcPr>
                  <w:tcW w:type="dxa" w:w="131"/>
                  <w:vMerge/>
                  <w:tcBorders>
                    <w:top w:val="none" w:color="000000" w:sz="4"/>
                    <w:left w:val="none" w:color="000000" w:sz="4"/>
                    <w:bottom w:val="none" w:color="000000" w:sz="4"/>
                    <w:right w:val="single" w:color="000000" w:sz="4"/>
                  </w:tcBorders>
                </w:tcPr>
                <w:p/>
              </w:tc>
              <w:tc>
                <w:tcPr>
                  <w:tcW w:type="dxa" w:w="153"/>
                  <w:vMerge/>
                  <w:tcBorders>
                    <w:top w:val="none" w:color="000000" w:sz="4"/>
                    <w:left w:val="none" w:color="000000" w:sz="4"/>
                    <w:bottom w:val="none" w:color="000000" w:sz="4"/>
                    <w:right w:val="single" w:color="000000" w:sz="4"/>
                  </w:tcBorders>
                </w:tcPr>
                <w:p/>
              </w:tc>
            </w:tr>
            <w:tr>
              <w:tc>
                <w:tcPr>
                  <w:tcW w:type="dxa" w:w="142"/>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w:t>
                  </w:r>
                  <w:r>
                    <w:rPr>
                      <w:rFonts w:ascii="仿宋_GB2312" w:hAnsi="仿宋_GB2312" w:cs="仿宋_GB2312" w:eastAsia="仿宋_GB2312"/>
                      <w:sz w:val="21"/>
                      <w:color w:val="000000"/>
                    </w:rPr>
                    <w:t>智能体助手</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建设</w:t>
                  </w:r>
                  <w:r>
                    <w:rPr>
                      <w:rFonts w:ascii="仿宋_GB2312" w:hAnsi="仿宋_GB2312" w:cs="仿宋_GB2312" w:eastAsia="仿宋_GB2312"/>
                      <w:sz w:val="21"/>
                    </w:rPr>
                    <w:t>双高建设</w:t>
                  </w:r>
                  <w:r>
                    <w:rPr>
                      <w:rFonts w:ascii="仿宋_GB2312" w:hAnsi="仿宋_GB2312" w:cs="仿宋_GB2312" w:eastAsia="仿宋_GB2312"/>
                      <w:sz w:val="21"/>
                    </w:rPr>
                    <w:t>平台智能体，进行业务流程，操作说明问题回复等。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基础管理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所建智能体</w:t>
                  </w:r>
                  <w:r>
                    <w:rPr>
                      <w:rFonts w:ascii="仿宋_GB2312" w:hAnsi="仿宋_GB2312" w:cs="仿宋_GB2312" w:eastAsia="仿宋_GB2312"/>
                      <w:sz w:val="21"/>
                    </w:rPr>
                    <w:t>可分配对应管理员单独管理。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支持开启黑名单功能。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支持自定义配置通知公告，公告支持图文、附件、链接等多种内容。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支持自定义配置常见问题，常见问题的数据支持自定义或来源问答库。</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支持自定义配置热门应用和顶部标签。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技能设置中支持阈值自定义。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支持自定义设置欢迎语。</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支持微应用智能推荐和问题联想。</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支持设置多轮</w:t>
                  </w:r>
                  <w:r>
                    <w:rPr>
                      <w:rFonts w:ascii="仿宋_GB2312" w:hAnsi="仿宋_GB2312" w:cs="仿宋_GB2312" w:eastAsia="仿宋_GB2312"/>
                      <w:sz w:val="21"/>
                    </w:rPr>
                    <w:t>问答</w:t>
                  </w:r>
                  <w:r>
                    <w:rPr>
                      <w:rFonts w:ascii="仿宋_GB2312" w:hAnsi="仿宋_GB2312" w:cs="仿宋_GB2312" w:eastAsia="仿宋_GB2312"/>
                      <w:sz w:val="21"/>
                    </w:rPr>
                    <w:t>轮数，最多可调整为</w:t>
                  </w:r>
                  <w:r>
                    <w:rPr>
                      <w:rFonts w:ascii="仿宋_GB2312" w:hAnsi="仿宋_GB2312" w:cs="仿宋_GB2312" w:eastAsia="仿宋_GB2312"/>
                      <w:sz w:val="21"/>
                    </w:rPr>
                    <w:t>10</w:t>
                  </w:r>
                  <w:r>
                    <w:rPr>
                      <w:rFonts w:ascii="仿宋_GB2312" w:hAnsi="仿宋_GB2312" w:cs="仿宋_GB2312" w:eastAsia="仿宋_GB2312"/>
                      <w:sz w:val="21"/>
                    </w:rPr>
                    <w:t>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支持上传单位</w:t>
                  </w:r>
                  <w:r>
                    <w:rPr>
                      <w:rFonts w:ascii="仿宋_GB2312" w:hAnsi="仿宋_GB2312" w:cs="仿宋_GB2312" w:eastAsia="仿宋_GB2312"/>
                      <w:sz w:val="21"/>
                    </w:rPr>
                    <w:t>logo</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支持设置卡通人形象。</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支持开启转人工设置，并且可进行转人工的触发设置，支持设置关键词逻辑转人工。</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支持留言设置，可选择留言回复方式是邮箱还是手机。</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支持针对未知问题、敏感词拦截设置回复语。</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支持独立</w:t>
                  </w:r>
                  <w:r>
                    <w:rPr>
                      <w:rFonts w:ascii="仿宋_GB2312" w:hAnsi="仿宋_GB2312" w:cs="仿宋_GB2312" w:eastAsia="仿宋_GB2312"/>
                      <w:sz w:val="21"/>
                    </w:rPr>
                    <w:t>APP</w:t>
                  </w:r>
                  <w:r>
                    <w:rPr>
                      <w:rFonts w:ascii="仿宋_GB2312" w:hAnsi="仿宋_GB2312" w:cs="仿宋_GB2312" w:eastAsia="仿宋_GB2312"/>
                      <w:sz w:val="21"/>
                    </w:rPr>
                    <w:t>、</w:t>
                  </w:r>
                  <w:r>
                    <w:rPr>
                      <w:rFonts w:ascii="仿宋_GB2312" w:hAnsi="仿宋_GB2312" w:cs="仿宋_GB2312" w:eastAsia="仿宋_GB2312"/>
                      <w:sz w:val="21"/>
                    </w:rPr>
                    <w:t>PC</w:t>
                  </w:r>
                  <w:r>
                    <w:rPr>
                      <w:rFonts w:ascii="仿宋_GB2312" w:hAnsi="仿宋_GB2312" w:cs="仿宋_GB2312" w:eastAsia="仿宋_GB2312"/>
                      <w:sz w:val="21"/>
                    </w:rPr>
                    <w:t>端、微信端多渠道接入。</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支持前后台对话大模型切换，包含两种及以上大模型类型可选。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知识库管理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支持自定义添加、编辑、删除业务问答分类，分类数量无限制。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问答分类支持批量编辑，可以移动和拖拽排序。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支持自定义添加、编辑、删除、批量导入、批量导出、批量删除业务问答规则，业务问答规则数量无限制。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支持手工启用、手工停用业务问答规则，同时可根据关键词、状态、创建人和来源搜索业务内容。</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业务问答规则中，回答的答案支持文本、图片、附件、自定义级联菜单、图文混排、链接等多种内容。</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业务问答规则中，支持添加相似问题，前台问答时可根据相似问题进行答案回复。</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支持自定义添加、编辑业务问答中问题标签，问答时可根据标签进行问答提示。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业务问答支持关联微应用，支持关联本单位的已有应用与自建应用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业务问答规则中支持关联文档，问答时可根据关联文档标签进行问答提示；</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支持自定义添加、编辑、删除知识库分类，分类数量无限制。</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知识库分类支持批量编辑，可以移动和拖拽排序。</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支持自定义添加、编辑、预览、批量下载、批量移动。</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批量删除文档，文档支持</w:t>
                  </w:r>
                  <w:r>
                    <w:rPr>
                      <w:rFonts w:ascii="仿宋_GB2312" w:hAnsi="仿宋_GB2312" w:cs="仿宋_GB2312" w:eastAsia="仿宋_GB2312"/>
                      <w:sz w:val="21"/>
                    </w:rPr>
                    <w:t>txt, doc/docx, pdf, ppt, pptx, xlsx</w:t>
                  </w:r>
                  <w:r>
                    <w:rPr>
                      <w:rFonts w:ascii="仿宋_GB2312" w:hAnsi="仿宋_GB2312" w:cs="仿宋_GB2312" w:eastAsia="仿宋_GB2312"/>
                      <w:sz w:val="21"/>
                    </w:rPr>
                    <w:t>，</w:t>
                  </w:r>
                  <w:r>
                    <w:rPr>
                      <w:rFonts w:ascii="仿宋_GB2312" w:hAnsi="仿宋_GB2312" w:cs="仿宋_GB2312" w:eastAsia="仿宋_GB2312"/>
                      <w:sz w:val="21"/>
                    </w:rPr>
                    <w:t xml:space="preserve">xls </w:t>
                  </w:r>
                  <w:r>
                    <w:rPr>
                      <w:rFonts w:ascii="仿宋_GB2312" w:hAnsi="仿宋_GB2312" w:cs="仿宋_GB2312" w:eastAsia="仿宋_GB2312"/>
                      <w:sz w:val="21"/>
                    </w:rPr>
                    <w:t>格式以及常规视频格式。</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支持手工启用、手工停用查看源文，同时可根据关键词、状态、来源、日期范围和创建人搜索文件内容。</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支持用户手动上传文档至问答库，上传后系统可对上传的文档进行解析，解析后可智能回答文档相关问题。</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支持新建多级应用库分类，分类数量无限制。</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支持关键词和状态筛选应用，状态筛选包括全部、启用、停用三种状态。</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支持自定义添加、编辑、删除插件，且数量无限制。</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▲支持自定义新建、编辑任务流，任务流数量无限制。也支持单个或批量删除、启用、停用任务流，启用后，前台问答根据设定流程答复。</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支持切换旧版</w:t>
                  </w:r>
                  <w:r>
                    <w:rPr>
                      <w:rFonts w:ascii="仿宋_GB2312" w:hAnsi="仿宋_GB2312" w:cs="仿宋_GB2312" w:eastAsia="仿宋_GB2312"/>
                      <w:sz w:val="21"/>
                    </w:rPr>
                    <w:t>/</w:t>
                  </w:r>
                  <w:r>
                    <w:rPr>
                      <w:rFonts w:ascii="仿宋_GB2312" w:hAnsi="仿宋_GB2312" w:cs="仿宋_GB2312" w:eastAsia="仿宋_GB2312"/>
                      <w:sz w:val="21"/>
                    </w:rPr>
                    <w:t>新版任务流。</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支持关键词检索任务流。</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任务流编辑中，支持设定功能节点，至少包含代码、条件选择期以及知识库等</w:t>
                  </w:r>
                  <w:r>
                    <w:rPr>
                      <w:rFonts w:ascii="仿宋_GB2312" w:hAnsi="仿宋_GB2312" w:cs="仿宋_GB2312" w:eastAsia="仿宋_GB2312"/>
                      <w:sz w:val="21"/>
                    </w:rPr>
                    <w:t>5</w:t>
                  </w:r>
                  <w:r>
                    <w:rPr>
                      <w:rFonts w:ascii="仿宋_GB2312" w:hAnsi="仿宋_GB2312" w:cs="仿宋_GB2312" w:eastAsia="仿宋_GB2312"/>
                      <w:sz w:val="21"/>
                    </w:rPr>
                    <w:t>种功能节点，可自由拖拽排布任务流。</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任务流编辑中，支持设定交互节点，至少包含动态选项、问答以及静态选项等</w:t>
                  </w:r>
                  <w:r>
                    <w:rPr>
                      <w:rFonts w:ascii="仿宋_GB2312" w:hAnsi="仿宋_GB2312" w:cs="仿宋_GB2312" w:eastAsia="仿宋_GB2312"/>
                      <w:sz w:val="21"/>
                    </w:rPr>
                    <w:t>3</w:t>
                  </w:r>
                  <w:r>
                    <w:rPr>
                      <w:rFonts w:ascii="仿宋_GB2312" w:hAnsi="仿宋_GB2312" w:cs="仿宋_GB2312" w:eastAsia="仿宋_GB2312"/>
                      <w:sz w:val="21"/>
                    </w:rPr>
                    <w:t>种交互节点，可自由拖拽排布任务流。</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任务流编辑中，支持设定大模型，包含大模型变量赋值和大模型生成等。</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任务流编辑中，支持设定消息节点，可自由拖拽排布任务流。</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任务流编辑中，支持使用功能节点、交互节点、大模型和消息节点自定义任务流程，发布后前台问答按照设定任务流程答复。</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任务流编辑中，支持试运行，进行流程配置检查。</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机器人可自动对没有答案的问题进行关键词识别并统计聚类，按照关键词问答频率由高到低排序，同时可以编辑、删除、批量导出以及清空未知问题。</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支持智能学习功能，根据用户行为自动记录待学习问题，超级管理员可进行一键学习或一键通过。</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支持手工添加未知问题到业务问答规则，并支持自定义修改。</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支持设置是否直接由系统大模型进行前台问答回复。</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智能问答</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提问时支持通过文字、语音输入问题，并且支持上传图片、文件，通过读取图片、文件内的问题进行提问，文件支持</w:t>
                  </w:r>
                  <w:r>
                    <w:rPr>
                      <w:rFonts w:ascii="仿宋_GB2312" w:hAnsi="仿宋_GB2312" w:cs="仿宋_GB2312" w:eastAsia="仿宋_GB2312"/>
                      <w:sz w:val="21"/>
                    </w:rPr>
                    <w:t>DOC/DOCX</w:t>
                  </w:r>
                  <w:r>
                    <w:rPr>
                      <w:rFonts w:ascii="仿宋_GB2312" w:hAnsi="仿宋_GB2312" w:cs="仿宋_GB2312" w:eastAsia="仿宋_GB2312"/>
                      <w:sz w:val="21"/>
                    </w:rPr>
                    <w:t>、</w:t>
                  </w:r>
                  <w:r>
                    <w:rPr>
                      <w:rFonts w:ascii="仿宋_GB2312" w:hAnsi="仿宋_GB2312" w:cs="仿宋_GB2312" w:eastAsia="仿宋_GB2312"/>
                      <w:sz w:val="21"/>
                    </w:rPr>
                    <w:t>PDF</w:t>
                  </w:r>
                  <w:r>
                    <w:rPr>
                      <w:rFonts w:ascii="仿宋_GB2312" w:hAnsi="仿宋_GB2312" w:cs="仿宋_GB2312" w:eastAsia="仿宋_GB2312"/>
                      <w:sz w:val="21"/>
                    </w:rPr>
                    <w:t>格式。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支持文字输出答案和语音播报答案两种答案回复路径，语音播报可随时暂停。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机器人输出的答案支持显示来源，可直接截取显示与答案有关的原文内容。</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支持一键复制问题的答案。</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支持根据用户输入问题进行匹配提示。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支持问答无匹配时，提供用户语义中相似度最高的热门问题。</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支持新建会话。</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支持前台切换大模型进行对话。</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统计分析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支持查看机器人问答历史记录，可根据时间、来源、渠道、有效性等筛选指定历史会话内容，还可过滤空白对话，并支持批量导出。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支持访客统计，根据时间筛选查看访客数、会话数、消息总数，并提供访客趋势图和地区分布图。</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支持问答内容统计，根据会话内容形成问答内容趋势统计图，按照回答方式展示机器人问答的统计数据。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支持热门问题统计，根据问答分类进行热门问题统计。</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支持有效</w:t>
                  </w:r>
                  <w:r>
                    <w:rPr>
                      <w:rFonts w:ascii="仿宋_GB2312" w:hAnsi="仿宋_GB2312" w:cs="仿宋_GB2312" w:eastAsia="仿宋_GB2312"/>
                      <w:sz w:val="21"/>
                    </w:rPr>
                    <w:t>/</w:t>
                  </w:r>
                  <w:r>
                    <w:rPr>
                      <w:rFonts w:ascii="仿宋_GB2312" w:hAnsi="仿宋_GB2312" w:cs="仿宋_GB2312" w:eastAsia="仿宋_GB2312"/>
                      <w:sz w:val="21"/>
                    </w:rPr>
                    <w:t>无效回复统计，根据时间筛选查看有效</w:t>
                  </w:r>
                  <w:r>
                    <w:rPr>
                      <w:rFonts w:ascii="仿宋_GB2312" w:hAnsi="仿宋_GB2312" w:cs="仿宋_GB2312" w:eastAsia="仿宋_GB2312"/>
                      <w:sz w:val="21"/>
                    </w:rPr>
                    <w:t>/</w:t>
                  </w:r>
                  <w:r>
                    <w:rPr>
                      <w:rFonts w:ascii="仿宋_GB2312" w:hAnsi="仿宋_GB2312" w:cs="仿宋_GB2312" w:eastAsia="仿宋_GB2312"/>
                      <w:sz w:val="21"/>
                    </w:rPr>
                    <w:t>无效率。</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14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专业群孵化培育</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佐证材料指导</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在中期检查、结项验收等关键时间节点，邀请行业专家对校内佐证材料进行系统性指导与专业性评价，确保材料的规范性、真实性与成果导向性，从材料逻辑性、数据支撑力度、成果创新性等维度进行专业指导与综合评价，为后续建设方向调整与质量提升提供依据。</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r>
            <w:tr>
              <w:tc>
                <w:tcPr>
                  <w:tcW w:type="dxa" w:w="142"/>
                  <w:vMerge/>
                  <w:tcBorders>
                    <w:top w:val="singl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成果培育</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在双高建设期间，紧密结合学校专业群建设、课程改革、产教融合等实际需求，邀请行业领域专家、企业技术骨干及职教研究学者组建专项指导团队，通过专题研讨、项目孵化、资源对接等方式，助力学校系统培育技术创新成果、教学改革成果及产教融合示范项目等，提升成果的质量层次与应用价值，为双高建设目标达成提供专业支撑。</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三、服务要求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团队成员至少包括项目负责人、技术支持人员、培训师、客服人员等。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投标供应商须提供本地化服务，及时线上响应及解决时间，需现场解决的问题，</w:t>
            </w:r>
            <w:r>
              <w:rPr>
                <w:rFonts w:ascii="仿宋_GB2312" w:hAnsi="仿宋_GB2312" w:cs="仿宋_GB2312" w:eastAsia="仿宋_GB2312"/>
                <w:sz w:val="21"/>
              </w:rPr>
              <w:t>8</w:t>
            </w:r>
            <w:r>
              <w:rPr>
                <w:rFonts w:ascii="仿宋_GB2312" w:hAnsi="仿宋_GB2312" w:cs="仿宋_GB2312" w:eastAsia="仿宋_GB2312"/>
                <w:sz w:val="21"/>
              </w:rPr>
              <w:t>小时内到达现场处理，确保后期运行的稳定性，确保服务的效率及效果，满足采购方的质量和效率要求，实施过程中不得无故更换实施人员。</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在项目实施过程中及售后服务期内，项目投标人需承诺指定专人负责与用户保持长期的联系与服务。</w:t>
            </w:r>
          </w:p>
          <w:p>
            <w:pPr>
              <w:pStyle w:val="null3"/>
            </w:pPr>
            <w:r>
              <w:rPr>
                <w:rFonts w:ascii="仿宋_GB2312" w:hAnsi="仿宋_GB2312" w:cs="仿宋_GB2312" w:eastAsia="仿宋_GB2312"/>
                <w:sz w:val="21"/>
              </w:rPr>
              <w:t>4.</w:t>
            </w:r>
            <w:r>
              <w:rPr>
                <w:rFonts w:ascii="仿宋_GB2312" w:hAnsi="仿宋_GB2312" w:cs="仿宋_GB2312" w:eastAsia="仿宋_GB2312"/>
                <w:sz w:val="21"/>
              </w:rPr>
              <w:t>提供完整</w:t>
            </w:r>
            <w:r>
              <w:rPr>
                <w:rFonts w:ascii="仿宋_GB2312" w:hAnsi="仿宋_GB2312" w:cs="仿宋_GB2312" w:eastAsia="仿宋_GB2312"/>
                <w:sz w:val="21"/>
              </w:rPr>
              <w:t>的平台配套的产品资料，包括系统安装使用手册、系统功能模块说明书、用户使用手册、帮助文档等。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四、其他要求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）成果交付要求</w:t>
            </w:r>
          </w:p>
          <w:p>
            <w:pPr>
              <w:pStyle w:val="null3"/>
              <w:jc w:val="left"/>
            </w:pPr>
            <w:r>
              <w:rPr>
                <w:rFonts w:ascii="仿宋_GB2312" w:hAnsi="仿宋_GB2312" w:cs="仿宋_GB2312" w:eastAsia="仿宋_GB2312"/>
                <w:sz w:val="21"/>
              </w:rPr>
              <w:t>项目所有的知识产权归属供应商方所有。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）质量验收标准或规范</w:t>
            </w:r>
          </w:p>
          <w:p>
            <w:pPr>
              <w:pStyle w:val="null3"/>
            </w:pPr>
            <w:r>
              <w:rPr>
                <w:rFonts w:ascii="仿宋_GB2312" w:hAnsi="仿宋_GB2312" w:cs="仿宋_GB2312" w:eastAsia="仿宋_GB2312"/>
                <w:sz w:val="21"/>
              </w:rPr>
              <w:t>必须满足采购方的各项技术指标要求，服务要求，未满足质量要求标准不予验收。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标的名称：新型光电显示技术培训中心（校企合作项目）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一、内容</w:t>
            </w:r>
          </w:p>
          <w:tbl>
            <w:tblPr>
              <w:tblBorders>
                <w:top w:val="none" w:color="000000" w:sz="4"/>
                <w:left w:val="none" w:color="000000" w:sz="4"/>
                <w:bottom w:val="none" w:color="000000" w:sz="4"/>
                <w:right w:val="none" w:color="000000" w:sz="4"/>
                <w:insideH w:val="none"/>
                <w:insideV w:val="none"/>
              </w:tblBorders>
            </w:tblPr>
            <w:tblGrid>
              <w:gridCol w:w="344"/>
              <w:gridCol w:w="1206"/>
              <w:gridCol w:w="328"/>
              <w:gridCol w:w="255"/>
              <w:gridCol w:w="411"/>
            </w:tblGrid>
            <w:tr>
              <w:tc>
                <w:tcPr>
                  <w:tcW w:type="dxa" w:w="34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采购品目</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34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光电显示技术实训台</w:t>
                  </w:r>
                </w:p>
              </w:tc>
              <w:tc>
                <w:tcPr>
                  <w:tcW w:type="dxa" w:w="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光电显示校正系统</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信息化教学音视频平台</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综合布线集成改造</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对产品的品质、物理性能、化学性能、电气性能、组成成分、安全指标等所做出的要求详见下表。</w:t>
            </w:r>
          </w:p>
          <w:tbl>
            <w:tblPr>
              <w:tblBorders>
                <w:top w:val="none" w:color="000000" w:sz="4"/>
                <w:left w:val="none" w:color="000000" w:sz="4"/>
                <w:bottom w:val="none" w:color="000000" w:sz="4"/>
                <w:right w:val="none" w:color="000000" w:sz="4"/>
                <w:insideH w:val="none"/>
                <w:insideV w:val="none"/>
              </w:tblBorders>
            </w:tblPr>
            <w:tblGrid>
              <w:gridCol w:w="192"/>
              <w:gridCol w:w="258"/>
              <w:gridCol w:w="2102"/>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2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产品规格要求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光电显示技术实训台</w:t>
                  </w:r>
                </w:p>
              </w:tc>
              <w:tc>
                <w:tcPr>
                  <w:tcW w:type="dxa" w:w="2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实训台需具备完整的实训课程方案，具有教学教案，具有视频课程≥10个，具备专门用于LED光电显示类课程的培训、考试平台；（响应文件中需提供视频课程截图，教案截图，培训资料截图、考试平台截图等进行佐证）</w:t>
                  </w:r>
                </w:p>
                <w:p>
                  <w:pPr>
                    <w:pStyle w:val="null3"/>
                  </w:pPr>
                  <w:r>
                    <w:rPr>
                      <w:rFonts w:ascii="仿宋_GB2312" w:hAnsi="仿宋_GB2312" w:cs="仿宋_GB2312" w:eastAsia="仿宋_GB2312"/>
                      <w:sz w:val="19"/>
                    </w:rPr>
                    <w:t>▲2</w:t>
                  </w:r>
                  <w:r>
                    <w:rPr>
                      <w:rFonts w:ascii="仿宋_GB2312" w:hAnsi="仿宋_GB2312" w:cs="仿宋_GB2312" w:eastAsia="仿宋_GB2312"/>
                      <w:sz w:val="20"/>
                    </w:rPr>
                    <w:t>.实训台采用钣金结构制造，具备钣金结构桌面，要求实训装置的高度≥1</w:t>
                  </w:r>
                  <w:r>
                    <w:rPr>
                      <w:rFonts w:ascii="仿宋_GB2312" w:hAnsi="仿宋_GB2312" w:cs="仿宋_GB2312" w:eastAsia="仿宋_GB2312"/>
                      <w:sz w:val="20"/>
                    </w:rPr>
                    <w:t>85</w:t>
                  </w:r>
                  <w:r>
                    <w:rPr>
                      <w:rFonts w:ascii="仿宋_GB2312" w:hAnsi="仿宋_GB2312" w:cs="仿宋_GB2312" w:eastAsia="仿宋_GB2312"/>
                      <w:sz w:val="20"/>
                    </w:rPr>
                    <w:t>0mm，长度≥1280mm，宽度≥</w:t>
                  </w:r>
                  <w:r>
                    <w:rPr>
                      <w:rFonts w:ascii="仿宋_GB2312" w:hAnsi="仿宋_GB2312" w:cs="仿宋_GB2312" w:eastAsia="仿宋_GB2312"/>
                      <w:sz w:val="20"/>
                    </w:rPr>
                    <w:t>6</w:t>
                  </w:r>
                  <w:r>
                    <w:rPr>
                      <w:rFonts w:ascii="仿宋_GB2312" w:hAnsi="仿宋_GB2312" w:cs="仿宋_GB2312" w:eastAsia="仿宋_GB2312"/>
                      <w:sz w:val="20"/>
                    </w:rPr>
                    <w:t>00mm；（投标文件中需提供产品实拍图进行佐证，</w:t>
                  </w:r>
                  <w:r>
                    <w:rPr>
                      <w:rFonts w:ascii="仿宋_GB2312" w:hAnsi="仿宋_GB2312" w:cs="仿宋_GB2312" w:eastAsia="仿宋_GB2312"/>
                      <w:sz w:val="20"/>
                    </w:rPr>
                    <w:t>并测量长宽高尺寸进行佐证</w:t>
                  </w:r>
                  <w:r>
                    <w:rPr>
                      <w:rFonts w:ascii="仿宋_GB2312" w:hAnsi="仿宋_GB2312" w:cs="仿宋_GB2312" w:eastAsia="仿宋_GB2312"/>
                      <w:sz w:val="20"/>
                    </w:rPr>
                    <w:t>）：</w:t>
                  </w:r>
                </w:p>
                <w:p>
                  <w:pPr>
                    <w:pStyle w:val="null3"/>
                  </w:pPr>
                  <w:r>
                    <w:rPr>
                      <w:rFonts w:ascii="仿宋_GB2312" w:hAnsi="仿宋_GB2312" w:cs="仿宋_GB2312" w:eastAsia="仿宋_GB2312"/>
                      <w:sz w:val="19"/>
                    </w:rPr>
                    <w:t>▲3</w:t>
                  </w:r>
                  <w:r>
                    <w:rPr>
                      <w:rFonts w:ascii="仿宋_GB2312" w:hAnsi="仿宋_GB2312" w:cs="仿宋_GB2312" w:eastAsia="仿宋_GB2312"/>
                      <w:sz w:val="20"/>
                    </w:rPr>
                    <w:t>.面板安装区支持三角形、正方形、长方形等不同规格单元板的</w:t>
                  </w:r>
                  <w:r>
                    <w:rPr>
                      <w:rFonts w:ascii="仿宋_GB2312" w:hAnsi="仿宋_GB2312" w:cs="仿宋_GB2312" w:eastAsia="仿宋_GB2312"/>
                      <w:sz w:val="19"/>
                    </w:rPr>
                    <w:t xml:space="preserve"> </w:t>
                  </w:r>
                  <w:r>
                    <w:rPr>
                      <w:rFonts w:ascii="仿宋_GB2312" w:hAnsi="仿宋_GB2312" w:cs="仿宋_GB2312" w:eastAsia="仿宋_GB2312"/>
                      <w:sz w:val="20"/>
                    </w:rPr>
                    <w:t>安装需求，单元板可以直接吸附在安装区</w:t>
                  </w:r>
                  <w:r>
                    <w:rPr>
                      <w:rFonts w:ascii="仿宋_GB2312" w:hAnsi="仿宋_GB2312" w:cs="仿宋_GB2312" w:eastAsia="仿宋_GB2312"/>
                      <w:sz w:val="20"/>
                    </w:rPr>
                    <w:t>；（</w:t>
                  </w:r>
                  <w:r>
                    <w:rPr>
                      <w:rFonts w:ascii="仿宋_GB2312" w:hAnsi="仿宋_GB2312" w:cs="仿宋_GB2312" w:eastAsia="仿宋_GB2312"/>
                      <w:sz w:val="20"/>
                    </w:rPr>
                    <w:t>投标文件中需提供实训</w:t>
                  </w:r>
                  <w:r>
                    <w:rPr>
                      <w:rFonts w:ascii="仿宋_GB2312" w:hAnsi="仿宋_GB2312" w:cs="仿宋_GB2312" w:eastAsia="仿宋_GB2312"/>
                      <w:sz w:val="20"/>
                    </w:rPr>
                    <w:t>台安装三角形、正方形、长方形等规格单元板的实拍图进行佐证）</w:t>
                  </w:r>
                </w:p>
                <w:p>
                  <w:pPr>
                    <w:pStyle w:val="null3"/>
                  </w:pPr>
                  <w:r>
                    <w:rPr>
                      <w:rFonts w:ascii="仿宋_GB2312" w:hAnsi="仿宋_GB2312" w:cs="仿宋_GB2312" w:eastAsia="仿宋_GB2312"/>
                      <w:sz w:val="20"/>
                    </w:rPr>
                    <w:t>4</w:t>
                  </w:r>
                  <w:r>
                    <w:rPr>
                      <w:rFonts w:ascii="仿宋_GB2312" w:hAnsi="仿宋_GB2312" w:cs="仿宋_GB2312" w:eastAsia="仿宋_GB2312"/>
                      <w:sz w:val="20"/>
                    </w:rPr>
                    <w:t>.通过软件可以导出方案设计图；（投标文件中需提供至少 2 种</w:t>
                  </w:r>
                  <w:r>
                    <w:rPr>
                      <w:rFonts w:ascii="仿宋_GB2312" w:hAnsi="仿宋_GB2312" w:cs="仿宋_GB2312" w:eastAsia="仿宋_GB2312"/>
                      <w:sz w:val="19"/>
                    </w:rPr>
                    <w:t xml:space="preserve"> </w:t>
                  </w:r>
                  <w:r>
                    <w:rPr>
                      <w:rFonts w:ascii="仿宋_GB2312" w:hAnsi="仿宋_GB2312" w:cs="仿宋_GB2312" w:eastAsia="仿宋_GB2312"/>
                      <w:sz w:val="20"/>
                    </w:rPr>
                    <w:t>方案设计图进行佐证）</w:t>
                  </w:r>
                </w:p>
                <w:p>
                  <w:pPr>
                    <w:pStyle w:val="null3"/>
                  </w:pPr>
                  <w:r>
                    <w:rPr>
                      <w:rFonts w:ascii="仿宋_GB2312" w:hAnsi="仿宋_GB2312" w:cs="仿宋_GB2312" w:eastAsia="仿宋_GB2312"/>
                      <w:sz w:val="19"/>
                    </w:rPr>
                    <w:t>▲5</w:t>
                  </w:r>
                  <w:r>
                    <w:rPr>
                      <w:rFonts w:ascii="仿宋_GB2312" w:hAnsi="仿宋_GB2312" w:cs="仿宋_GB2312" w:eastAsia="仿宋_GB2312"/>
                      <w:sz w:val="20"/>
                    </w:rPr>
                    <w:t>.实训台曾用于职业院校开展《LED 显示屏应用》的培训考核工作</w:t>
                  </w:r>
                  <w:r>
                    <w:rPr>
                      <w:rFonts w:ascii="仿宋_GB2312" w:hAnsi="仿宋_GB2312" w:cs="仿宋_GB2312" w:eastAsia="仿宋_GB2312"/>
                      <w:sz w:val="20"/>
                    </w:rPr>
                    <w:t>；（</w:t>
                  </w:r>
                  <w:r>
                    <w:rPr>
                      <w:rFonts w:ascii="仿宋_GB2312" w:hAnsi="仿宋_GB2312" w:cs="仿宋_GB2312" w:eastAsia="仿宋_GB2312"/>
                      <w:sz w:val="20"/>
                    </w:rPr>
                    <w:t>响应文件中需提供该实训台开展《</w:t>
                  </w:r>
                  <w:r>
                    <w:rPr>
                      <w:rFonts w:ascii="仿宋_GB2312" w:hAnsi="仿宋_GB2312" w:cs="仿宋_GB2312" w:eastAsia="仿宋_GB2312"/>
                      <w:sz w:val="20"/>
                    </w:rPr>
                    <w:t>LED 显示屏应用》培训的现场照片，并提供由使用该实训台开展培训的职业院校出具的好评或类似好评的</w:t>
                  </w:r>
                  <w:r>
                    <w:rPr>
                      <w:rFonts w:ascii="仿宋_GB2312" w:hAnsi="仿宋_GB2312" w:cs="仿宋_GB2312" w:eastAsia="仿宋_GB2312"/>
                      <w:sz w:val="20"/>
                    </w:rPr>
                    <w:t>盖章</w:t>
                  </w:r>
                  <w:r>
                    <w:rPr>
                      <w:rFonts w:ascii="仿宋_GB2312" w:hAnsi="仿宋_GB2312" w:cs="仿宋_GB2312" w:eastAsia="仿宋_GB2312"/>
                      <w:sz w:val="20"/>
                    </w:rPr>
                    <w:t>认可意见）</w:t>
                  </w:r>
                </w:p>
                <w:p>
                  <w:pPr>
                    <w:pStyle w:val="null3"/>
                  </w:pPr>
                  <w:r>
                    <w:rPr>
                      <w:rFonts w:ascii="仿宋_GB2312" w:hAnsi="仿宋_GB2312" w:cs="仿宋_GB2312" w:eastAsia="仿宋_GB2312"/>
                      <w:sz w:val="19"/>
                    </w:rPr>
                    <w:t>6.实训台能够支持光电显示类社会培训活动的开展；</w:t>
                  </w:r>
                </w:p>
                <w:p>
                  <w:pPr>
                    <w:pStyle w:val="null3"/>
                  </w:pPr>
                  <w:r>
                    <w:rPr>
                      <w:rFonts w:ascii="仿宋_GB2312" w:hAnsi="仿宋_GB2312" w:cs="仿宋_GB2312" w:eastAsia="仿宋_GB2312"/>
                      <w:sz w:val="19"/>
                    </w:rPr>
                    <w:t>7.实训台显示面板要求不大于p2.5,模组数量≥28块，单元板采用320mm*160mm（允许误差±2mm）规格尺寸，单元板可以显示全彩画面。.</w:t>
                  </w:r>
                </w:p>
                <w:p>
                  <w:pPr>
                    <w:pStyle w:val="null3"/>
                  </w:pPr>
                  <w:r>
                    <w:rPr>
                      <w:rFonts w:ascii="仿宋_GB2312" w:hAnsi="仿宋_GB2312" w:cs="仿宋_GB2312" w:eastAsia="仿宋_GB2312"/>
                      <w:sz w:val="19"/>
                    </w:rPr>
                    <w:t>▲8</w:t>
                  </w:r>
                  <w:r>
                    <w:rPr>
                      <w:rFonts w:ascii="仿宋_GB2312" w:hAnsi="仿宋_GB2312" w:cs="仿宋_GB2312" w:eastAsia="仿宋_GB2312"/>
                      <w:sz w:val="20"/>
                    </w:rPr>
                    <w:t>.实训台万向轮数量≥4</w:t>
                  </w:r>
                  <w:r>
                    <w:rPr>
                      <w:rFonts w:ascii="仿宋_GB2312" w:hAnsi="仿宋_GB2312" w:cs="仿宋_GB2312" w:eastAsia="仿宋_GB2312"/>
                      <w:sz w:val="19"/>
                    </w:rPr>
                    <w:t xml:space="preserve"> </w:t>
                  </w:r>
                  <w:r>
                    <w:rPr>
                      <w:rFonts w:ascii="仿宋_GB2312" w:hAnsi="仿宋_GB2312" w:cs="仿宋_GB2312" w:eastAsia="仿宋_GB2312"/>
                      <w:sz w:val="20"/>
                    </w:rPr>
                    <w:t>个，需采用无边框结构设计，支持至少</w:t>
                  </w:r>
                  <w:r>
                    <w:rPr>
                      <w:rFonts w:ascii="仿宋_GB2312" w:hAnsi="仿宋_GB2312" w:cs="仿宋_GB2312" w:eastAsia="仿宋_GB2312"/>
                      <w:sz w:val="20"/>
                    </w:rPr>
                    <w:t>两台实训台进行拼接</w:t>
                  </w:r>
                  <w:r>
                    <w:rPr>
                      <w:rFonts w:ascii="仿宋_GB2312" w:hAnsi="仿宋_GB2312" w:cs="仿宋_GB2312" w:eastAsia="仿宋_GB2312"/>
                      <w:sz w:val="20"/>
                    </w:rPr>
                    <w:t>；（</w:t>
                  </w:r>
                  <w:r>
                    <w:rPr>
                      <w:rFonts w:ascii="仿宋_GB2312" w:hAnsi="仿宋_GB2312" w:cs="仿宋_GB2312" w:eastAsia="仿宋_GB2312"/>
                      <w:sz w:val="20"/>
                    </w:rPr>
                    <w:t>投标文件中需提供两台实训台进行拼接显示画面的实拍图）</w:t>
                  </w:r>
                </w:p>
                <w:p>
                  <w:pPr>
                    <w:pStyle w:val="null3"/>
                  </w:pPr>
                  <w:r>
                    <w:rPr>
                      <w:rFonts w:ascii="仿宋_GB2312" w:hAnsi="仿宋_GB2312" w:cs="仿宋_GB2312" w:eastAsia="仿宋_GB2312"/>
                      <w:sz w:val="19"/>
                    </w:rPr>
                    <w:t>▲9</w:t>
                  </w:r>
                  <w:r>
                    <w:rPr>
                      <w:rFonts w:ascii="仿宋_GB2312" w:hAnsi="仿宋_GB2312" w:cs="仿宋_GB2312" w:eastAsia="仿宋_GB2312"/>
                      <w:sz w:val="20"/>
                    </w:rPr>
                    <w:t>.实训台上设计有托扶结构，实训台带有储物柜，能够用于放置教学过程中的物料配件</w:t>
                  </w:r>
                  <w:r>
                    <w:rPr>
                      <w:rFonts w:ascii="仿宋_GB2312" w:hAnsi="仿宋_GB2312" w:cs="仿宋_GB2312" w:eastAsia="仿宋_GB2312"/>
                      <w:sz w:val="20"/>
                    </w:rPr>
                    <w:t>；（</w:t>
                  </w:r>
                  <w:r>
                    <w:rPr>
                      <w:rFonts w:ascii="仿宋_GB2312" w:hAnsi="仿宋_GB2312" w:cs="仿宋_GB2312" w:eastAsia="仿宋_GB2312"/>
                      <w:sz w:val="20"/>
                    </w:rPr>
                    <w:t>投标文件中需提供实训台实拍图、并标注托扶结构进行佐证）</w:t>
                  </w:r>
                </w:p>
                <w:p>
                  <w:pPr>
                    <w:pStyle w:val="null3"/>
                  </w:pPr>
                  <w:r>
                    <w:rPr>
                      <w:rFonts w:ascii="仿宋_GB2312" w:hAnsi="仿宋_GB2312" w:cs="仿宋_GB2312" w:eastAsia="仿宋_GB2312"/>
                      <w:sz w:val="19"/>
                    </w:rPr>
                    <w:t>▲10.本实训台</w:t>
                  </w:r>
                  <w:r>
                    <w:rPr>
                      <w:rFonts w:ascii="仿宋_GB2312" w:hAnsi="仿宋_GB2312" w:cs="仿宋_GB2312" w:eastAsia="仿宋_GB2312"/>
                      <w:sz w:val="20"/>
                    </w:rPr>
                    <w:t>须与学校现有同类型实训设备兼容</w:t>
                  </w:r>
                  <w:r>
                    <w:rPr>
                      <w:rFonts w:ascii="仿宋_GB2312" w:hAnsi="仿宋_GB2312" w:cs="仿宋_GB2312" w:eastAsia="仿宋_GB2312"/>
                      <w:sz w:val="20"/>
                    </w:rPr>
                    <w:t>，</w:t>
                  </w:r>
                  <w:r>
                    <w:rPr>
                      <w:rFonts w:ascii="仿宋_GB2312" w:hAnsi="仿宋_GB2312" w:cs="仿宋_GB2312" w:eastAsia="仿宋_GB2312"/>
                      <w:sz w:val="20"/>
                    </w:rPr>
                    <w:t>可物理</w:t>
                  </w:r>
                  <w:r>
                    <w:rPr>
                      <w:rFonts w:ascii="仿宋_GB2312" w:hAnsi="仿宋_GB2312" w:cs="仿宋_GB2312" w:eastAsia="仿宋_GB2312"/>
                      <w:sz w:val="20"/>
                    </w:rPr>
                    <w:t>混用协同开展实训教学，不得影响原有设备正常使用。</w:t>
                  </w:r>
                  <w:r>
                    <w:rPr>
                      <w:rFonts w:ascii="仿宋_GB2312" w:hAnsi="仿宋_GB2312" w:cs="仿宋_GB2312" w:eastAsia="仿宋_GB2312"/>
                      <w:sz w:val="20"/>
                    </w:rPr>
                    <w:t>（</w:t>
                  </w:r>
                  <w:r>
                    <w:rPr>
                      <w:rFonts w:ascii="仿宋_GB2312" w:hAnsi="仿宋_GB2312" w:cs="仿宋_GB2312" w:eastAsia="仿宋_GB2312"/>
                      <w:sz w:val="20"/>
                    </w:rPr>
                    <w:t>响应文件需提供新、旧实训台兼容性技术方案，方案至少包括设备接口适配、数据互通规则、整体联调测试等内容，确保新旧实训台可协同开展实训教学</w:t>
                  </w:r>
                  <w:r>
                    <w:rPr>
                      <w:rFonts w:ascii="仿宋_GB2312" w:hAnsi="仿宋_GB2312" w:cs="仿宋_GB2312" w:eastAsia="仿宋_GB2312"/>
                      <w:sz w:val="20"/>
                    </w:rPr>
                    <w:t>）</w:t>
                  </w:r>
                </w:p>
                <w:p>
                  <w:pPr>
                    <w:pStyle w:val="null3"/>
                  </w:pPr>
                  <w:r>
                    <w:rPr>
                      <w:rFonts w:ascii="仿宋_GB2312" w:hAnsi="仿宋_GB2312" w:cs="仿宋_GB2312" w:eastAsia="仿宋_GB2312"/>
                      <w:sz w:val="19"/>
                    </w:rPr>
                    <w:t>11.显控模块至少支持1路SL-DVI视频信号输入和1路HDMI1.3信号的输入；</w:t>
                  </w:r>
                </w:p>
                <w:p>
                  <w:pPr>
                    <w:pStyle w:val="null3"/>
                  </w:pPr>
                  <w:r>
                    <w:rPr>
                      <w:rFonts w:ascii="仿宋_GB2312" w:hAnsi="仿宋_GB2312" w:cs="仿宋_GB2312" w:eastAsia="仿宋_GB2312"/>
                      <w:sz w:val="19"/>
                    </w:rPr>
                    <w:t>12.显控模块支持12bit/10bit/8bit的高位阶视频源输入；</w:t>
                  </w:r>
                </w:p>
                <w:p>
                  <w:pPr>
                    <w:pStyle w:val="null3"/>
                  </w:pPr>
                  <w:r>
                    <w:rPr>
                      <w:rFonts w:ascii="仿宋_GB2312" w:hAnsi="仿宋_GB2312" w:cs="仿宋_GB2312" w:eastAsia="仿宋_GB2312"/>
                      <w:sz w:val="19"/>
                    </w:rPr>
                    <w:t>13.显控模块网口数量≥4个，单路网口的最大带载≥65万像素点；</w:t>
                  </w:r>
                </w:p>
                <w:p>
                  <w:pPr>
                    <w:pStyle w:val="null3"/>
                  </w:pPr>
                  <w:r>
                    <w:rPr>
                      <w:rFonts w:ascii="仿宋_GB2312" w:hAnsi="仿宋_GB2312" w:cs="仿宋_GB2312" w:eastAsia="仿宋_GB2312"/>
                      <w:sz w:val="19"/>
                    </w:rPr>
                    <w:t>14.显控模块支持USB接口控制，支持级联控制的设备数量≥10台；</w:t>
                  </w:r>
                </w:p>
                <w:p>
                  <w:pPr>
                    <w:pStyle w:val="null3"/>
                  </w:pPr>
                  <w:r>
                    <w:rPr>
                      <w:rFonts w:ascii="仿宋_GB2312" w:hAnsi="仿宋_GB2312" w:cs="仿宋_GB2312" w:eastAsia="仿宋_GB2312"/>
                      <w:sz w:val="19"/>
                    </w:rPr>
                    <w:t>15.显控模块支持接入亮度检测模块，可以实现显示面板亮度的自动调节；</w:t>
                  </w:r>
                </w:p>
                <w:p>
                  <w:pPr>
                    <w:pStyle w:val="null3"/>
                  </w:pPr>
                  <w:r>
                    <w:rPr>
                      <w:rFonts w:ascii="仿宋_GB2312" w:hAnsi="仿宋_GB2312" w:cs="仿宋_GB2312" w:eastAsia="仿宋_GB2312"/>
                      <w:sz w:val="19"/>
                    </w:rPr>
                    <w:t>16.光感模块支持感应环境亮度，不需要额外的外接电源供电；</w:t>
                  </w:r>
                </w:p>
                <w:p>
                  <w:pPr>
                    <w:pStyle w:val="null3"/>
                  </w:pPr>
                  <w:r>
                    <w:rPr>
                      <w:rFonts w:ascii="仿宋_GB2312" w:hAnsi="仿宋_GB2312" w:cs="仿宋_GB2312" w:eastAsia="仿宋_GB2312"/>
                      <w:sz w:val="19"/>
                    </w:rPr>
                    <w:t>17.接收模块支持通过软件实现固件程序的回读功能，能够查看到对应程序的版本；</w:t>
                  </w:r>
                </w:p>
                <w:p>
                  <w:pPr>
                    <w:pStyle w:val="null3"/>
                  </w:pPr>
                  <w:r>
                    <w:rPr>
                      <w:rFonts w:ascii="仿宋_GB2312" w:hAnsi="仿宋_GB2312" w:cs="仿宋_GB2312" w:eastAsia="仿宋_GB2312"/>
                      <w:sz w:val="19"/>
                    </w:rPr>
                    <w:t>18.接收模块的控制接口数量≥12个，网口数量≥2个；</w:t>
                  </w:r>
                </w:p>
                <w:p>
                  <w:pPr>
                    <w:pStyle w:val="null3"/>
                  </w:pPr>
                  <w:r>
                    <w:rPr>
                      <w:rFonts w:ascii="仿宋_GB2312" w:hAnsi="仿宋_GB2312" w:cs="仿宋_GB2312" w:eastAsia="仿宋_GB2312"/>
                      <w:sz w:val="19"/>
                    </w:rPr>
                    <w:t>▲19</w:t>
                  </w:r>
                  <w:r>
                    <w:rPr>
                      <w:rFonts w:ascii="仿宋_GB2312" w:hAnsi="仿宋_GB2312" w:cs="仿宋_GB2312" w:eastAsia="仿宋_GB2312"/>
                      <w:sz w:val="20"/>
                    </w:rPr>
                    <w:t>.接收模块支持显示画面 90°倍数旋转功能；（投标文件中需提供实训台画面旋转 90°、180°、270°的现场实拍图）</w:t>
                  </w:r>
                </w:p>
                <w:p>
                  <w:pPr>
                    <w:pStyle w:val="null3"/>
                  </w:pPr>
                  <w:r>
                    <w:rPr>
                      <w:rFonts w:ascii="仿宋_GB2312" w:hAnsi="仿宋_GB2312" w:cs="仿宋_GB2312" w:eastAsia="仿宋_GB2312"/>
                      <w:sz w:val="19"/>
                    </w:rPr>
                    <w:t>20.视频模块至少具备一个快捷按键，可以一键将优先级最低的窗口自适应铺满至全屏；</w:t>
                  </w:r>
                </w:p>
                <w:p>
                  <w:pPr>
                    <w:pStyle w:val="null3"/>
                  </w:pPr>
                  <w:r>
                    <w:rPr>
                      <w:rFonts w:ascii="仿宋_GB2312" w:hAnsi="仿宋_GB2312" w:cs="仿宋_GB2312" w:eastAsia="仿宋_GB2312"/>
                      <w:sz w:val="19"/>
                    </w:rPr>
                    <w:t>21.视频模块需具备前面板，前面板能够显示出网口通讯状态，能够支持自定义缩放模式的设置；</w:t>
                  </w:r>
                </w:p>
                <w:p>
                  <w:pPr>
                    <w:pStyle w:val="null3"/>
                  </w:pPr>
                  <w:r>
                    <w:rPr>
                      <w:rFonts w:ascii="仿宋_GB2312" w:hAnsi="仿宋_GB2312" w:cs="仿宋_GB2312" w:eastAsia="仿宋_GB2312"/>
                      <w:sz w:val="19"/>
                    </w:rPr>
                    <w:t>22.视频模块通过设备前面板能够支持有限转完全的功能；</w:t>
                  </w:r>
                </w:p>
                <w:p>
                  <w:pPr>
                    <w:pStyle w:val="null3"/>
                  </w:pPr>
                  <w:r>
                    <w:rPr>
                      <w:rFonts w:ascii="仿宋_GB2312" w:hAnsi="仿宋_GB2312" w:cs="仿宋_GB2312" w:eastAsia="仿宋_GB2312"/>
                      <w:sz w:val="19"/>
                    </w:rPr>
                    <w:t>23.视频模块通过前面板能够支持音频输出选择到主图层的功能；</w:t>
                  </w:r>
                </w:p>
                <w:p>
                  <w:pPr>
                    <w:pStyle w:val="null3"/>
                  </w:pPr>
                  <w:r>
                    <w:rPr>
                      <w:rFonts w:ascii="仿宋_GB2312" w:hAnsi="仿宋_GB2312" w:cs="仿宋_GB2312" w:eastAsia="仿宋_GB2312"/>
                      <w:sz w:val="19"/>
                    </w:rPr>
                    <w:t>24.视频模块支持显示的图层数量≥3个，图层的位置和大小均可单独调节；</w:t>
                  </w:r>
                </w:p>
                <w:p>
                  <w:pPr>
                    <w:pStyle w:val="null3"/>
                  </w:pPr>
                  <w:r>
                    <w:rPr>
                      <w:rFonts w:ascii="仿宋_GB2312" w:hAnsi="仿宋_GB2312" w:cs="仿宋_GB2312" w:eastAsia="仿宋_GB2312"/>
                      <w:sz w:val="19"/>
                    </w:rPr>
                    <w:t>25.视频模块支持 HDMI 1.3、DVI 输入分辨率自定义调节；</w:t>
                  </w:r>
                </w:p>
                <w:p>
                  <w:pPr>
                    <w:pStyle w:val="null3"/>
                  </w:pPr>
                  <w:r>
                    <w:rPr>
                      <w:rFonts w:ascii="仿宋_GB2312" w:hAnsi="仿宋_GB2312" w:cs="仿宋_GB2312" w:eastAsia="仿宋_GB2312"/>
                      <w:sz w:val="19"/>
                    </w:rPr>
                    <w:t>26.视频模块的最大带载≥300万像素；</w:t>
                  </w:r>
                </w:p>
                <w:p>
                  <w:pPr>
                    <w:pStyle w:val="null3"/>
                  </w:pPr>
                  <w:r>
                    <w:rPr>
                      <w:rFonts w:ascii="仿宋_GB2312" w:hAnsi="仿宋_GB2312" w:cs="仿宋_GB2312" w:eastAsia="仿宋_GB2312"/>
                      <w:sz w:val="19"/>
                    </w:rPr>
                    <w:t>27.视频模块的音频支持音频独立输入和伴随HDMI输入两种输入模式；</w:t>
                  </w:r>
                </w:p>
                <w:p>
                  <w:pPr>
                    <w:pStyle w:val="null3"/>
                  </w:pPr>
                  <w:r>
                    <w:rPr>
                      <w:rFonts w:ascii="仿宋_GB2312" w:hAnsi="仿宋_GB2312" w:cs="仿宋_GB2312" w:eastAsia="仿宋_GB2312"/>
                      <w:sz w:val="19"/>
                    </w:rPr>
                    <w:t>28.播放模块带载的极限宽度≥4096像素点、极限高度≥4096像素点；</w:t>
                  </w:r>
                </w:p>
                <w:p>
                  <w:pPr>
                    <w:pStyle w:val="null3"/>
                  </w:pPr>
                  <w:r>
                    <w:rPr>
                      <w:rFonts w:ascii="仿宋_GB2312" w:hAnsi="仿宋_GB2312" w:cs="仿宋_GB2312" w:eastAsia="仿宋_GB2312"/>
                      <w:sz w:val="19"/>
                    </w:rPr>
                    <w:t>▲29.播放模块的控制软件要求能够支持进行信道选择的功能，</w:t>
                  </w:r>
                  <w:r>
                    <w:rPr>
                      <w:rFonts w:ascii="仿宋_GB2312" w:hAnsi="仿宋_GB2312" w:cs="仿宋_GB2312" w:eastAsia="仿宋_GB2312"/>
                      <w:sz w:val="20"/>
                    </w:rPr>
                    <w:t>能够支持与本地网络隔离的功能</w:t>
                  </w:r>
                  <w:r>
                    <w:rPr>
                      <w:rFonts w:ascii="仿宋_GB2312" w:hAnsi="仿宋_GB2312" w:cs="仿宋_GB2312" w:eastAsia="仿宋_GB2312"/>
                      <w:sz w:val="19"/>
                    </w:rPr>
                    <w:t>；</w:t>
                  </w:r>
                  <w:r>
                    <w:rPr>
                      <w:rFonts w:ascii="仿宋_GB2312" w:hAnsi="仿宋_GB2312" w:cs="仿宋_GB2312" w:eastAsia="仿宋_GB2312"/>
                      <w:sz w:val="20"/>
                    </w:rPr>
                    <w:t>（</w:t>
                  </w:r>
                  <w:r>
                    <w:rPr>
                      <w:rFonts w:ascii="仿宋_GB2312" w:hAnsi="仿宋_GB2312" w:cs="仿宋_GB2312" w:eastAsia="仿宋_GB2312"/>
                      <w:sz w:val="20"/>
                    </w:rPr>
                    <w:t>投标文件中需提供软件功能截图进行佐证）</w:t>
                  </w:r>
                </w:p>
                <w:p>
                  <w:pPr>
                    <w:pStyle w:val="null3"/>
                  </w:pPr>
                  <w:r>
                    <w:rPr>
                      <w:rFonts w:ascii="仿宋_GB2312" w:hAnsi="仿宋_GB2312" w:cs="仿宋_GB2312" w:eastAsia="仿宋_GB2312"/>
                      <w:sz w:val="19"/>
                    </w:rPr>
                    <w:t>30.播放模块控制网口的数量≥2个；</w:t>
                  </w:r>
                </w:p>
                <w:p>
                  <w:pPr>
                    <w:pStyle w:val="null3"/>
                  </w:pPr>
                  <w:r>
                    <w:rPr>
                      <w:rFonts w:ascii="仿宋_GB2312" w:hAnsi="仿宋_GB2312" w:cs="仿宋_GB2312" w:eastAsia="仿宋_GB2312"/>
                      <w:sz w:val="19"/>
                    </w:rPr>
                    <w:t>31.播放模块支持通过软件查看硬盘使用情况；</w:t>
                  </w:r>
                </w:p>
                <w:p>
                  <w:pPr>
                    <w:pStyle w:val="null3"/>
                  </w:pPr>
                  <w:r>
                    <w:rPr>
                      <w:rFonts w:ascii="仿宋_GB2312" w:hAnsi="仿宋_GB2312" w:cs="仿宋_GB2312" w:eastAsia="仿宋_GB2312"/>
                      <w:sz w:val="19"/>
                    </w:rPr>
                    <w:t>32.播放模块支持外接传感器的接口数量≥2个，能够外接亮度传感器或温湿度传感器；</w:t>
                  </w:r>
                </w:p>
                <w:p>
                  <w:pPr>
                    <w:pStyle w:val="null3"/>
                  </w:pPr>
                  <w:r>
                    <w:rPr>
                      <w:rFonts w:ascii="仿宋_GB2312" w:hAnsi="仿宋_GB2312" w:cs="仿宋_GB2312" w:eastAsia="仿宋_GB2312"/>
                      <w:sz w:val="19"/>
                    </w:rPr>
                    <w:t>33.播放模块前面板指示灯数量≥4个，能够反映设备的供电情况、设备工作状态等；</w:t>
                  </w:r>
                </w:p>
                <w:p>
                  <w:pPr>
                    <w:pStyle w:val="null3"/>
                  </w:pPr>
                  <w:r>
                    <w:rPr>
                      <w:rFonts w:ascii="仿宋_GB2312" w:hAnsi="仿宋_GB2312" w:cs="仿宋_GB2312" w:eastAsia="仿宋_GB2312"/>
                      <w:sz w:val="19"/>
                    </w:rPr>
                    <w:t>34.播放模块支持FPGA版本回读，便于实训过程中的故障排查；</w:t>
                  </w:r>
                </w:p>
                <w:p>
                  <w:pPr>
                    <w:pStyle w:val="null3"/>
                  </w:pPr>
                  <w:r>
                    <w:rPr>
                      <w:rFonts w:ascii="仿宋_GB2312" w:hAnsi="仿宋_GB2312" w:cs="仿宋_GB2312" w:eastAsia="仿宋_GB2312"/>
                      <w:sz w:val="19"/>
                    </w:rPr>
                    <w:t>35.控制卡模块支持RS232串口或千兆网口通信；</w:t>
                  </w:r>
                </w:p>
                <w:p>
                  <w:pPr>
                    <w:pStyle w:val="null3"/>
                  </w:pPr>
                  <w:r>
                    <w:rPr>
                      <w:rFonts w:ascii="仿宋_GB2312" w:hAnsi="仿宋_GB2312" w:cs="仿宋_GB2312" w:eastAsia="仿宋_GB2312"/>
                      <w:sz w:val="19"/>
                    </w:rPr>
                    <w:t>36.控制卡模块具备至少8路电源开关控制的功能，传感器接口数量≥4；</w:t>
                  </w:r>
                </w:p>
                <w:p>
                  <w:pPr>
                    <w:pStyle w:val="null3"/>
                  </w:pPr>
                  <w:r>
                    <w:rPr>
                      <w:rFonts w:ascii="仿宋_GB2312" w:hAnsi="仿宋_GB2312" w:cs="仿宋_GB2312" w:eastAsia="仿宋_GB2312"/>
                      <w:sz w:val="19"/>
                    </w:rPr>
                    <w:t>▲37.调试软件需支持定制桌面logo、软件名称、载入界面；（投标人需提供为职业院校定制软件名称的案例截图）</w:t>
                  </w:r>
                </w:p>
                <w:p>
                  <w:pPr>
                    <w:pStyle w:val="null3"/>
                  </w:pPr>
                  <w:r>
                    <w:rPr>
                      <w:rFonts w:ascii="仿宋_GB2312" w:hAnsi="仿宋_GB2312" w:cs="仿宋_GB2312" w:eastAsia="仿宋_GB2312"/>
                      <w:sz w:val="19"/>
                    </w:rPr>
                    <w:t>▲</w:t>
                  </w:r>
                  <w:r>
                    <w:rPr>
                      <w:rFonts w:ascii="仿宋_GB2312" w:hAnsi="仿宋_GB2312" w:cs="仿宋_GB2312" w:eastAsia="仿宋_GB2312"/>
                      <w:sz w:val="20"/>
                    </w:rPr>
                    <w:t>38</w:t>
                  </w:r>
                  <w:r>
                    <w:rPr>
                      <w:rFonts w:ascii="仿宋_GB2312" w:hAnsi="仿宋_GB2312" w:cs="仿宋_GB2312" w:eastAsia="仿宋_GB2312"/>
                      <w:sz w:val="20"/>
                    </w:rPr>
                    <w:t xml:space="preserve">.调试软件需支持一键配置功能，调试软件需支持 </w:t>
                  </w:r>
                  <w:r>
                    <w:rPr>
                      <w:rFonts w:ascii="仿宋_GB2312" w:hAnsi="仿宋_GB2312" w:cs="仿宋_GB2312" w:eastAsia="仿宋_GB2312"/>
                      <w:sz w:val="20"/>
                    </w:rPr>
                    <w:t>Gamma</w:t>
                  </w:r>
                  <w:r>
                    <w:rPr>
                      <w:rFonts w:ascii="仿宋_GB2312" w:hAnsi="仿宋_GB2312" w:cs="仿宋_GB2312" w:eastAsia="仿宋_GB2312"/>
                      <w:sz w:val="20"/>
                    </w:rPr>
                    <w:t xml:space="preserve"> </w:t>
                  </w:r>
                  <w:r>
                    <w:rPr>
                      <w:rFonts w:ascii="仿宋_GB2312" w:hAnsi="仿宋_GB2312" w:cs="仿宋_GB2312" w:eastAsia="仿宋_GB2312"/>
                      <w:sz w:val="20"/>
                    </w:rPr>
                    <w:t>表微调，需具备开启双色点检功能</w:t>
                  </w:r>
                  <w:r>
                    <w:rPr>
                      <w:rFonts w:ascii="仿宋_GB2312" w:hAnsi="仿宋_GB2312" w:cs="仿宋_GB2312" w:eastAsia="仿宋_GB2312"/>
                      <w:sz w:val="20"/>
                    </w:rPr>
                    <w:t>；（</w:t>
                  </w:r>
                  <w:r>
                    <w:rPr>
                      <w:rFonts w:ascii="仿宋_GB2312" w:hAnsi="仿宋_GB2312" w:cs="仿宋_GB2312" w:eastAsia="仿宋_GB2312"/>
                      <w:sz w:val="20"/>
                    </w:rPr>
                    <w:t>投标文件中需提供软件功能截图进行佐证）</w:t>
                  </w:r>
                </w:p>
                <w:p>
                  <w:pPr>
                    <w:pStyle w:val="null3"/>
                  </w:pPr>
                  <w:r>
                    <w:rPr>
                      <w:rFonts w:ascii="仿宋_GB2312" w:hAnsi="仿宋_GB2312" w:cs="仿宋_GB2312" w:eastAsia="仿宋_GB2312"/>
                      <w:sz w:val="19"/>
                    </w:rPr>
                    <w:t>39.调试软件需具有勾选发送卡低延迟和接收卡低延迟功能；</w:t>
                  </w:r>
                </w:p>
                <w:p>
                  <w:pPr>
                    <w:pStyle w:val="null3"/>
                  </w:pPr>
                  <w:r>
                    <w:rPr>
                      <w:rFonts w:ascii="仿宋_GB2312" w:hAnsi="仿宋_GB2312" w:cs="仿宋_GB2312" w:eastAsia="仿宋_GB2312"/>
                      <w:sz w:val="19"/>
                    </w:rPr>
                    <w:t>40.调试软件需具有启用色域调节的功能；</w:t>
                  </w:r>
                </w:p>
                <w:p>
                  <w:pPr>
                    <w:pStyle w:val="null3"/>
                  </w:pPr>
                  <w:r>
                    <w:rPr>
                      <w:rFonts w:ascii="仿宋_GB2312" w:hAnsi="仿宋_GB2312" w:cs="仿宋_GB2312" w:eastAsia="仿宋_GB2312"/>
                      <w:sz w:val="19"/>
                    </w:rPr>
                    <w:t>41.调试软件需具有组合屏数量的自定义设置的功能；</w:t>
                  </w:r>
                </w:p>
                <w:p>
                  <w:pPr>
                    <w:pStyle w:val="null3"/>
                  </w:pPr>
                  <w:r>
                    <w:rPr>
                      <w:rFonts w:ascii="仿宋_GB2312" w:hAnsi="仿宋_GB2312" w:cs="仿宋_GB2312" w:eastAsia="仿宋_GB2312"/>
                      <w:sz w:val="19"/>
                    </w:rPr>
                    <w:t>42.调试软件需支持计算器功能；</w:t>
                  </w:r>
                </w:p>
                <w:p>
                  <w:pPr>
                    <w:pStyle w:val="null3"/>
                  </w:pPr>
                  <w:r>
                    <w:rPr>
                      <w:rFonts w:ascii="仿宋_GB2312" w:hAnsi="仿宋_GB2312" w:cs="仿宋_GB2312" w:eastAsia="仿宋_GB2312"/>
                      <w:sz w:val="19"/>
                    </w:rPr>
                    <w:t>43.方案设计软件至少支持离线设计和在线设计两种模式，在不连接硬件的情况下也可以进行方案设计；</w:t>
                  </w:r>
                </w:p>
                <w:p>
                  <w:pPr>
                    <w:pStyle w:val="null3"/>
                  </w:pPr>
                  <w:r>
                    <w:rPr>
                      <w:rFonts w:ascii="仿宋_GB2312" w:hAnsi="仿宋_GB2312" w:cs="仿宋_GB2312" w:eastAsia="仿宋_GB2312"/>
                      <w:sz w:val="19"/>
                    </w:rPr>
                    <w:t>44.方案设计软件和播放软件能够支持的设备型号≥20种；</w:t>
                  </w:r>
                </w:p>
                <w:p>
                  <w:pPr>
                    <w:pStyle w:val="null3"/>
                  </w:pPr>
                  <w:r>
                    <w:rPr>
                      <w:rFonts w:ascii="仿宋_GB2312" w:hAnsi="仿宋_GB2312" w:cs="仿宋_GB2312" w:eastAsia="仿宋_GB2312"/>
                      <w:sz w:val="19"/>
                    </w:rPr>
                    <w:t>45.通过软件可以导出方案设计图；</w:t>
                  </w:r>
                </w:p>
                <w:p>
                  <w:pPr>
                    <w:pStyle w:val="null3"/>
                  </w:pPr>
                  <w:r>
                    <w:rPr>
                      <w:rFonts w:ascii="仿宋_GB2312" w:hAnsi="仿宋_GB2312" w:cs="仿宋_GB2312" w:eastAsia="仿宋_GB2312"/>
                      <w:sz w:val="19"/>
                    </w:rPr>
                    <w:t>▲46</w:t>
                  </w:r>
                  <w:r>
                    <w:rPr>
                      <w:rFonts w:ascii="仿宋_GB2312" w:hAnsi="仿宋_GB2312" w:cs="仿宋_GB2312" w:eastAsia="仿宋_GB2312"/>
                      <w:sz w:val="20"/>
                    </w:rPr>
                    <w:t>.项目案例至少包含</w:t>
                  </w:r>
                  <w:r>
                    <w:rPr>
                      <w:rFonts w:ascii="仿宋_GB2312" w:hAnsi="仿宋_GB2312" w:cs="仿宋_GB2312" w:eastAsia="仿宋_GB2312"/>
                      <w:sz w:val="19"/>
                    </w:rPr>
                    <w:t xml:space="preserve"> </w:t>
                  </w:r>
                  <w:r>
                    <w:rPr>
                      <w:rFonts w:ascii="仿宋_GB2312" w:hAnsi="仿宋_GB2312" w:cs="仿宋_GB2312" w:eastAsia="仿宋_GB2312"/>
                      <w:sz w:val="20"/>
                    </w:rPr>
                    <w:t>2</w:t>
                  </w:r>
                  <w:r>
                    <w:rPr>
                      <w:rFonts w:ascii="仿宋_GB2312" w:hAnsi="仿宋_GB2312" w:cs="仿宋_GB2312" w:eastAsia="仿宋_GB2312"/>
                      <w:sz w:val="19"/>
                    </w:rPr>
                    <w:t xml:space="preserve"> </w:t>
                  </w:r>
                  <w:r>
                    <w:rPr>
                      <w:rFonts w:ascii="仿宋_GB2312" w:hAnsi="仿宋_GB2312" w:cs="仿宋_GB2312" w:eastAsia="仿宋_GB2312"/>
                      <w:sz w:val="20"/>
                    </w:rPr>
                    <w:t>个真实项目，内容需包含项目施工图、</w:t>
                  </w:r>
                  <w:r>
                    <w:rPr>
                      <w:rFonts w:ascii="仿宋_GB2312" w:hAnsi="仿宋_GB2312" w:cs="仿宋_GB2312" w:eastAsia="仿宋_GB2312"/>
                      <w:sz w:val="20"/>
                    </w:rPr>
                    <w:t>系统拓扑图、技术调试文件、技术支持报告文档等</w:t>
                  </w:r>
                  <w:r>
                    <w:rPr>
                      <w:rFonts w:ascii="仿宋_GB2312" w:hAnsi="仿宋_GB2312" w:cs="仿宋_GB2312" w:eastAsia="仿宋_GB2312"/>
                      <w:sz w:val="20"/>
                    </w:rPr>
                    <w:t>；（</w:t>
                  </w:r>
                  <w:r>
                    <w:rPr>
                      <w:rFonts w:ascii="仿宋_GB2312" w:hAnsi="仿宋_GB2312" w:cs="仿宋_GB2312" w:eastAsia="仿宋_GB2312"/>
                      <w:sz w:val="20"/>
                    </w:rPr>
                    <w:t>投标文件中需提供项目施工图、系统拓扑图、技术调试文件、技术支持报告文档等</w:t>
                  </w:r>
                  <w:r>
                    <w:rPr>
                      <w:rFonts w:ascii="仿宋_GB2312" w:hAnsi="仿宋_GB2312" w:cs="仿宋_GB2312" w:eastAsia="仿宋_GB2312"/>
                      <w:sz w:val="20"/>
                    </w:rPr>
                    <w:t>内容的截图等进行佐证）</w:t>
                  </w:r>
                </w:p>
                <w:p>
                  <w:pPr>
                    <w:pStyle w:val="null3"/>
                  </w:pPr>
                  <w:r>
                    <w:rPr>
                      <w:rFonts w:ascii="仿宋_GB2312" w:hAnsi="仿宋_GB2312" w:cs="仿宋_GB2312" w:eastAsia="仿宋_GB2312"/>
                      <w:sz w:val="19"/>
                    </w:rPr>
                    <w:t>47.需支持输入画质的调节，至少包含亮度、对比度、色调、饱和度等值的调节；</w:t>
                  </w:r>
                </w:p>
                <w:p>
                  <w:pPr>
                    <w:pStyle w:val="null3"/>
                  </w:pPr>
                  <w:r>
                    <w:rPr>
                      <w:rFonts w:ascii="仿宋_GB2312" w:hAnsi="仿宋_GB2312" w:cs="仿宋_GB2312" w:eastAsia="仿宋_GB2312"/>
                      <w:sz w:val="19"/>
                    </w:rPr>
                    <w:t>48.软件需具有自测试功能，要求包含丰富的测试画面，至少应包含网格线、网格斜线、白色渐变左右、白色渐变上下模式；</w:t>
                  </w:r>
                </w:p>
                <w:p>
                  <w:pPr>
                    <w:pStyle w:val="null3"/>
                  </w:pPr>
                  <w:r>
                    <w:rPr>
                      <w:rFonts w:ascii="仿宋_GB2312" w:hAnsi="仿宋_GB2312" w:cs="仿宋_GB2312" w:eastAsia="仿宋_GB2312"/>
                      <w:sz w:val="19"/>
                    </w:rPr>
                    <w:t>49.软件需具有本机播放和异步播放两种模式，可以根据课程需求实现两种模式的切换；</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光电显示校正系统</w:t>
                  </w:r>
                </w:p>
              </w:tc>
              <w:tc>
                <w:tcPr>
                  <w:tcW w:type="dxa" w:w="2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15"/>
                  </w:pPr>
                  <w:r>
                    <w:rPr>
                      <w:rFonts w:ascii="仿宋_GB2312" w:hAnsi="仿宋_GB2312" w:cs="仿宋_GB2312" w:eastAsia="仿宋_GB2312"/>
                      <w:sz w:val="20"/>
                    </w:rPr>
                    <w:t>1.校准系统配套的信号采集装置需要包含18-135mm变焦镜头；</w:t>
                  </w:r>
                </w:p>
                <w:p>
                  <w:pPr>
                    <w:pStyle w:val="null3"/>
                    <w:spacing w:before="30"/>
                    <w:ind w:right="15"/>
                  </w:pPr>
                  <w:r>
                    <w:rPr>
                      <w:rFonts w:ascii="仿宋_GB2312" w:hAnsi="仿宋_GB2312" w:cs="仿宋_GB2312" w:eastAsia="仿宋_GB2312"/>
                      <w:sz w:val="20"/>
                    </w:rPr>
                    <w:t>2.校准系统信号采集装置需要采用USB接口或以太网等通用接口传输控制信号；</w:t>
                  </w:r>
                </w:p>
                <w:p>
                  <w:pPr>
                    <w:pStyle w:val="null3"/>
                    <w:spacing w:before="30"/>
                    <w:ind w:right="15"/>
                  </w:pPr>
                  <w:r>
                    <w:rPr>
                      <w:rFonts w:ascii="仿宋_GB2312" w:hAnsi="仿宋_GB2312" w:cs="仿宋_GB2312" w:eastAsia="仿宋_GB2312"/>
                      <w:sz w:val="20"/>
                    </w:rPr>
                    <w:t>3.系统配套软件支持分区拓扑图与画面控制功能；</w:t>
                  </w:r>
                </w:p>
                <w:p>
                  <w:pPr>
                    <w:pStyle w:val="null3"/>
                    <w:spacing w:before="30"/>
                    <w:ind w:right="15"/>
                  </w:pPr>
                  <w:r>
                    <w:rPr>
                      <w:rFonts w:ascii="仿宋_GB2312" w:hAnsi="仿宋_GB2312" w:cs="仿宋_GB2312" w:eastAsia="仿宋_GB2312"/>
                      <w:sz w:val="20"/>
                    </w:rPr>
                    <w:t>4.系统配套软件参数调节需要包含自动与手动两种模式，支持通过软件手动调节光圈大小、曝光时间、ISO等内容；</w:t>
                  </w:r>
                </w:p>
                <w:p>
                  <w:pPr>
                    <w:pStyle w:val="null3"/>
                    <w:spacing w:before="30"/>
                    <w:ind w:right="15"/>
                  </w:pPr>
                  <w:r>
                    <w:rPr>
                      <w:rFonts w:ascii="仿宋_GB2312" w:hAnsi="仿宋_GB2312" w:cs="仿宋_GB2312" w:eastAsia="仿宋_GB2312"/>
                      <w:sz w:val="20"/>
                    </w:rPr>
                    <w:t>5.系统配套软件需支持勾选预热功能，可以自定义设置预热时长；</w:t>
                  </w:r>
                </w:p>
                <w:p>
                  <w:pPr>
                    <w:pStyle w:val="null3"/>
                    <w:spacing w:before="30"/>
                    <w:ind w:right="15"/>
                  </w:pPr>
                  <w:r>
                    <w:rPr>
                      <w:rFonts w:ascii="仿宋_GB2312" w:hAnsi="仿宋_GB2312" w:cs="仿宋_GB2312" w:eastAsia="仿宋_GB2312"/>
                      <w:sz w:val="20"/>
                    </w:rPr>
                    <w:t>6.系统配套软件需支持自定义勾选系数生成、系数上传、系数固化等功能；</w:t>
                  </w:r>
                </w:p>
                <w:p>
                  <w:pPr>
                    <w:pStyle w:val="null3"/>
                    <w:spacing w:before="30"/>
                    <w:ind w:right="15"/>
                  </w:pPr>
                  <w:r>
                    <w:rPr>
                      <w:rFonts w:ascii="仿宋_GB2312" w:hAnsi="仿宋_GB2312" w:cs="仿宋_GB2312" w:eastAsia="仿宋_GB2312"/>
                      <w:sz w:val="20"/>
                    </w:rPr>
                    <w:t>7.系统配套软件需支持更改目标值的功能，可以手动勾选是否启用色温；</w:t>
                  </w:r>
                </w:p>
                <w:p>
                  <w:pPr>
                    <w:pStyle w:val="null3"/>
                    <w:spacing w:before="30"/>
                    <w:ind w:right="15"/>
                  </w:pPr>
                  <w:r>
                    <w:rPr>
                      <w:rFonts w:ascii="仿宋_GB2312" w:hAnsi="仿宋_GB2312" w:cs="仿宋_GB2312" w:eastAsia="仿宋_GB2312"/>
                      <w:sz w:val="20"/>
                    </w:rPr>
                    <w:t>▲8</w:t>
                  </w:r>
                  <w:r>
                    <w:rPr>
                      <w:rFonts w:ascii="仿宋_GB2312" w:hAnsi="仿宋_GB2312" w:cs="仿宋_GB2312" w:eastAsia="仿宋_GB2312"/>
                      <w:sz w:val="20"/>
                    </w:rPr>
                    <w:t xml:space="preserve">.采用色域标定技术，支持将显示单元的色域标定至 </w:t>
                  </w:r>
                  <w:r>
                    <w:rPr>
                      <w:rFonts w:ascii="仿宋_GB2312" w:hAnsi="仿宋_GB2312" w:cs="仿宋_GB2312" w:eastAsia="仿宋_GB2312"/>
                      <w:sz w:val="20"/>
                    </w:rPr>
                    <w:t>BT</w:t>
                  </w:r>
                  <w:r>
                    <w:rPr>
                      <w:rFonts w:ascii="仿宋_GB2312" w:hAnsi="仿宋_GB2312" w:cs="仿宋_GB2312" w:eastAsia="仿宋_GB2312"/>
                      <w:sz w:val="20"/>
                    </w:rPr>
                    <w:t>.709 色域范围；（投标文件中需提供该功能截图进行佐证）</w:t>
                  </w:r>
                </w:p>
                <w:p>
                  <w:pPr>
                    <w:pStyle w:val="null3"/>
                    <w:spacing w:before="30"/>
                    <w:ind w:right="15"/>
                  </w:pPr>
                  <w:r>
                    <w:rPr>
                      <w:rFonts w:ascii="仿宋_GB2312" w:hAnsi="仿宋_GB2312" w:cs="仿宋_GB2312" w:eastAsia="仿宋_GB2312"/>
                      <w:sz w:val="20"/>
                    </w:rPr>
                    <w:t>9.系统配套软件需支持自定义调节采集间隔；</w:t>
                  </w:r>
                </w:p>
                <w:p>
                  <w:pPr>
                    <w:pStyle w:val="null3"/>
                    <w:spacing w:before="30"/>
                    <w:ind w:right="15"/>
                  </w:pPr>
                  <w:r>
                    <w:rPr>
                      <w:rFonts w:ascii="仿宋_GB2312" w:hAnsi="仿宋_GB2312" w:cs="仿宋_GB2312" w:eastAsia="仿宋_GB2312"/>
                      <w:sz w:val="20"/>
                    </w:rPr>
                    <w:t>10.系统配套软件需支持分别调节红色、绿色、蓝色的曝光时间；</w:t>
                  </w:r>
                </w:p>
                <w:p>
                  <w:pPr>
                    <w:pStyle w:val="null3"/>
                    <w:spacing w:before="30"/>
                    <w:ind w:right="15"/>
                  </w:pPr>
                  <w:r>
                    <w:rPr>
                      <w:rFonts w:ascii="仿宋_GB2312" w:hAnsi="仿宋_GB2312" w:cs="仿宋_GB2312" w:eastAsia="仿宋_GB2312"/>
                      <w:sz w:val="20"/>
                    </w:rPr>
                    <w:t>11.系统配套软件控制系统界面需至少支持3种系统类型；</w:t>
                  </w:r>
                </w:p>
                <w:p>
                  <w:pPr>
                    <w:pStyle w:val="null3"/>
                    <w:spacing w:before="30"/>
                    <w:ind w:right="15"/>
                  </w:pPr>
                  <w:r>
                    <w:rPr>
                      <w:rFonts w:ascii="仿宋_GB2312" w:hAnsi="仿宋_GB2312" w:cs="仿宋_GB2312" w:eastAsia="仿宋_GB2312"/>
                      <w:sz w:val="20"/>
                    </w:rPr>
                    <w:t>12.系统配套软件需支持白色亮度衰减调节功能。</w:t>
                  </w:r>
                </w:p>
                <w:p>
                  <w:pPr>
                    <w:pStyle w:val="null3"/>
                    <w:spacing w:before="30"/>
                    <w:ind w:right="15"/>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支持</w:t>
                  </w:r>
                  <w:r>
                    <w:rPr>
                      <w:rFonts w:ascii="仿宋_GB2312" w:hAnsi="仿宋_GB2312" w:cs="仿宋_GB2312" w:eastAsia="仿宋_GB2312"/>
                      <w:sz w:val="20"/>
                    </w:rPr>
                    <w:t>RGBW 均衡优化模式；（投标文件中需提供该功能截图进行佐证）</w:t>
                  </w:r>
                </w:p>
                <w:p>
                  <w:pPr>
                    <w:pStyle w:val="null3"/>
                    <w:spacing w:before="30"/>
                    <w:ind w:right="15"/>
                  </w:pPr>
                  <w:r>
                    <w:rPr>
                      <w:rFonts w:ascii="仿宋_GB2312" w:hAnsi="仿宋_GB2312" w:cs="仿宋_GB2312" w:eastAsia="仿宋_GB2312"/>
                      <w:sz w:val="20"/>
                    </w:rPr>
                    <w:t>14.</w:t>
                  </w:r>
                  <w:r>
                    <w:rPr>
                      <w:rFonts w:ascii="仿宋_GB2312" w:hAnsi="仿宋_GB2312" w:cs="仿宋_GB2312" w:eastAsia="仿宋_GB2312"/>
                      <w:sz w:val="20"/>
                    </w:rPr>
                    <w:t>软件应为教学专用版，软件主界面名称应包</w:t>
                  </w:r>
                  <w:r>
                    <w:rPr>
                      <w:rFonts w:ascii="仿宋_GB2312" w:hAnsi="仿宋_GB2312" w:cs="仿宋_GB2312" w:eastAsia="仿宋_GB2312"/>
                      <w:sz w:val="19"/>
                    </w:rPr>
                    <w:t xml:space="preserve"> </w:t>
                  </w:r>
                  <w:r>
                    <w:rPr>
                      <w:rFonts w:ascii="仿宋_GB2312" w:hAnsi="仿宋_GB2312" w:cs="仿宋_GB2312" w:eastAsia="仿宋_GB2312"/>
                      <w:sz w:val="20"/>
                    </w:rPr>
                    <w:t>含</w:t>
                  </w:r>
                  <w:r>
                    <w:rPr>
                      <w:rFonts w:ascii="仿宋_GB2312" w:hAnsi="仿宋_GB2312" w:cs="仿宋_GB2312" w:eastAsia="仿宋_GB2312"/>
                      <w:sz w:val="20"/>
                    </w:rPr>
                    <w:t>“教学专用版 ”字样，在“未检测到加密狗 ”状态下，新建校正项</w:t>
                  </w:r>
                  <w:r>
                    <w:rPr>
                      <w:rFonts w:ascii="仿宋_GB2312" w:hAnsi="仿宋_GB2312" w:cs="仿宋_GB2312" w:eastAsia="仿宋_GB2312"/>
                      <w:sz w:val="19"/>
                    </w:rPr>
                    <w:t xml:space="preserve"> </w:t>
                  </w:r>
                  <w:r>
                    <w:rPr>
                      <w:rFonts w:ascii="仿宋_GB2312" w:hAnsi="仿宋_GB2312" w:cs="仿宋_GB2312" w:eastAsia="仿宋_GB2312"/>
                      <w:sz w:val="20"/>
                    </w:rPr>
                    <w:t>目后，控制系统功能区可以选择至少</w:t>
                  </w:r>
                  <w:r>
                    <w:rPr>
                      <w:rFonts w:ascii="仿宋_GB2312" w:hAnsi="仿宋_GB2312" w:cs="仿宋_GB2312" w:eastAsia="仿宋_GB2312"/>
                      <w:sz w:val="20"/>
                    </w:rPr>
                    <w:t>2 种不同的系统版本，填写 IP、</w:t>
                  </w:r>
                  <w:r>
                    <w:rPr>
                      <w:rFonts w:ascii="仿宋_GB2312" w:hAnsi="仿宋_GB2312" w:cs="仿宋_GB2312" w:eastAsia="仿宋_GB2312"/>
                      <w:sz w:val="19"/>
                    </w:rPr>
                    <w:t xml:space="preserve"> </w:t>
                  </w:r>
                  <w:r>
                    <w:rPr>
                      <w:rFonts w:ascii="仿宋_GB2312" w:hAnsi="仿宋_GB2312" w:cs="仿宋_GB2312" w:eastAsia="仿宋_GB2312"/>
                      <w:sz w:val="20"/>
                    </w:rPr>
                    <w:t>Port 后，电脑无需安装加密狗、U 盘等任何外接插件即可连接至控制</w:t>
                  </w:r>
                  <w:r>
                    <w:rPr>
                      <w:rFonts w:ascii="仿宋_GB2312" w:hAnsi="仿宋_GB2312" w:cs="仿宋_GB2312" w:eastAsia="仿宋_GB2312"/>
                      <w:sz w:val="19"/>
                    </w:rPr>
                    <w:t xml:space="preserve"> </w:t>
                  </w:r>
                  <w:r>
                    <w:rPr>
                      <w:rFonts w:ascii="仿宋_GB2312" w:hAnsi="仿宋_GB2312" w:cs="仿宋_GB2312" w:eastAsia="仿宋_GB2312"/>
                      <w:sz w:val="20"/>
                    </w:rPr>
                    <w:t>系统，软件提示</w:t>
                  </w:r>
                  <w:r>
                    <w:rPr>
                      <w:rFonts w:ascii="仿宋_GB2312" w:hAnsi="仿宋_GB2312" w:cs="仿宋_GB2312" w:eastAsia="仿宋_GB2312"/>
                      <w:sz w:val="20"/>
                    </w:rPr>
                    <w:t>“连接控制系统成功 ”</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信息化教学音视频平台</w:t>
                  </w:r>
                </w:p>
              </w:tc>
              <w:tc>
                <w:tcPr>
                  <w:tcW w:type="dxa" w:w="2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1.平台包含全彩LED大屏，挂壁式安装，采用前维护，且分辨率至少达到1920*1080；</w:t>
                  </w:r>
                </w:p>
                <w:p>
                  <w:pPr>
                    <w:pStyle w:val="null3"/>
                  </w:pPr>
                  <w:r>
                    <w:rPr>
                      <w:rFonts w:ascii="仿宋_GB2312" w:hAnsi="仿宋_GB2312" w:cs="仿宋_GB2312" w:eastAsia="仿宋_GB2312"/>
                      <w:sz w:val="19"/>
                    </w:rPr>
                    <w:t>2.平台的显示系统的刷新率应≥3840Hz；</w:t>
                  </w:r>
                </w:p>
                <w:p>
                  <w:pPr>
                    <w:pStyle w:val="null3"/>
                  </w:pPr>
                  <w:r>
                    <w:rPr>
                      <w:rFonts w:ascii="仿宋_GB2312" w:hAnsi="仿宋_GB2312" w:cs="仿宋_GB2312" w:eastAsia="仿宋_GB2312"/>
                      <w:sz w:val="19"/>
                    </w:rPr>
                    <w:t>3.具备话筒、功放、音频处理、音响等单元；</w:t>
                  </w:r>
                </w:p>
                <w:p>
                  <w:pPr>
                    <w:pStyle w:val="null3"/>
                  </w:pPr>
                  <w:r>
                    <w:rPr>
                      <w:rFonts w:ascii="仿宋_GB2312" w:hAnsi="仿宋_GB2312" w:cs="仿宋_GB2312" w:eastAsia="仿宋_GB2312"/>
                      <w:sz w:val="19"/>
                    </w:rPr>
                    <w:t>4.无线手持话筒接收主机前面板两个通道具备独立显示音量电平、信号强度以及当前频率。</w:t>
                  </w:r>
                </w:p>
                <w:p>
                  <w:pPr>
                    <w:pStyle w:val="null3"/>
                  </w:pPr>
                  <w:r>
                    <w:rPr>
                      <w:rFonts w:ascii="仿宋_GB2312" w:hAnsi="仿宋_GB2312" w:cs="仿宋_GB2312" w:eastAsia="仿宋_GB2312"/>
                      <w:sz w:val="19"/>
                    </w:rPr>
                    <w:t>5.功放额定功率：2×300W/8Ω，2×480W/4Ω,2×670W/2Ω。</w:t>
                  </w:r>
                </w:p>
                <w:p>
                  <w:pPr>
                    <w:pStyle w:val="null3"/>
                  </w:pPr>
                  <w:r>
                    <w:rPr>
                      <w:rFonts w:ascii="仿宋_GB2312" w:hAnsi="仿宋_GB2312" w:cs="仿宋_GB2312" w:eastAsia="仿宋_GB2312"/>
                      <w:sz w:val="19"/>
                    </w:rPr>
                    <w:t>6.功放频率响应：20Hz-20KHz。</w:t>
                  </w:r>
                </w:p>
                <w:p>
                  <w:pPr>
                    <w:pStyle w:val="null3"/>
                  </w:pPr>
                  <w:r>
                    <w:rPr>
                      <w:rFonts w:ascii="仿宋_GB2312" w:hAnsi="仿宋_GB2312" w:cs="仿宋_GB2312" w:eastAsia="仿宋_GB2312"/>
                      <w:sz w:val="19"/>
                    </w:rPr>
                    <w:t>7.数字音频处理器8路平衡式话筒/线路输入，采用裸线接口端子，平衡接法，具有48V幻象供电软开关，可以驱动各类电容麦克风单元；</w:t>
                  </w:r>
                </w:p>
                <w:p>
                  <w:pPr>
                    <w:pStyle w:val="null3"/>
                  </w:pPr>
                  <w:r>
                    <w:rPr>
                      <w:rFonts w:ascii="仿宋_GB2312" w:hAnsi="仿宋_GB2312" w:cs="仿宋_GB2312" w:eastAsia="仿宋_GB2312"/>
                      <w:sz w:val="19"/>
                    </w:rPr>
                    <w:t>8.8路平衡式线路输出，采用裸线接口端子，平衡接法；</w:t>
                  </w:r>
                </w:p>
                <w:p>
                  <w:pPr>
                    <w:pStyle w:val="null3"/>
                  </w:pPr>
                  <w:r>
                    <w:rPr>
                      <w:rFonts w:ascii="仿宋_GB2312" w:hAnsi="仿宋_GB2312" w:cs="仿宋_GB2312" w:eastAsia="仿宋_GB2312"/>
                      <w:sz w:val="19"/>
                    </w:rPr>
                    <w:t>9.音响采用音柱扬声器，功率：200W（额定）/800W（峰值）。更好适应教学场景。</w:t>
                  </w:r>
                </w:p>
                <w:p>
                  <w:pPr>
                    <w:pStyle w:val="null3"/>
                  </w:pPr>
                  <w:r>
                    <w:rPr>
                      <w:rFonts w:ascii="仿宋_GB2312" w:hAnsi="仿宋_GB2312" w:cs="仿宋_GB2312" w:eastAsia="仿宋_GB2312"/>
                      <w:sz w:val="19"/>
                    </w:rPr>
                    <w:t>10.平台的显示系统对应像素的间距要求≤2.5mm；</w:t>
                  </w:r>
                </w:p>
                <w:p>
                  <w:pPr>
                    <w:pStyle w:val="null3"/>
                  </w:pPr>
                  <w:r>
                    <w:rPr>
                      <w:rFonts w:ascii="仿宋_GB2312" w:hAnsi="仿宋_GB2312" w:cs="仿宋_GB2312" w:eastAsia="仿宋_GB2312"/>
                      <w:sz w:val="19"/>
                    </w:rPr>
                    <w:t>11.图像处理系统最大带载至少为3840×1080@60Hz，单个BNC同轴接口最大带载至少为1920×1080@60Hz；（投标人需提供产品规格书截图进行佐证）</w:t>
                  </w:r>
                </w:p>
                <w:p>
                  <w:pPr>
                    <w:pStyle w:val="null3"/>
                  </w:pPr>
                  <w:r>
                    <w:rPr>
                      <w:rFonts w:ascii="仿宋_GB2312" w:hAnsi="仿宋_GB2312" w:cs="仿宋_GB2312" w:eastAsia="仿宋_GB2312"/>
                      <w:sz w:val="19"/>
                    </w:rPr>
                    <w:t>▲12</w:t>
                  </w:r>
                  <w:r>
                    <w:rPr>
                      <w:rFonts w:ascii="仿宋_GB2312" w:hAnsi="仿宋_GB2312" w:cs="仿宋_GB2312" w:eastAsia="仿宋_GB2312"/>
                      <w:sz w:val="20"/>
                    </w:rPr>
                    <w:t>.图像处理系统采用</w:t>
                  </w:r>
                  <w:r>
                    <w:rPr>
                      <w:rFonts w:ascii="仿宋_GB2312" w:hAnsi="仿宋_GB2312" w:cs="仿宋_GB2312" w:eastAsia="仿宋_GB2312"/>
                      <w:sz w:val="19"/>
                    </w:rPr>
                    <w:t xml:space="preserve"> </w:t>
                  </w:r>
                  <w:r>
                    <w:rPr>
                      <w:rFonts w:ascii="仿宋_GB2312" w:hAnsi="仿宋_GB2312" w:cs="仿宋_GB2312" w:eastAsia="仿宋_GB2312"/>
                      <w:sz w:val="20"/>
                    </w:rPr>
                    <w:t>BNC</w:t>
                  </w:r>
                  <w:r>
                    <w:rPr>
                      <w:rFonts w:ascii="仿宋_GB2312" w:hAnsi="仿宋_GB2312" w:cs="仿宋_GB2312" w:eastAsia="仿宋_GB2312"/>
                      <w:sz w:val="19"/>
                    </w:rPr>
                    <w:t xml:space="preserve"> </w:t>
                  </w:r>
                  <w:r>
                    <w:rPr>
                      <w:rFonts w:ascii="仿宋_GB2312" w:hAnsi="仿宋_GB2312" w:cs="仿宋_GB2312" w:eastAsia="仿宋_GB2312"/>
                      <w:sz w:val="20"/>
                    </w:rPr>
                    <w:t>接口，图像接收板卡采用</w:t>
                  </w:r>
                  <w:r>
                    <w:rPr>
                      <w:rFonts w:ascii="仿宋_GB2312" w:hAnsi="仿宋_GB2312" w:cs="仿宋_GB2312" w:eastAsia="仿宋_GB2312"/>
                      <w:sz w:val="20"/>
                    </w:rPr>
                    <w:t>SM</w:t>
                  </w:r>
                  <w:r>
                    <w:rPr>
                      <w:rFonts w:ascii="仿宋_GB2312" w:hAnsi="仿宋_GB2312" w:cs="仿宋_GB2312" w:eastAsia="仿宋_GB2312"/>
                      <w:sz w:val="20"/>
                    </w:rPr>
                    <w:t>A 接口，传输线路支持双回路设计</w:t>
                  </w:r>
                  <w:r>
                    <w:rPr>
                      <w:rFonts w:ascii="仿宋_GB2312" w:hAnsi="仿宋_GB2312" w:cs="仿宋_GB2312" w:eastAsia="仿宋_GB2312"/>
                      <w:sz w:val="20"/>
                    </w:rPr>
                    <w:t>；（</w:t>
                  </w:r>
                  <w:r>
                    <w:rPr>
                      <w:rFonts w:ascii="仿宋_GB2312" w:hAnsi="仿宋_GB2312" w:cs="仿宋_GB2312" w:eastAsia="仿宋_GB2312"/>
                      <w:sz w:val="20"/>
                    </w:rPr>
                    <w:t>投标文件中需提供图像处理系统、图像接</w:t>
                  </w:r>
                  <w:r>
                    <w:rPr>
                      <w:rFonts w:ascii="仿宋_GB2312" w:hAnsi="仿宋_GB2312" w:cs="仿宋_GB2312" w:eastAsia="仿宋_GB2312"/>
                      <w:sz w:val="20"/>
                    </w:rPr>
                    <w:t>收卡板的实拍图进行佐证）</w:t>
                  </w:r>
                </w:p>
                <w:p>
                  <w:pPr>
                    <w:pStyle w:val="null3"/>
                  </w:pPr>
                  <w:r>
                    <w:rPr>
                      <w:rFonts w:ascii="仿宋_GB2312" w:hAnsi="仿宋_GB2312" w:cs="仿宋_GB2312" w:eastAsia="仿宋_GB2312"/>
                      <w:sz w:val="19"/>
                    </w:rPr>
                    <w:t>13.图像处理系统具备至少 2 路 BNC 同轴输出接口，且图像处理系</w:t>
                  </w:r>
                  <w:r>
                    <w:rPr>
                      <w:rFonts w:ascii="仿宋_GB2312" w:hAnsi="仿宋_GB2312" w:cs="仿宋_GB2312" w:eastAsia="仿宋_GB2312"/>
                      <w:sz w:val="19"/>
                    </w:rPr>
                    <w:t xml:space="preserve"> </w:t>
                  </w:r>
                  <w:r>
                    <w:rPr>
                      <w:rFonts w:ascii="仿宋_GB2312" w:hAnsi="仿宋_GB2312" w:cs="仿宋_GB2312" w:eastAsia="仿宋_GB2312"/>
                      <w:sz w:val="19"/>
                    </w:rPr>
                    <w:t>统与图像接收板卡之间只能采用</w:t>
                  </w:r>
                  <w:r>
                    <w:rPr>
                      <w:rFonts w:ascii="仿宋_GB2312" w:hAnsi="仿宋_GB2312" w:cs="仿宋_GB2312" w:eastAsia="仿宋_GB2312"/>
                      <w:sz w:val="19"/>
                    </w:rPr>
                    <w:t>BNC 同轴线缆连接，此时接入电脑视</w:t>
                  </w:r>
                  <w:r>
                    <w:rPr>
                      <w:rFonts w:ascii="仿宋_GB2312" w:hAnsi="仿宋_GB2312" w:cs="仿宋_GB2312" w:eastAsia="仿宋_GB2312"/>
                      <w:sz w:val="19"/>
                    </w:rPr>
                    <w:t xml:space="preserve"> </w:t>
                  </w:r>
                  <w:r>
                    <w:rPr>
                      <w:rFonts w:ascii="仿宋_GB2312" w:hAnsi="仿宋_GB2312" w:cs="仿宋_GB2312" w:eastAsia="仿宋_GB2312"/>
                      <w:sz w:val="19"/>
                    </w:rPr>
                    <w:t>频信号至图像处理系统，连接在图像接收板卡上的显示模块即可实时</w:t>
                  </w:r>
                  <w:r>
                    <w:rPr>
                      <w:rFonts w:ascii="仿宋_GB2312" w:hAnsi="仿宋_GB2312" w:cs="仿宋_GB2312" w:eastAsia="仿宋_GB2312"/>
                      <w:sz w:val="19"/>
                    </w:rPr>
                    <w:t>显示画面</w:t>
                  </w:r>
                  <w:r>
                    <w:rPr>
                      <w:rFonts w:ascii="仿宋_GB2312" w:hAnsi="仿宋_GB2312" w:cs="仿宋_GB2312" w:eastAsia="仿宋_GB2312"/>
                      <w:sz w:val="19"/>
                    </w:rPr>
                    <w:t>；</w:t>
                  </w:r>
                </w:p>
                <w:p>
                  <w:pPr>
                    <w:pStyle w:val="null3"/>
                  </w:pPr>
                  <w:r>
                    <w:rPr>
                      <w:rFonts w:ascii="仿宋_GB2312" w:hAnsi="仿宋_GB2312" w:cs="仿宋_GB2312" w:eastAsia="仿宋_GB2312"/>
                      <w:sz w:val="19"/>
                    </w:rPr>
                    <w:t>▲1</w:t>
                  </w:r>
                  <w:r>
                    <w:rPr>
                      <w:rFonts w:ascii="仿宋_GB2312" w:hAnsi="仿宋_GB2312" w:cs="仿宋_GB2312" w:eastAsia="仿宋_GB2312"/>
                      <w:sz w:val="19"/>
                    </w:rPr>
                    <w:t>4.控制模块通过前面板支持监控阈值设置，设置内容包括：温度 上限、温度下限、电压上限、电压下限</w:t>
                  </w:r>
                  <w:r>
                    <w:rPr>
                      <w:rFonts w:ascii="仿宋_GB2312" w:hAnsi="仿宋_GB2312" w:cs="仿宋_GB2312" w:eastAsia="仿宋_GB2312"/>
                      <w:sz w:val="19"/>
                    </w:rPr>
                    <w:t>；（</w:t>
                  </w:r>
                  <w:r>
                    <w:rPr>
                      <w:rFonts w:ascii="仿宋_GB2312" w:hAnsi="仿宋_GB2312" w:cs="仿宋_GB2312" w:eastAsia="仿宋_GB2312"/>
                      <w:sz w:val="19"/>
                    </w:rPr>
                    <w:t>投标文件中提供产品功能</w:t>
                  </w:r>
                  <w:r>
                    <w:rPr>
                      <w:rFonts w:ascii="仿宋_GB2312" w:hAnsi="仿宋_GB2312" w:cs="仿宋_GB2312" w:eastAsia="仿宋_GB2312"/>
                      <w:sz w:val="19"/>
                    </w:rPr>
                    <w:t>实拍图进行佐证）</w:t>
                  </w:r>
                </w:p>
                <w:p>
                  <w:pPr>
                    <w:pStyle w:val="null3"/>
                  </w:pPr>
                  <w:r>
                    <w:rPr>
                      <w:rFonts w:ascii="仿宋_GB2312" w:hAnsi="仿宋_GB2312" w:cs="仿宋_GB2312" w:eastAsia="仿宋_GB2312"/>
                      <w:sz w:val="19"/>
                    </w:rPr>
                    <w:t>▲1</w:t>
                  </w:r>
                  <w:r>
                    <w:rPr>
                      <w:rFonts w:ascii="仿宋_GB2312" w:hAnsi="仿宋_GB2312" w:cs="仿宋_GB2312" w:eastAsia="仿宋_GB2312"/>
                      <w:sz w:val="19"/>
                    </w:rPr>
                    <w:t>5.控制模块通过前面板支持 3D 降噪设置功能，可以设置为：关</w:t>
                  </w:r>
                  <w:r>
                    <w:rPr>
                      <w:rFonts w:ascii="仿宋_GB2312" w:hAnsi="仿宋_GB2312" w:cs="仿宋_GB2312" w:eastAsia="仿宋_GB2312"/>
                      <w:sz w:val="19"/>
                    </w:rPr>
                    <w:t xml:space="preserve"> </w:t>
                  </w:r>
                  <w:r>
                    <w:rPr>
                      <w:rFonts w:ascii="仿宋_GB2312" w:hAnsi="仿宋_GB2312" w:cs="仿宋_GB2312" w:eastAsia="仿宋_GB2312"/>
                      <w:sz w:val="19"/>
                    </w:rPr>
                    <w:t>闭、自动、低、中、高、特高</w:t>
                  </w:r>
                  <w:r>
                    <w:rPr>
                      <w:rFonts w:ascii="仿宋_GB2312" w:hAnsi="仿宋_GB2312" w:cs="仿宋_GB2312" w:eastAsia="仿宋_GB2312"/>
                      <w:sz w:val="19"/>
                    </w:rPr>
                    <w:t>；（</w:t>
                  </w:r>
                  <w:r>
                    <w:rPr>
                      <w:rFonts w:ascii="仿宋_GB2312" w:hAnsi="仿宋_GB2312" w:cs="仿宋_GB2312" w:eastAsia="仿宋_GB2312"/>
                      <w:sz w:val="19"/>
                    </w:rPr>
                    <w:t>投标文件中提供产品功能实拍图进</w:t>
                  </w:r>
                  <w:r>
                    <w:rPr>
                      <w:rFonts w:ascii="仿宋_GB2312" w:hAnsi="仿宋_GB2312" w:cs="仿宋_GB2312" w:eastAsia="仿宋_GB2312"/>
                      <w:sz w:val="19"/>
                    </w:rPr>
                    <w:t>行佐证）</w:t>
                  </w:r>
                </w:p>
                <w:p>
                  <w:pPr>
                    <w:pStyle w:val="null3"/>
                  </w:pPr>
                  <w:r>
                    <w:rPr>
                      <w:rFonts w:ascii="仿宋_GB2312" w:hAnsi="仿宋_GB2312" w:cs="仿宋_GB2312" w:eastAsia="仿宋_GB2312"/>
                      <w:sz w:val="20"/>
                    </w:rPr>
                    <w:t>16.</w:t>
                  </w:r>
                  <w:r>
                    <w:rPr>
                      <w:rFonts w:ascii="仿宋_GB2312" w:hAnsi="仿宋_GB2312" w:cs="仿宋_GB2312" w:eastAsia="仿宋_GB2312"/>
                      <w:sz w:val="20"/>
                    </w:rPr>
                    <w:t>控制软件支持温度、电压、累计误码的监测功能，支持控制器监测功能，至少包含</w:t>
                  </w:r>
                  <w:r>
                    <w:rPr>
                      <w:rFonts w:ascii="仿宋_GB2312" w:hAnsi="仿宋_GB2312" w:cs="仿宋_GB2312" w:eastAsia="仿宋_GB2312"/>
                      <w:sz w:val="20"/>
                    </w:rPr>
                    <w:t>CONTROL的Ethernet 1及Genlock，INPUT的HDMI1及SDI。</w:t>
                  </w:r>
                </w:p>
                <w:p>
                  <w:pPr>
                    <w:pStyle w:val="null3"/>
                  </w:pPr>
                  <w:r>
                    <w:rPr>
                      <w:rFonts w:ascii="仿宋_GB2312" w:hAnsi="仿宋_GB2312" w:cs="仿宋_GB2312" w:eastAsia="仿宋_GB2312"/>
                      <w:sz w:val="19"/>
                    </w:rPr>
                    <w:t>17.控制板卡支持固件程序回读功能，能够通过软件读取到当前控制板卡的固件程序；</w:t>
                  </w:r>
                </w:p>
                <w:p>
                  <w:pPr>
                    <w:pStyle w:val="null3"/>
                  </w:pPr>
                  <w:r>
                    <w:rPr>
                      <w:rFonts w:ascii="仿宋_GB2312" w:hAnsi="仿宋_GB2312" w:cs="仿宋_GB2312" w:eastAsia="仿宋_GB2312"/>
                      <w:sz w:val="19"/>
                    </w:rPr>
                    <w:t>18.视频显控模块须具备前面板，通过前面板能够显示网口的通讯状态、设备型号、IP地址及信号源状态等信息；</w:t>
                  </w:r>
                </w:p>
                <w:p>
                  <w:pPr>
                    <w:pStyle w:val="null3"/>
                  </w:pPr>
                  <w:r>
                    <w:rPr>
                      <w:rFonts w:ascii="仿宋_GB2312" w:hAnsi="仿宋_GB2312" w:cs="仿宋_GB2312" w:eastAsia="仿宋_GB2312"/>
                      <w:sz w:val="19"/>
                    </w:rPr>
                    <w:t>19.视频显控模块通过设备前面板能够支持有限转完全的功能；</w:t>
                  </w:r>
                </w:p>
                <w:p>
                  <w:pPr>
                    <w:pStyle w:val="null3"/>
                  </w:pPr>
                  <w:r>
                    <w:rPr>
                      <w:rFonts w:ascii="仿宋_GB2312" w:hAnsi="仿宋_GB2312" w:cs="仿宋_GB2312" w:eastAsia="仿宋_GB2312"/>
                      <w:sz w:val="19"/>
                    </w:rPr>
                    <w:t>20.视频显控模块能够支持音频输出选择到主图层；</w:t>
                  </w:r>
                </w:p>
                <w:p>
                  <w:pPr>
                    <w:pStyle w:val="null3"/>
                  </w:pPr>
                  <w:r>
                    <w:rPr>
                      <w:rFonts w:ascii="仿宋_GB2312" w:hAnsi="仿宋_GB2312" w:cs="仿宋_GB2312" w:eastAsia="仿宋_GB2312"/>
                      <w:sz w:val="19"/>
                    </w:rPr>
                    <w:t>21.视频显控模块支持常见的视频接口，包括至少1路HDMI1.3接口；</w:t>
                  </w:r>
                </w:p>
                <w:p>
                  <w:pPr>
                    <w:pStyle w:val="null3"/>
                  </w:pPr>
                  <w:r>
                    <w:rPr>
                      <w:rFonts w:ascii="仿宋_GB2312" w:hAnsi="仿宋_GB2312" w:cs="仿宋_GB2312" w:eastAsia="仿宋_GB2312"/>
                      <w:sz w:val="19"/>
                    </w:rPr>
                    <w:t>22.视频显控模块支持通过前面板和旋钮实现终端亮度的调节；</w:t>
                  </w:r>
                </w:p>
                <w:p>
                  <w:pPr>
                    <w:pStyle w:val="null3"/>
                  </w:pPr>
                  <w:r>
                    <w:rPr>
                      <w:rFonts w:ascii="仿宋_GB2312" w:hAnsi="仿宋_GB2312" w:cs="仿宋_GB2312" w:eastAsia="仿宋_GB2312"/>
                      <w:sz w:val="19"/>
                    </w:rPr>
                    <w:t>23.视频显控模块需支持音频独立输入和伴随HDMI输入两种输入模式。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综合布线集成改造</w:t>
                  </w:r>
                </w:p>
              </w:tc>
              <w:tc>
                <w:tcPr>
                  <w:tcW w:type="dxa" w:w="2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电线布置：根据不同实训器材的功率需求，按照相关标准进行强弱电分离、线路规划和保护措施设置。电线的选材应符合国家标准。线路布置时，要尽量避免交叉和弯曲，确保线路通畅且不易损坏。</w:t>
                  </w:r>
                </w:p>
                <w:p>
                  <w:pPr>
                    <w:pStyle w:val="null3"/>
                  </w:pPr>
                  <w:r>
                    <w:rPr>
                      <w:rFonts w:ascii="仿宋_GB2312" w:hAnsi="仿宋_GB2312" w:cs="仿宋_GB2312" w:eastAsia="仿宋_GB2312"/>
                      <w:sz w:val="19"/>
                    </w:rPr>
                    <w:t>2. 插座位置：合理布置插座位置，考虑实训器材的种类和数量，以及学生的使用需求。插座的安装应符合国家标准，保证安全可靠。</w:t>
                  </w:r>
                </w:p>
                <w:p>
                  <w:pPr>
                    <w:pStyle w:val="null3"/>
                  </w:pPr>
                  <w:r>
                    <w:rPr>
                      <w:rFonts w:ascii="仿宋_GB2312" w:hAnsi="仿宋_GB2312" w:cs="仿宋_GB2312" w:eastAsia="仿宋_GB2312"/>
                      <w:sz w:val="19"/>
                    </w:rPr>
                    <w:t>3.集成改造具体内容如下表所示：</w:t>
                  </w:r>
                </w:p>
                <w:tbl>
                  <w:tblPr>
                    <w:tblInd w:type="dxa" w:w="15"/>
                    <w:tblBorders>
                      <w:top w:val="none" w:color="000000" w:sz="4"/>
                      <w:left w:val="none" w:color="000000" w:sz="4"/>
                      <w:bottom w:val="none" w:color="000000" w:sz="4"/>
                      <w:right w:val="none" w:color="000000" w:sz="4"/>
                      <w:insideH w:val="none"/>
                      <w:insideV w:val="none"/>
                    </w:tblBorders>
                  </w:tblPr>
                  <w:tblGrid>
                    <w:gridCol w:w="190"/>
                    <w:gridCol w:w="416"/>
                    <w:gridCol w:w="190"/>
                    <w:gridCol w:w="241"/>
                    <w:gridCol w:w="847"/>
                  </w:tblGrid>
                  <w:tr>
                    <w:tc>
                      <w:tcPr>
                        <w:tcW w:type="dxa" w:w="1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8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搬运</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工作台</w:t>
                        </w:r>
                        <w:r>
                          <w:rPr>
                            <w:rFonts w:ascii="仿宋_GB2312" w:hAnsi="仿宋_GB2312" w:cs="仿宋_GB2312" w:eastAsia="仿宋_GB2312"/>
                            <w:sz w:val="19"/>
                          </w:rPr>
                          <w:t>5个，多媒体工作台1个，黑板，弱电柜</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拆除钢化玻璃隔墙</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21.5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拆除玻璃隔断及支架（高空作业）</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拆除防静电地板、支架等</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136.55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拆除地面龙骨，抗静电地板等</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综合布线顶面墙面空调线路改造整理换新</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136.55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空开，空调、插座、照明线路布置新做</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顶面安装轻钢龙骨石膏板造型顶</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轻钢龙骨（高空作业）</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顶面造型石膏板安装</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顶面造型石膏板安装（甲方选样）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顶面窗帘盒</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9.3</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轻钢龙骨阻燃板基层石膏板面层</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顶面安装铝方通</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113</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铝方通（高空作业）（颜色甲方选样）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墙面做轻钢龙骨石膏板造型隔墙</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高空作业（人工，材料）</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教室拆除后水泥修复</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拆除后水泥压光（甲方选样）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地面铺设自流平水泥找平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136.55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自流平水泥找平</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地面铺设地胶</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136.55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地胶颜色（甲方选样）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1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墙面订制古铜色不锈钢踢脚线</w:t>
                        </w:r>
                      </w:p>
                    </w:tc>
                    <w:tc>
                      <w:tcPr>
                        <w:tcW w:type="dxa" w:w="19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米</w:t>
                        </w:r>
                      </w:p>
                    </w:tc>
                    <w:tc>
                      <w:tcPr>
                        <w:tcW w:type="dxa" w:w="24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50</w:t>
                        </w:r>
                      </w:p>
                    </w:tc>
                    <w:tc>
                      <w:tcPr>
                        <w:tcW w:type="dxa" w:w="84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定制不锈钢踢脚线（甲方选样）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原乳胶漆铲除</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292</w:t>
                        </w:r>
                      </w:p>
                    </w:tc>
                    <w:tc>
                      <w:tcPr>
                        <w:tcW w:type="dxa" w:w="8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原顶面及墙面乳胶漆铲除</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乳胶漆基层腻子找平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292</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手工腻子找平</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实验室定制柜</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实验室定制柜（甲方选样）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顶面灰色乳胶漆</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158.55</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顶面做浅灰色乳胶漆（甲方选样）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墙面刷白色乳胶漆</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153.28</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墙面及顶面刷乳胶漆（甲方选样）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41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实验室安装卷帘</w:t>
                        </w:r>
                      </w:p>
                    </w:tc>
                    <w:tc>
                      <w:tcPr>
                        <w:tcW w:type="dxa" w:w="19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平方</w:t>
                        </w:r>
                      </w:p>
                    </w:tc>
                    <w:tc>
                      <w:tcPr>
                        <w:tcW w:type="dxa" w:w="24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84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定制安装（甲方选样）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41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原暖气片管道刷新</w:t>
                        </w:r>
                      </w:p>
                    </w:tc>
                    <w:tc>
                      <w:tcPr>
                        <w:tcW w:type="dxa" w:w="190"/>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24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人工费材料费（颜色甲方选样）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41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顶面灯具安装</w:t>
                        </w:r>
                      </w:p>
                    </w:tc>
                    <w:tc>
                      <w:tcPr>
                        <w:tcW w:type="dxa" w:w="190"/>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4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49</w:t>
                        </w:r>
                      </w:p>
                    </w:tc>
                    <w:tc>
                      <w:tcPr>
                        <w:tcW w:type="dxa" w:w="8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铝方通专用灯安装（甲方选样）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41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顶面墙面造型灯带安装</w:t>
                        </w:r>
                      </w:p>
                    </w:tc>
                    <w:tc>
                      <w:tcPr>
                        <w:tcW w:type="dxa" w:w="190"/>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米</w:t>
                        </w:r>
                      </w:p>
                    </w:tc>
                    <w:tc>
                      <w:tcPr>
                        <w:tcW w:type="dxa" w:w="24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8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墙面造型灯带安装（甲方选样）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41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垃圾清运</w:t>
                        </w:r>
                      </w:p>
                    </w:tc>
                    <w:tc>
                      <w:tcPr>
                        <w:tcW w:type="dxa" w:w="190"/>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车</w:t>
                        </w:r>
                      </w:p>
                    </w:tc>
                    <w:tc>
                      <w:tcPr>
                        <w:tcW w:type="dxa" w:w="24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垃圾外运</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41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文化墙设计效果图</w:t>
                        </w:r>
                      </w:p>
                    </w:tc>
                    <w:tc>
                      <w:tcPr>
                        <w:tcW w:type="dxa" w:w="190"/>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张</w:t>
                        </w:r>
                      </w:p>
                    </w:tc>
                    <w:tc>
                      <w:tcPr>
                        <w:tcW w:type="dxa" w:w="24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4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文化墙设计（甲方选样）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4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文化墙制作</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平米</w:t>
                        </w:r>
                      </w:p>
                    </w:tc>
                    <w:tc>
                      <w:tcPr>
                        <w:tcW w:type="dxa" w:w="2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8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文化墙制作安装（甲方选样）</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4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开关插座安装</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开关插座地插安装（甲方选样）</w:t>
                        </w:r>
                      </w:p>
                    </w:tc>
                  </w:tr>
                </w:tbl>
                <w:p>
                  <w:pPr>
                    <w:pStyle w:val="null3"/>
                  </w:pPr>
                  <w:r>
                    <w:rPr>
                      <w:rFonts w:ascii="仿宋_GB2312" w:hAnsi="仿宋_GB2312" w:cs="仿宋_GB2312" w:eastAsia="仿宋_GB2312"/>
                      <w:sz w:val="19"/>
                    </w:rPr>
                    <w:t>4.文化墙建设：定制设计实训室文化墙和展板，宣传实训室文化理念及校企合作内容；采用高密度PVC板材，图案采用UV喷绘，表面覆水晶膜；LOGO/主体字采用水晶字展示形式，采用高透亚克力材质。</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三、其他</w:t>
            </w:r>
            <w:r>
              <w:rPr>
                <w:rFonts w:ascii="仿宋_GB2312" w:hAnsi="仿宋_GB2312" w:cs="仿宋_GB2312" w:eastAsia="仿宋_GB2312"/>
              </w:rPr>
              <w:t xml:space="preserve">   </w:t>
            </w:r>
          </w:p>
          <w:p>
            <w:pPr>
              <w:pStyle w:val="null3"/>
            </w:pPr>
            <w:r>
              <w:rPr>
                <w:rFonts w:ascii="仿宋_GB2312" w:hAnsi="仿宋_GB2312" w:cs="仿宋_GB2312" w:eastAsia="仿宋_GB2312"/>
              </w:rPr>
              <w:t>（一）质保期内：</w:t>
            </w:r>
          </w:p>
          <w:p>
            <w:pPr>
              <w:pStyle w:val="null3"/>
            </w:pPr>
            <w:r>
              <w:rPr>
                <w:rFonts w:ascii="仿宋_GB2312" w:hAnsi="仿宋_GB2312" w:cs="仿宋_GB2312" w:eastAsia="仿宋_GB2312"/>
              </w:rPr>
              <w:t>1、发生质量问题，接到甲方通知后，应于当日派出专业的维修人员到现场进行检测维修，发生的全部费用由乙方承担，若需送回生产厂，乙方承担往返费用；</w:t>
            </w:r>
          </w:p>
          <w:p>
            <w:pPr>
              <w:pStyle w:val="null3"/>
            </w:pPr>
            <w:r>
              <w:rPr>
                <w:rFonts w:ascii="仿宋_GB2312" w:hAnsi="仿宋_GB2312" w:cs="仿宋_GB2312" w:eastAsia="仿宋_GB2312"/>
              </w:rPr>
              <w:t>2、定期派技术人员到现场走访，给予检查维护；</w:t>
            </w:r>
          </w:p>
          <w:p>
            <w:pPr>
              <w:pStyle w:val="null3"/>
            </w:pPr>
            <w:r>
              <w:rPr>
                <w:rFonts w:ascii="仿宋_GB2312" w:hAnsi="仿宋_GB2312" w:cs="仿宋_GB2312" w:eastAsia="仿宋_GB2312"/>
              </w:rPr>
              <w:t>3、排除故障的期限不得超过24小时（工作日）。否则甲方有权指定第三方维修，维修费用由乙方承担。</w:t>
            </w:r>
          </w:p>
          <w:p>
            <w:pPr>
              <w:pStyle w:val="null3"/>
            </w:pPr>
            <w:r>
              <w:rPr>
                <w:rFonts w:ascii="仿宋_GB2312" w:hAnsi="仿宋_GB2312" w:cs="仿宋_GB2312" w:eastAsia="仿宋_GB2312"/>
              </w:rPr>
              <w:t>（二）质保期结束前，进行系统测试，全面保养维护，确保正常运行。</w:t>
            </w:r>
          </w:p>
          <w:p>
            <w:pPr>
              <w:pStyle w:val="null3"/>
            </w:pPr>
            <w:r>
              <w:rPr>
                <w:rFonts w:ascii="仿宋_GB2312" w:hAnsi="仿宋_GB2312" w:cs="仿宋_GB2312" w:eastAsia="仿宋_GB2312"/>
              </w:rPr>
              <w:t>（三）技术资料：</w:t>
            </w:r>
          </w:p>
          <w:p>
            <w:pPr>
              <w:pStyle w:val="null3"/>
            </w:pPr>
            <w:r>
              <w:rPr>
                <w:rFonts w:ascii="仿宋_GB2312" w:hAnsi="仿宋_GB2312" w:cs="仿宋_GB2312" w:eastAsia="仿宋_GB2312"/>
              </w:rPr>
              <w:t>1、货物合格证；</w:t>
            </w:r>
          </w:p>
          <w:p>
            <w:pPr>
              <w:pStyle w:val="null3"/>
            </w:pPr>
            <w:r>
              <w:rPr>
                <w:rFonts w:ascii="仿宋_GB2312" w:hAnsi="仿宋_GB2312" w:cs="仿宋_GB2312" w:eastAsia="仿宋_GB2312"/>
              </w:rPr>
              <w:t>2、货物使用说明书（中文）；</w:t>
            </w:r>
          </w:p>
          <w:p>
            <w:pPr>
              <w:pStyle w:val="null3"/>
            </w:pPr>
            <w:r>
              <w:rPr>
                <w:rFonts w:ascii="仿宋_GB2312" w:hAnsi="仿宋_GB2312" w:cs="仿宋_GB2312" w:eastAsia="仿宋_GB2312"/>
              </w:rPr>
              <w:t>3、项目峻工资料、检验测试报告；</w:t>
            </w:r>
          </w:p>
          <w:p>
            <w:pPr>
              <w:pStyle w:val="null3"/>
            </w:pPr>
            <w:r>
              <w:rPr>
                <w:rFonts w:ascii="仿宋_GB2312" w:hAnsi="仿宋_GB2312" w:cs="仿宋_GB2312" w:eastAsia="仿宋_GB2312"/>
              </w:rPr>
              <w:t>4、其它资料。</w:t>
            </w:r>
          </w:p>
          <w:p>
            <w:pPr>
              <w:pStyle w:val="null3"/>
            </w:pPr>
            <w:r>
              <w:rPr>
                <w:rFonts w:ascii="仿宋_GB2312" w:hAnsi="仿宋_GB2312" w:cs="仿宋_GB2312" w:eastAsia="仿宋_GB2312"/>
              </w:rPr>
              <w:t>（四）服务承诺：以投标文件、澄清表（函）、合同和随货物的相关文件为准。</w:t>
            </w:r>
          </w:p>
          <w:p>
            <w:pPr>
              <w:pStyle w:val="null3"/>
            </w:pPr>
            <w:r>
              <w:rPr>
                <w:rFonts w:ascii="仿宋_GB2312" w:hAnsi="仿宋_GB2312" w:cs="仿宋_GB2312" w:eastAsia="仿宋_GB2312"/>
              </w:rPr>
              <w:t>（五）技术培训：为确保用户正确合理操作使用系统，根据本项目涉及的内容，乙方提供培训。根据甲方实际需求，对甲方系统管理人员和用户进行全面的技术培训，提供相应的说明书，使用户能够独立进行日常管理和维护。</w:t>
            </w:r>
          </w:p>
          <w:p>
            <w:pPr>
              <w:pStyle w:val="null3"/>
            </w:pPr>
            <w:r>
              <w:rPr>
                <w:rFonts w:ascii="仿宋_GB2312" w:hAnsi="仿宋_GB2312" w:cs="仿宋_GB2312" w:eastAsia="仿宋_GB2312"/>
              </w:rPr>
              <w:t>专业技术培训：乙方需提供不少于</w:t>
            </w:r>
            <w:r>
              <w:rPr>
                <w:rFonts w:ascii="仿宋_GB2312" w:hAnsi="仿宋_GB2312" w:cs="仿宋_GB2312" w:eastAsia="仿宋_GB2312"/>
              </w:rPr>
              <w:t xml:space="preserve"> 2 次，每次不少于 </w:t>
            </w:r>
            <w:r>
              <w:rPr>
                <w:rFonts w:ascii="仿宋_GB2312" w:hAnsi="仿宋_GB2312" w:cs="仿宋_GB2312" w:eastAsia="仿宋_GB2312"/>
              </w:rPr>
              <w:t>2</w:t>
            </w:r>
            <w:r>
              <w:rPr>
                <w:rFonts w:ascii="仿宋_GB2312" w:hAnsi="仿宋_GB2312" w:cs="仿宋_GB2312" w:eastAsia="仿宋_GB2312"/>
              </w:rPr>
              <w:t>小时的专业理论及实操培训，并承担培训所有费用。</w:t>
            </w:r>
          </w:p>
          <w:p>
            <w:pPr>
              <w:pStyle w:val="null3"/>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）供货要求</w:t>
            </w:r>
          </w:p>
          <w:p>
            <w:pPr>
              <w:pStyle w:val="null3"/>
            </w:pPr>
            <w:r>
              <w:rPr>
                <w:rFonts w:ascii="仿宋_GB2312" w:hAnsi="仿宋_GB2312" w:cs="仿宋_GB2312" w:eastAsia="仿宋_GB2312"/>
              </w:rPr>
              <w:t>1.产品正常使用时所需的附件、工具等；</w:t>
            </w:r>
          </w:p>
          <w:p>
            <w:pPr>
              <w:pStyle w:val="null3"/>
            </w:pPr>
            <w:r>
              <w:rPr>
                <w:rFonts w:ascii="仿宋_GB2312" w:hAnsi="仿宋_GB2312" w:cs="仿宋_GB2312" w:eastAsia="仿宋_GB2312"/>
              </w:rPr>
              <w:t>2.供应商负责货物到采购人指定地点的全部运输，包括装卸及现场搬运等；</w:t>
            </w:r>
          </w:p>
          <w:p>
            <w:pPr>
              <w:pStyle w:val="null3"/>
            </w:pPr>
            <w:r>
              <w:rPr>
                <w:rFonts w:ascii="仿宋_GB2312" w:hAnsi="仿宋_GB2312" w:cs="仿宋_GB2312" w:eastAsia="仿宋_GB2312"/>
              </w:rPr>
              <w:t>3.供应商负责产品在采购人指定地点的保管，直至项目安装验收合格；</w:t>
            </w:r>
          </w:p>
          <w:p>
            <w:pPr>
              <w:pStyle w:val="null3"/>
            </w:pPr>
            <w:r>
              <w:rPr>
                <w:rFonts w:ascii="仿宋_GB2312" w:hAnsi="仿宋_GB2312" w:cs="仿宋_GB2312" w:eastAsia="仿宋_GB2312"/>
              </w:rPr>
              <w:t>4.供应商负责其派出人员的人身意外保险。</w:t>
            </w:r>
          </w:p>
          <w:p>
            <w:pPr>
              <w:pStyle w:val="null3"/>
            </w:pPr>
            <w:r>
              <w:rPr>
                <w:rFonts w:ascii="仿宋_GB2312" w:hAnsi="仿宋_GB2312" w:cs="仿宋_GB2312" w:eastAsia="仿宋_GB2312"/>
              </w:rPr>
              <w:t>（</w:t>
            </w:r>
            <w:r>
              <w:rPr>
                <w:rFonts w:ascii="仿宋_GB2312" w:hAnsi="仿宋_GB2312" w:cs="仿宋_GB2312" w:eastAsia="仿宋_GB2312"/>
              </w:rPr>
              <w:t>七</w:t>
            </w:r>
            <w:r>
              <w:rPr>
                <w:rFonts w:ascii="仿宋_GB2312" w:hAnsi="仿宋_GB2312" w:cs="仿宋_GB2312" w:eastAsia="仿宋_GB2312"/>
              </w:rPr>
              <w:t>）备品备件的要求</w:t>
            </w:r>
          </w:p>
          <w:p>
            <w:pPr>
              <w:pStyle w:val="null3"/>
            </w:pPr>
            <w:r>
              <w:rPr>
                <w:rFonts w:ascii="仿宋_GB2312" w:hAnsi="仿宋_GB2312" w:cs="仿宋_GB2312" w:eastAsia="仿宋_GB2312"/>
              </w:rPr>
              <w:t>1.供应商必须在投标文件中详细列明所投产品的附件、零配件（包括专用工具）等；保证产品能正常使用的附件、备品备件及项目清单中要求提供的零配件和备品备件等。</w:t>
            </w:r>
          </w:p>
          <w:p>
            <w:pPr>
              <w:pStyle w:val="null3"/>
            </w:pPr>
            <w:r>
              <w:rPr>
                <w:rFonts w:ascii="仿宋_GB2312" w:hAnsi="仿宋_GB2312" w:cs="仿宋_GB2312" w:eastAsia="仿宋_GB2312"/>
              </w:rPr>
              <w:t>2.供应商提供的产品性能及质量有国家标准的应符合现行国家标准，无国家标准的应符合部颁标准或企业标准。</w:t>
            </w:r>
          </w:p>
          <w:p>
            <w:pPr>
              <w:pStyle w:val="null3"/>
            </w:pPr>
            <w:r>
              <w:rPr>
                <w:rFonts w:ascii="仿宋_GB2312" w:hAnsi="仿宋_GB2312" w:cs="仿宋_GB2312" w:eastAsia="仿宋_GB2312"/>
              </w:rPr>
              <w:t>（</w:t>
            </w:r>
            <w:r>
              <w:rPr>
                <w:rFonts w:ascii="仿宋_GB2312" w:hAnsi="仿宋_GB2312" w:cs="仿宋_GB2312" w:eastAsia="仿宋_GB2312"/>
              </w:rPr>
              <w:t>八</w:t>
            </w:r>
            <w:r>
              <w:rPr>
                <w:rFonts w:ascii="仿宋_GB2312" w:hAnsi="仿宋_GB2312" w:cs="仿宋_GB2312" w:eastAsia="仿宋_GB2312"/>
              </w:rPr>
              <w:t>）配套设备与服务</w:t>
            </w:r>
            <w:r>
              <w:rPr>
                <w:rFonts w:ascii="仿宋_GB2312" w:hAnsi="仿宋_GB2312" w:cs="仿宋_GB2312" w:eastAsia="仿宋_GB2312"/>
              </w:rPr>
              <w:t>:设备供应方负责完成集“教学-实训-认证-就业”于一体的新型光电显示技术培训中心共建、挂牌工作;完成课程开发与投入、社会培训支持、国际合作院校引入、教师随企出海协作等。详细内容见下表(注:配套产品清单所列设备与数量属必配设备，但不限企业多于清单所列设备种类与数量)。</w:t>
            </w:r>
          </w:p>
          <w:p>
            <w:pPr>
              <w:pStyle w:val="null3"/>
              <w:jc w:val="center"/>
            </w:pPr>
            <w:r>
              <w:rPr>
                <w:rFonts w:ascii="仿宋_GB2312" w:hAnsi="仿宋_GB2312" w:cs="仿宋_GB2312" w:eastAsia="仿宋_GB2312"/>
              </w:rPr>
              <w:t>配套产品</w:t>
            </w:r>
            <w:r>
              <w:rPr>
                <w:rFonts w:ascii="仿宋_GB2312" w:hAnsi="仿宋_GB2312" w:cs="仿宋_GB2312" w:eastAsia="仿宋_GB2312"/>
              </w:rPr>
              <w:t>清单</w:t>
            </w:r>
          </w:p>
          <w:tbl>
            <w:tblPr>
              <w:tblBorders>
                <w:top w:val="none" w:color="000000" w:sz="4"/>
                <w:left w:val="none" w:color="000000" w:sz="4"/>
                <w:bottom w:val="none" w:color="000000" w:sz="4"/>
                <w:right w:val="none" w:color="000000" w:sz="4"/>
                <w:insideH w:val="none"/>
                <w:insideV w:val="none"/>
              </w:tblBorders>
            </w:tblPr>
            <w:tblGrid>
              <w:gridCol w:w="198"/>
              <w:gridCol w:w="706"/>
              <w:gridCol w:w="1207"/>
              <w:gridCol w:w="220"/>
              <w:gridCol w:w="220"/>
            </w:tblGrid>
            <w:tr>
              <w:tc>
                <w:tcPr>
                  <w:tcW w:type="dxa" w:w="19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配套品目</w:t>
                  </w:r>
                </w:p>
              </w:tc>
              <w:tc>
                <w:tcPr>
                  <w:tcW w:type="dxa" w:w="120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产品规格</w:t>
                  </w:r>
                </w:p>
              </w:tc>
              <w:tc>
                <w:tcPr>
                  <w:tcW w:type="dxa" w:w="2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新型光电显示技术培训中心共建、挂牌工作</w:t>
                  </w:r>
                </w:p>
              </w:tc>
              <w:tc>
                <w:tcPr>
                  <w:tcW w:type="dxa" w:w="1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完成集</w:t>
                  </w:r>
                  <w:r>
                    <w:rPr>
                      <w:rFonts w:ascii="仿宋_GB2312" w:hAnsi="仿宋_GB2312" w:cs="仿宋_GB2312" w:eastAsia="仿宋_GB2312"/>
                      <w:sz w:val="19"/>
                    </w:rPr>
                    <w:t>“教学 - 实训 - 认证 - 就业”于一体的新型光电显示技术培训中心共建、挂牌工作。</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多媒体播控媒体服务器</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满足学生对智能光电显示技术实训台的播控学习，集专业播控软件，播控电脑，以及分配器等为一体的专业播控服务器，设备</w:t>
                  </w:r>
                  <w:r>
                    <w:rPr>
                      <w:rFonts w:ascii="仿宋_GB2312" w:hAnsi="仿宋_GB2312" w:cs="仿宋_GB2312" w:eastAsia="仿宋_GB2312"/>
                      <w:sz w:val="19"/>
                    </w:rPr>
                    <w:t>必须与</w:t>
                  </w:r>
                  <w:r>
                    <w:rPr>
                      <w:rFonts w:ascii="仿宋_GB2312" w:hAnsi="仿宋_GB2312" w:cs="仿宋_GB2312" w:eastAsia="仿宋_GB2312"/>
                      <w:sz w:val="19"/>
                    </w:rPr>
                    <w:t>与</w:t>
                  </w:r>
                  <w:r>
                    <w:rPr>
                      <w:rFonts w:ascii="仿宋_GB2312" w:hAnsi="仿宋_GB2312" w:cs="仿宋_GB2312" w:eastAsia="仿宋_GB2312"/>
                      <w:sz w:val="19"/>
                    </w:rPr>
                    <w:t>采购</w:t>
                  </w:r>
                  <w:r>
                    <w:rPr>
                      <w:rFonts w:ascii="仿宋_GB2312" w:hAnsi="仿宋_GB2312" w:cs="仿宋_GB2312" w:eastAsia="仿宋_GB2312"/>
                      <w:sz w:val="19"/>
                    </w:rPr>
                    <w:t>设备一致</w:t>
                  </w:r>
                  <w:r>
                    <w:rPr>
                      <w:rFonts w:ascii="仿宋_GB2312" w:hAnsi="仿宋_GB2312" w:cs="仿宋_GB2312" w:eastAsia="仿宋_GB2312"/>
                      <w:sz w:val="19"/>
                    </w:rPr>
                    <w:t>或配套</w:t>
                  </w:r>
                  <w:r>
                    <w:rPr>
                      <w:rFonts w:ascii="仿宋_GB2312" w:hAnsi="仿宋_GB2312" w:cs="仿宋_GB2312" w:eastAsia="仿宋_GB2312"/>
                      <w:sz w:val="19"/>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光电显示校正系统</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可配套建设的</w:t>
                  </w:r>
                  <w:r>
                    <w:rPr>
                      <w:rFonts w:ascii="仿宋_GB2312" w:hAnsi="仿宋_GB2312" w:cs="仿宋_GB2312" w:eastAsia="仿宋_GB2312"/>
                      <w:sz w:val="19"/>
                    </w:rPr>
                    <w:t>4组光电显示技术实训台使用，可满足完成20一25位学员对LED校正技术学习，匹配行业证书，针对校正技术的学习实操设备，设备必须与采购设备一致或配套。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舞台演绎专业控台与拼接服务器</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可满足</w:t>
                  </w:r>
                  <w:r>
                    <w:rPr>
                      <w:rFonts w:ascii="仿宋_GB2312" w:hAnsi="仿宋_GB2312" w:cs="仿宋_GB2312" w:eastAsia="仿宋_GB2312"/>
                      <w:sz w:val="19"/>
                    </w:rPr>
                    <w:t>LED显示屏进行专业的舞台演绎显示播控，学生对舞台演绎行业先进控台及拼接服务器的技术学习与掌握，设备必须与采购设备一致或配套。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培训中心办公设备</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满足培训中心视频剪辑设备</w:t>
                  </w:r>
                  <w:r>
                    <w:rPr>
                      <w:rFonts w:ascii="仿宋_GB2312" w:hAnsi="仿宋_GB2312" w:cs="仿宋_GB2312" w:eastAsia="仿宋_GB2312"/>
                      <w:sz w:val="19"/>
                    </w:rPr>
                    <w:t>3台以上，存储器10T以上，考证扫描仪、打印机、纸张等，设备必须与采购设备一致或配套。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课程开发与人力投入</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校企合作开发</w:t>
                  </w:r>
                  <w:r>
                    <w:rPr>
                      <w:rFonts w:ascii="仿宋_GB2312" w:hAnsi="仿宋_GB2312" w:cs="仿宋_GB2312" w:eastAsia="仿宋_GB2312"/>
                      <w:sz w:val="19"/>
                    </w:rPr>
                    <w:t>2门岗课证融通课程，5个实训项目，60项资源，1部正规出版教材。</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区域培训</w:t>
                  </w:r>
                  <w:r>
                    <w:rPr>
                      <w:rFonts w:ascii="仿宋_GB2312" w:hAnsi="仿宋_GB2312" w:cs="仿宋_GB2312" w:eastAsia="仿宋_GB2312"/>
                      <w:sz w:val="19"/>
                    </w:rPr>
                    <w:t>+技术服务</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校企联合组织面向行业开展培训活动，社会培训每年大于</w:t>
                  </w:r>
                  <w:r>
                    <w:rPr>
                      <w:rFonts w:ascii="仿宋_GB2312" w:hAnsi="仿宋_GB2312" w:cs="仿宋_GB2312" w:eastAsia="仿宋_GB2312"/>
                      <w:sz w:val="19"/>
                    </w:rPr>
                    <w:t>200人次</w:t>
                  </w:r>
                  <w:r>
                    <w:rPr>
                      <w:rFonts w:ascii="仿宋_GB2312" w:hAnsi="仿宋_GB2312" w:cs="仿宋_GB2312" w:eastAsia="仿宋_GB2312"/>
                      <w:sz w:val="19"/>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新产品新设备</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学校相关专业课或者培训活动中，所需的企业的新设备样机可提供使用。</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国际合作院校引入</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将企业合作的国外院校，引入学校建立访问、交流、研学的国际交流活动。企业承担海外院校活动相关费用。</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教师随企出海协作</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提供院校教师参与海外项目</w:t>
                  </w:r>
                  <w:r>
                    <w:rPr>
                      <w:rFonts w:ascii="仿宋_GB2312" w:hAnsi="仿宋_GB2312" w:cs="仿宋_GB2312" w:eastAsia="仿宋_GB2312"/>
                      <w:sz w:val="19"/>
                    </w:rPr>
                    <w:t>(技术培训、调研</w:t>
                  </w:r>
                  <w:r>
                    <w:rPr>
                      <w:rFonts w:ascii="仿宋_GB2312" w:hAnsi="仿宋_GB2312" w:cs="仿宋_GB2312" w:eastAsia="仿宋_GB2312"/>
                      <w:sz w:val="19"/>
                    </w:rPr>
                    <w:t>等</w:t>
                  </w:r>
                  <w:r>
                    <w:rPr>
                      <w:rFonts w:ascii="仿宋_GB2312" w:hAnsi="仿宋_GB2312" w:cs="仿宋_GB2312" w:eastAsia="仿宋_GB2312"/>
                      <w:sz w:val="19"/>
                    </w:rPr>
                    <w:t>)，</w:t>
                  </w:r>
                  <w:r>
                    <w:rPr>
                      <w:rFonts w:ascii="仿宋_GB2312" w:hAnsi="仿宋_GB2312" w:cs="仿宋_GB2312" w:eastAsia="仿宋_GB2312"/>
                      <w:sz w:val="19"/>
                    </w:rPr>
                    <w:t>学校可选派</w:t>
                  </w:r>
                  <w:r>
                    <w:rPr>
                      <w:rFonts w:ascii="仿宋_GB2312" w:hAnsi="仿宋_GB2312" w:cs="仿宋_GB2312" w:eastAsia="仿宋_GB2312"/>
                      <w:sz w:val="19"/>
                    </w:rPr>
                    <w:t>2位教师，参与海外调研或者不少于每人次6课时海外授课</w:t>
                  </w:r>
                  <w:r>
                    <w:rPr>
                      <w:rFonts w:ascii="仿宋_GB2312" w:hAnsi="仿宋_GB2312" w:cs="仿宋_GB2312" w:eastAsia="仿宋_GB2312"/>
                      <w:sz w:val="19"/>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双导师团队</w:t>
                  </w:r>
                  <w:r>
                    <w:rPr>
                      <w:rFonts w:ascii="仿宋_GB2312" w:hAnsi="仿宋_GB2312" w:cs="仿宋_GB2312" w:eastAsia="仿宋_GB2312"/>
                      <w:sz w:val="19"/>
                    </w:rPr>
                    <w:t>+实践基地</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建成新型光电显示技术培训中心，企业讲师</w:t>
                  </w:r>
                  <w:r>
                    <w:rPr>
                      <w:rFonts w:ascii="仿宋_GB2312" w:hAnsi="仿宋_GB2312" w:cs="仿宋_GB2312" w:eastAsia="仿宋_GB2312"/>
                      <w:sz w:val="19"/>
                    </w:rPr>
                    <w:t>≥2人/年参与专业建设，培训教师≥10人次</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推荐就业</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考核通过的优秀学生，企业负责行业内推荐就业，推荐率</w:t>
                  </w:r>
                  <w:r>
                    <w:rPr>
                      <w:rFonts w:ascii="仿宋_GB2312" w:hAnsi="仿宋_GB2312" w:cs="仿宋_GB2312" w:eastAsia="仿宋_GB2312"/>
                      <w:sz w:val="19"/>
                    </w:rPr>
                    <w:t>100%。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活页教材</w:t>
                  </w:r>
                  <w:r>
                    <w:rPr>
                      <w:rFonts w:ascii="仿宋_GB2312" w:hAnsi="仿宋_GB2312" w:cs="仿宋_GB2312" w:eastAsia="仿宋_GB2312"/>
                      <w:sz w:val="19"/>
                    </w:rPr>
                    <w:t>+数字化资源库</w:t>
                  </w:r>
                </w:p>
              </w:tc>
              <w:tc>
                <w:tcPr>
                  <w:tcW w:type="dxa" w:w="1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智能光电显示技术培训内容年更新案例</w:t>
                  </w:r>
                  <w:r>
                    <w:rPr>
                      <w:rFonts w:ascii="仿宋_GB2312" w:hAnsi="仿宋_GB2312" w:cs="仿宋_GB2312" w:eastAsia="仿宋_GB2312"/>
                      <w:sz w:val="19"/>
                    </w:rPr>
                    <w:t>≥5个。</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bl>
          <w:p>
            <w:pPr>
              <w:pStyle w:val="null3"/>
            </w:pPr>
            <w:r>
              <w:rPr>
                <w:rFonts w:ascii="仿宋_GB2312" w:hAnsi="仿宋_GB2312" w:cs="仿宋_GB2312" w:eastAsia="仿宋_GB2312"/>
              </w:rPr>
              <w:t>（</w:t>
            </w:r>
            <w:r>
              <w:rPr>
                <w:rFonts w:ascii="仿宋_GB2312" w:hAnsi="仿宋_GB2312" w:cs="仿宋_GB2312" w:eastAsia="仿宋_GB2312"/>
              </w:rPr>
              <w:t>九</w:t>
            </w:r>
            <w:r>
              <w:rPr>
                <w:rFonts w:ascii="仿宋_GB2312" w:hAnsi="仿宋_GB2312" w:cs="仿宋_GB2312" w:eastAsia="仿宋_GB2312"/>
              </w:rPr>
              <w:t>）包装、运输及安装、调试及培训：</w:t>
            </w:r>
          </w:p>
          <w:p>
            <w:pPr>
              <w:pStyle w:val="null3"/>
            </w:pPr>
            <w:r>
              <w:rPr>
                <w:rFonts w:ascii="仿宋_GB2312" w:hAnsi="仿宋_GB2312" w:cs="仿宋_GB2312" w:eastAsia="仿宋_GB2312"/>
              </w:rPr>
              <w:t>1、包装：应采取防潮、防晒、防腐蚀、防震动及防止其它损坏的必要措施。中标投标人应承担由于其包装或防护措施不妥而引起的货物锈蚀、损坏和丢失等任何损失造成的责任或费用；</w:t>
            </w:r>
          </w:p>
          <w:p>
            <w:pPr>
              <w:pStyle w:val="null3"/>
            </w:pPr>
            <w:r>
              <w:rPr>
                <w:rFonts w:ascii="仿宋_GB2312" w:hAnsi="仿宋_GB2312" w:cs="仿宋_GB2312" w:eastAsia="仿宋_GB2312"/>
              </w:rPr>
              <w:t>2、运输：选择运输风险小、运费低、距离短的运输路线。运杂费一次包死在投标报价内，包括生产厂到交货地所需的装卸、运输（含保险费）、现场保管费、二次倒运费、吊装费等费用。</w:t>
            </w:r>
          </w:p>
          <w:p>
            <w:pPr>
              <w:pStyle w:val="null3"/>
            </w:pPr>
            <w:r>
              <w:rPr>
                <w:rFonts w:ascii="仿宋_GB2312" w:hAnsi="仿宋_GB2312" w:cs="仿宋_GB2312" w:eastAsia="仿宋_GB2312"/>
              </w:rPr>
              <w:t>3、安装、调试：供应商负责所有货物的安装、调试工作，所有费用一次包死在投标报价内。</w:t>
            </w:r>
          </w:p>
          <w:p>
            <w:pPr>
              <w:pStyle w:val="null3"/>
            </w:pPr>
            <w:r>
              <w:rPr>
                <w:rFonts w:ascii="仿宋_GB2312" w:hAnsi="仿宋_GB2312" w:cs="仿宋_GB2312" w:eastAsia="仿宋_GB2312"/>
              </w:rPr>
              <w:t>4、培训:当产品验收合格后，中标投标人应对维护人员进行培训(包括设备基本结构、性能、主要部件的构造及处理，日常使用操作、保养与管理、常见故障的排除、紧急情况的处理等)，并制作培训教材以便使用，培训所发生的一切费用由中标单位提供。</w:t>
            </w:r>
          </w:p>
          <w:p>
            <w:pPr>
              <w:pStyle w:val="null3"/>
            </w:pPr>
            <w:r>
              <w:rPr>
                <w:rFonts w:ascii="仿宋_GB2312" w:hAnsi="仿宋_GB2312" w:cs="仿宋_GB2312" w:eastAsia="仿宋_GB2312"/>
              </w:rPr>
              <w:t>5、项目完成后，供应商应将项目有关的全部资料，包括产品资料、技术文档、用户手册等移交采购方。</w:t>
            </w:r>
          </w:p>
          <w:p>
            <w:pPr>
              <w:pStyle w:val="null3"/>
            </w:pPr>
            <w:r>
              <w:rPr>
                <w:rFonts w:ascii="仿宋_GB2312" w:hAnsi="仿宋_GB2312" w:cs="仿宋_GB2312" w:eastAsia="仿宋_GB2312"/>
              </w:rPr>
              <w:t>（</w:t>
            </w:r>
            <w:r>
              <w:rPr>
                <w:rFonts w:ascii="仿宋_GB2312" w:hAnsi="仿宋_GB2312" w:cs="仿宋_GB2312" w:eastAsia="仿宋_GB2312"/>
              </w:rPr>
              <w:t>十</w:t>
            </w:r>
            <w:r>
              <w:rPr>
                <w:rFonts w:ascii="仿宋_GB2312" w:hAnsi="仿宋_GB2312" w:cs="仿宋_GB2312" w:eastAsia="仿宋_GB2312"/>
              </w:rPr>
              <w:t>）质量保证：</w:t>
            </w:r>
          </w:p>
          <w:p>
            <w:pPr>
              <w:pStyle w:val="null3"/>
            </w:pPr>
            <w:r>
              <w:rPr>
                <w:rFonts w:ascii="仿宋_GB2312" w:hAnsi="仿宋_GB2312" w:cs="仿宋_GB2312" w:eastAsia="仿宋_GB2312"/>
              </w:rPr>
              <w:t>1.产品应是原装正品，符合国家质量检测标准。</w:t>
            </w:r>
          </w:p>
          <w:p>
            <w:pPr>
              <w:pStyle w:val="null3"/>
            </w:pPr>
            <w:r>
              <w:rPr>
                <w:rFonts w:ascii="仿宋_GB2312" w:hAnsi="仿宋_GB2312" w:cs="仿宋_GB2312" w:eastAsia="仿宋_GB2312"/>
              </w:rPr>
              <w:t>2.供应商须提供全新的、未使用过的合格正品货物（含说明等），完全符合合同规定的质量、规格和性能的要求。</w:t>
            </w:r>
          </w:p>
          <w:p>
            <w:pPr>
              <w:pStyle w:val="null3"/>
            </w:pPr>
            <w:r>
              <w:rPr>
                <w:rFonts w:ascii="仿宋_GB2312" w:hAnsi="仿宋_GB2312" w:cs="仿宋_GB2312" w:eastAsia="仿宋_GB2312"/>
              </w:rPr>
              <w:t>3.供应商提供的节能和环保产品必须是列入节能、环保标志产品品目清单中的产品。</w:t>
            </w:r>
          </w:p>
          <w:p>
            <w:pPr>
              <w:pStyle w:val="null3"/>
            </w:pPr>
            <w:r>
              <w:rPr>
                <w:rFonts w:ascii="仿宋_GB2312" w:hAnsi="仿宋_GB2312" w:cs="仿宋_GB2312" w:eastAsia="仿宋_GB2312"/>
              </w:rPr>
              <w:t>4.质量标准按照最新颁布的国家标准、行业标准或制造商企业标准确定，上述标准不一致的，以严格标准为准。</w:t>
            </w:r>
          </w:p>
          <w:p>
            <w:pPr>
              <w:pStyle w:val="null3"/>
            </w:pPr>
            <w:r>
              <w:rPr>
                <w:rFonts w:ascii="仿宋_GB2312" w:hAnsi="仿宋_GB2312" w:cs="仿宋_GB2312" w:eastAsia="仿宋_GB2312"/>
              </w:rPr>
              <w:t>5.货物制造质量出现问题，供应商应负责三包（包修、包换、包退），费用由</w:t>
            </w:r>
            <w:r>
              <w:rPr>
                <w:rFonts w:ascii="仿宋_GB2312" w:hAnsi="仿宋_GB2312" w:cs="仿宋_GB2312" w:eastAsia="仿宋_GB2312"/>
              </w:rPr>
              <w:t>供应商</w:t>
            </w:r>
            <w:r>
              <w:rPr>
                <w:rFonts w:ascii="仿宋_GB2312" w:hAnsi="仿宋_GB2312" w:cs="仿宋_GB2312" w:eastAsia="仿宋_GB2312"/>
              </w:rPr>
              <w:t>负担，采购方有权到供应商生产场地检查货物质量和生产进度。</w:t>
            </w:r>
          </w:p>
          <w:p>
            <w:pPr>
              <w:pStyle w:val="null3"/>
            </w:pPr>
            <w:r>
              <w:rPr>
                <w:rFonts w:ascii="仿宋_GB2312" w:hAnsi="仿宋_GB2312" w:cs="仿宋_GB2312" w:eastAsia="仿宋_GB2312"/>
              </w:rPr>
              <w:t>6.环保要求：符合国家安全环保标准、国家有关产品质量认证标准。没有国家标准的，采用该产品有关行业标准（取较高标准）。</w:t>
            </w:r>
          </w:p>
          <w:p>
            <w:pPr>
              <w:pStyle w:val="null3"/>
            </w:pPr>
            <w:r>
              <w:rPr>
                <w:rFonts w:ascii="仿宋_GB2312" w:hAnsi="仿宋_GB2312" w:cs="仿宋_GB2312" w:eastAsia="仿宋_GB2312"/>
              </w:rPr>
              <w:t>（</w:t>
            </w:r>
            <w:r>
              <w:rPr>
                <w:rFonts w:ascii="仿宋_GB2312" w:hAnsi="仿宋_GB2312" w:cs="仿宋_GB2312" w:eastAsia="仿宋_GB2312"/>
              </w:rPr>
              <w:t>十一</w:t>
            </w:r>
            <w:r>
              <w:rPr>
                <w:rFonts w:ascii="仿宋_GB2312" w:hAnsi="仿宋_GB2312" w:cs="仿宋_GB2312" w:eastAsia="仿宋_GB2312"/>
              </w:rPr>
              <w:t>）质量验收标准或规范</w:t>
            </w:r>
          </w:p>
          <w:p>
            <w:pPr>
              <w:pStyle w:val="null3"/>
            </w:pPr>
            <w:r>
              <w:rPr>
                <w:rFonts w:ascii="仿宋_GB2312" w:hAnsi="仿宋_GB2312" w:cs="仿宋_GB2312" w:eastAsia="仿宋_GB2312"/>
              </w:rPr>
              <w:t>1.验收依据</w:t>
            </w:r>
          </w:p>
          <w:p>
            <w:pPr>
              <w:pStyle w:val="null3"/>
            </w:pPr>
            <w:r>
              <w:rPr>
                <w:rFonts w:ascii="仿宋_GB2312" w:hAnsi="仿宋_GB2312" w:cs="仿宋_GB2312" w:eastAsia="仿宋_GB2312"/>
              </w:rPr>
              <w:t>（</w:t>
            </w:r>
            <w:r>
              <w:rPr>
                <w:rFonts w:ascii="仿宋_GB2312" w:hAnsi="仿宋_GB2312" w:cs="仿宋_GB2312" w:eastAsia="仿宋_GB2312"/>
              </w:rPr>
              <w:t>1）合同文本及合同补充文件（条款）；</w:t>
            </w:r>
          </w:p>
          <w:p>
            <w:pPr>
              <w:pStyle w:val="null3"/>
            </w:pPr>
            <w:r>
              <w:rPr>
                <w:rFonts w:ascii="仿宋_GB2312" w:hAnsi="仿宋_GB2312" w:cs="仿宋_GB2312" w:eastAsia="仿宋_GB2312"/>
              </w:rPr>
              <w:t>（</w:t>
            </w:r>
            <w:r>
              <w:rPr>
                <w:rFonts w:ascii="仿宋_GB2312" w:hAnsi="仿宋_GB2312" w:cs="仿宋_GB2312" w:eastAsia="仿宋_GB2312"/>
              </w:rPr>
              <w:t>2）所有货物设备的生产厂家授权证明；</w:t>
            </w:r>
          </w:p>
          <w:p>
            <w:pPr>
              <w:pStyle w:val="null3"/>
            </w:pPr>
            <w:r>
              <w:rPr>
                <w:rFonts w:ascii="仿宋_GB2312" w:hAnsi="仿宋_GB2312" w:cs="仿宋_GB2312" w:eastAsia="仿宋_GB2312"/>
              </w:rPr>
              <w:t>（</w:t>
            </w:r>
            <w:r>
              <w:rPr>
                <w:rFonts w:ascii="仿宋_GB2312" w:hAnsi="仿宋_GB2312" w:cs="仿宋_GB2312" w:eastAsia="仿宋_GB2312"/>
              </w:rPr>
              <w:t>3）招标文件；</w:t>
            </w:r>
          </w:p>
          <w:p>
            <w:pPr>
              <w:pStyle w:val="null3"/>
            </w:pPr>
            <w:r>
              <w:rPr>
                <w:rFonts w:ascii="仿宋_GB2312" w:hAnsi="仿宋_GB2312" w:cs="仿宋_GB2312" w:eastAsia="仿宋_GB2312"/>
              </w:rPr>
              <w:t>（</w:t>
            </w:r>
            <w:r>
              <w:rPr>
                <w:rFonts w:ascii="仿宋_GB2312" w:hAnsi="仿宋_GB2312" w:cs="仿宋_GB2312" w:eastAsia="仿宋_GB2312"/>
              </w:rPr>
              <w:t>4）投标文件；</w:t>
            </w:r>
          </w:p>
          <w:p>
            <w:pPr>
              <w:pStyle w:val="null3"/>
            </w:pPr>
            <w:r>
              <w:rPr>
                <w:rFonts w:ascii="仿宋_GB2312" w:hAnsi="仿宋_GB2312" w:cs="仿宋_GB2312" w:eastAsia="仿宋_GB2312"/>
              </w:rPr>
              <w:t>（</w:t>
            </w:r>
            <w:r>
              <w:rPr>
                <w:rFonts w:ascii="仿宋_GB2312" w:hAnsi="仿宋_GB2312" w:cs="仿宋_GB2312" w:eastAsia="仿宋_GB2312"/>
              </w:rPr>
              <w:t>5）合同产品清单；</w:t>
            </w:r>
          </w:p>
          <w:p>
            <w:pPr>
              <w:pStyle w:val="null3"/>
            </w:pPr>
            <w:r>
              <w:rPr>
                <w:rFonts w:ascii="仿宋_GB2312" w:hAnsi="仿宋_GB2312" w:cs="仿宋_GB2312" w:eastAsia="仿宋_GB2312"/>
              </w:rPr>
              <w:t>（</w:t>
            </w:r>
            <w:r>
              <w:rPr>
                <w:rFonts w:ascii="仿宋_GB2312" w:hAnsi="仿宋_GB2312" w:cs="仿宋_GB2312" w:eastAsia="仿宋_GB2312"/>
              </w:rPr>
              <w:t>6）生产厂家的检验报告、货物的执行标准。</w:t>
            </w:r>
          </w:p>
          <w:p>
            <w:pPr>
              <w:pStyle w:val="null3"/>
            </w:pPr>
            <w:r>
              <w:rPr>
                <w:rFonts w:ascii="仿宋_GB2312" w:hAnsi="仿宋_GB2312" w:cs="仿宋_GB2312" w:eastAsia="仿宋_GB2312"/>
              </w:rPr>
              <w:t>2.采购方、采购代理机构可以邀请参加本项目的其他投标人或者第三方专业机构及专家参与验收，相关验收意见作为验收的参考资料。政府向社会公众提供的公共服务项目，验收时应当邀请服务对象参与并出具意见，验收结果向社会公告。</w:t>
            </w:r>
          </w:p>
          <w:p>
            <w:pPr>
              <w:pStyle w:val="null3"/>
            </w:pPr>
            <w:r>
              <w:rPr>
                <w:rFonts w:ascii="仿宋_GB2312" w:hAnsi="仿宋_GB2312" w:cs="仿宋_GB2312" w:eastAsia="仿宋_GB2312"/>
              </w:rPr>
              <w:t>3.本项目采用一般程序进行验收。项目验收另有国家强制性规定的，按国家规定执行，验收费用由供应商承担，验收报告作为申请付款的凭证之一。</w:t>
            </w:r>
          </w:p>
          <w:p>
            <w:pPr>
              <w:pStyle w:val="null3"/>
            </w:pPr>
            <w:r>
              <w:rPr>
                <w:rFonts w:ascii="仿宋_GB2312" w:hAnsi="仿宋_GB2312" w:cs="仿宋_GB2312" w:eastAsia="仿宋_GB2312"/>
              </w:rPr>
              <w:t>4.验收过程中产生纠纷的，由质量技术监督部门认定的检测机构检测,如为供应商原因造成的，由供应商承担检测费用；否则由采购方承担。</w:t>
            </w:r>
          </w:p>
          <w:p>
            <w:pPr>
              <w:pStyle w:val="null3"/>
            </w:pPr>
            <w:r>
              <w:rPr>
                <w:rFonts w:ascii="仿宋_GB2312" w:hAnsi="仿宋_GB2312" w:cs="仿宋_GB2312" w:eastAsia="仿宋_GB2312"/>
              </w:rPr>
              <w:t>5.项目验收不合格，由供应商返工直至合格，有关返工、再行验收，以及给采购方造成的损失等费用由供应商承担。连续两次项目验收不合格的，采购方可终止合同，另行按规定选择其他供应商采购，由此带来的一切损失由供应商承担。</w:t>
            </w:r>
          </w:p>
          <w:p>
            <w:pPr>
              <w:pStyle w:val="null3"/>
            </w:pPr>
            <w:r>
              <w:rPr>
                <w:rFonts w:ascii="仿宋_GB2312" w:hAnsi="仿宋_GB2312" w:cs="仿宋_GB2312" w:eastAsia="仿宋_GB2312"/>
              </w:rPr>
              <w:t>6.设备到货完成全部产品安装、调试、部署后开展项目初验，初验完成后，各项指标参数均符合本次项目采购需求后开展项目最终验收。</w:t>
            </w:r>
          </w:p>
          <w:p>
            <w:pPr>
              <w:pStyle w:val="null3"/>
            </w:pPr>
            <w:r>
              <w:rPr>
                <w:rFonts w:ascii="仿宋_GB2312" w:hAnsi="仿宋_GB2312" w:cs="仿宋_GB2312" w:eastAsia="仿宋_GB2312"/>
              </w:rPr>
              <w:t>7.项目验收前，供应商应将项目有关的全部资料，包括产品合格证、产品资料、技术文档、用户手册等移交采购方，项目资料作为验收的重要依据。</w:t>
            </w:r>
          </w:p>
          <w:p>
            <w:pPr>
              <w:pStyle w:val="null3"/>
            </w:pPr>
            <w:r>
              <w:rPr>
                <w:rFonts w:ascii="仿宋_GB2312" w:hAnsi="仿宋_GB2312" w:cs="仿宋_GB2312" w:eastAsia="仿宋_GB2312"/>
                <w:sz w:val="21"/>
              </w:rPr>
              <w:t>8.验收合格后，填写政府采购项目履约验收单（一式伍份）作为对服务的最终认可。政府采购项目履约验收单（原件）送采购代理机构一份。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自合同签订之日起180个自然日内完成。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签订合同后30个日历日内完成安装调试。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进度款，最终通过验收后，供应商持验收书，发票（按合同总价开采购人），成交通知书、服务合同，与采购人结算，达到付款条件起10个工作日内，支付合同总金额的60.0%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进度款，安装调试完成且验收合格后无任何质量问题后，供应商持验收书，发票（按合同总价开采购人），成交通知书、服务合同，与采购人结算，，达到付款条件起10个工作日内，支付合同总金额的60.0%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符合国家相关验收规范“合格”标准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采购包1：（1）违约责任 延迟交付的，每逾期一天，乙方向甲方承担合同中标金额 1‰的违约金；逾期累计60天的，甲方有权单方解除本协议，乙方还应向甲方赔偿由此造成的经济损失。（2）中标供应商在领取中标通知书时提供纸质版响应文件一正两副。 采购包2：（一）产品质保期 1. 所有产品质量符合国家有关规范和相关政策。所有设备及辅材必须是未使用过的新产品，质量优良、渠道正当，配置合理。 2. 质保期出现的质量问题由乙方负责解决并承担所有费用。质保期3年，3年后如需更换零部件，乙方应以优惠价提供。 （二）违约责任 1.按《中华人民共和国民法典》中的相关条款执行。 2.未按合同要求提供产品或设备质量不能满足技术要求，甲方有权终止合同，并对乙方违约行为进行追究，同时按《政府采购法》的有关规定进行处罚。 （三）报价要求 1.报价应包含所供产品设计、材料、安装、调试、培训、验收合格交付使用之前及保修期内保修服务与备用物件等其他有关各项所有的含税费用及不可预见费等全部费用。对因此而产生的所有费用以及保修期内的维修、保养等与项目发生的一切费用，全部由中标人承担。 2.合同有效期内，合同单价一次包死，不受国家政策性调价或原材料价格变化及外汇汇率变化的影响，并作为最终结算的唯一依据。投标总价还包含投标人应当提供的伴随服务和售后服务费用。 （四）货款支付： 1.投标人须向采购人出具合法有效的完税发票，采购人进行支付结算。 2.结算方式：银行转账。 （五）项目实施过程中，如有内容涉及须专业团队实施的，供应商应提供实施单位的资质用于留档； （六）中标供应商在领取中标通知书时提供纸质版响应文件一正两副。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8、供应商应授权合法的人员参与投标全过程，其中法定代表人直接投标，须附法定代表人身份证明书。法定代表人授权代表参加投标的，须附法定代表人授权书； 9、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10.本项目不接受联合体投标。</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10.技术部分.docx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8、供应商应授权合法的人员参与投标全过程，其中法定代表人直接投标，须附法定代表人身份证明书。法定代表人授权代表参加投标的，须附法定代表人授权书； 9、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10.本项目不接受联合体投标。</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10.技术部分.docx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10.技术部分.docx 投标函 11.商务响应表.docx 中小企业声明函 残疾人福利性单位声明函 8.投标人应提交的相关资格证明材料.docx 标的清单 投标文件封面 12.业绩.pdf 监狱企业的证明文件 9.技术参数响应表.docx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提供供应商2023年1月1日至今相关平台建设业绩（以提供的合同为准），每份1分，满分4分。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软件著作权及专利1</w:t>
            </w:r>
          </w:p>
        </w:tc>
        <w:tc>
          <w:tcPr>
            <w:tcW w:type="dxa" w:w="2492"/>
          </w:tcPr>
          <w:p>
            <w:pPr>
              <w:pStyle w:val="null3"/>
            </w:pPr>
            <w:r>
              <w:rPr>
                <w:rFonts w:ascii="仿宋_GB2312" w:hAnsi="仿宋_GB2312" w:cs="仿宋_GB2312" w:eastAsia="仿宋_GB2312"/>
              </w:rPr>
              <w:t>1.供应商具备软件著作权登记证书：智能搜索引擎或智能助管或智能体平台等与项目功能相关内容，每提供一份得1分，满分3分；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软件著作权及专利2</w:t>
            </w:r>
          </w:p>
        </w:tc>
        <w:tc>
          <w:tcPr>
            <w:tcW w:type="dxa" w:w="2492"/>
          </w:tcPr>
          <w:p>
            <w:pPr>
              <w:pStyle w:val="null3"/>
            </w:pPr>
            <w:r>
              <w:rPr>
                <w:rFonts w:ascii="仿宋_GB2312" w:hAnsi="仿宋_GB2312" w:cs="仿宋_GB2312" w:eastAsia="仿宋_GB2312"/>
              </w:rPr>
              <w:t>2.供应商具备与智慧校园相关的发明专利，每提供一份得1分，满分2分。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演示必须是真实系统，原型或PPT、视频等替代不得分。 演示方式：现场演示，演示所需设备由供应商自行准备（演示人员须提供介绍信及身份证复印件加盖公章）。 演示地点：陕西省西安市旺座曲江招商中心M座25楼。 演示时间：时间同投标文件提交时间，请各供应商按时到场，过时不候。 演示时长:每个投标人演示开始前的调试准备时间不超过10分钟，演示时间不超过20分钟，不包含评委提问解答时间。 供应商根据下述内容进行演示，每项1.5分，完全满足文件要求得1.5分，有部分缺失得1分，未见此项内容不得分。 1.具备PC门户配置功能：页面需支持用户自定义模块布局，需支持拖拽调整同一模块内不同栏目的位置，需支持用户自定义对页面背景、音乐、主题色及简体或繁体字的转换设置。每一个模块内的数据来源均需支持人工培植；可以是外部数据接入，直接复用已有接口，也可以直接从数据中心抽调。 2.本地添加内容自定义编辑器支持富文本线编辑，支持图片、视频、附件、超链接等上传；支持调用教师课程空间云盘文件。 3.移动端门户配置：需支持系统对移动端APP的门户进行配置。模拟手机界面采用可视化拖拽的形式添加如图片、检索、推荐、功能等。 4.业务问答支持关联微应用，支持关联本单位的已有应用与自建应用。 5.教师空间：教师登录空间，能接收，执行自己双高建设任务，拥有个人工作台，查询自己相关应用。收发站内信函，能直接进行课程教学，与学习平台无缝对接。 6.支持针对学校实际需求，可以通过系统提供不同的引擎类型进行自建应用，包含表单、审批、图表、报告、报表、资讯采集等应用类型引擎。支持通过自建方式对接第三方应用。 7.人才培养方案方案审核，可根据业务的需要，进行任务内容字段的删改操作，包含常用中间件，包括单行输入、多行输入、数字输入、下拉框、多级下拉等基础字段，同时包括矩阵单选、子表单、计算公式等高级字段，支持完全灵活的自定义审批流机制，支持设置电子签名，支持设置或签及会签及打回规则，支持设置自动提醒功能。支持管理及设置评审专家库。支持按照审批流设置对教师提交的培养方案进行评审。 8.支持智能识别生成知识图谱，并能支持知识图谱自定义编辑功能，系统支持至少8种图谱形态，用户可根据课程性质选择合适的图谱形态进行编辑。 9.人才培养方案部分组件支持一键引用国标内容，支持从三个维度（学校上传的调研报告等、人才培养方案数据库中匹配的同类型院校的人才培养方案、招聘岗位能力模型匹配的岗位）AI智能生成文本内容供专业负责人参考。职业面向表支持按学校模板自定义增加数据维度。 10.可以在移动客户端选择给指定的人发送通知，并统计已读和未读名单。并与pc端无缝对接。针对未读通知，需支持短信提醒、电话提醒、微信提醒等提醒方式。需要演示现场发起电话提醒，并收到提醒电话为有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技术参数响应（“▲”参数）</w:t>
            </w:r>
          </w:p>
        </w:tc>
        <w:tc>
          <w:tcPr>
            <w:tcW w:type="dxa" w:w="2492"/>
          </w:tcPr>
          <w:p>
            <w:pPr>
              <w:pStyle w:val="null3"/>
            </w:pPr>
            <w:r>
              <w:rPr>
                <w:rFonts w:ascii="仿宋_GB2312" w:hAnsi="仿宋_GB2312" w:cs="仿宋_GB2312" w:eastAsia="仿宋_GB2312"/>
              </w:rPr>
              <w:t>一、评审内容：根据投标文件中技术参数（“▲”参数）响应程度进行评审。 二、赋分标准： 1.加“▲”技术参数如负偏离或未逐条响应，每项扣1分，扣完为止； 2.必须提供相关技术参数佐证材料（佐证材料包括但不限于产品彩页、检测报告、官网截图等证明材料，佐证材料须包含产品的技术参数），否则视为负偏离。 3.所有产品完全复制招标文件技术指标要求的，本项仅得2分。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技术参数响应（一般参数）</w:t>
            </w:r>
          </w:p>
        </w:tc>
        <w:tc>
          <w:tcPr>
            <w:tcW w:type="dxa" w:w="2492"/>
          </w:tcPr>
          <w:p>
            <w:pPr>
              <w:pStyle w:val="null3"/>
            </w:pPr>
            <w:r>
              <w:rPr>
                <w:rFonts w:ascii="仿宋_GB2312" w:hAnsi="仿宋_GB2312" w:cs="仿宋_GB2312" w:eastAsia="仿宋_GB2312"/>
              </w:rPr>
              <w:t>一、评审内容：根据投标文件中以下九大项技术参数（一般参数）响应程度进行评审：①基本要求②双高建设成果展示门户建设③双高建设任务管理平台④专业建设平台⑤AI智能体助手⑥佐证材料指导⑦成果培育⑧服务要求⑨其他要求。 二、赋分标准： 1.一般技术参数如负偏离或未逐条响应，每项扣1分，扣完为止； 2.一般技术参数必须提供相关技术参数佐证材料（佐证材料包括但不限于产品彩页、检测报告、官网截图等证明材料，佐证材料须包含产品的技术参数），否则视为负偏离； 3.所有产品完全复制招标文件技术指标要求的，本项仅得5分； 4.包含多个子项目，必须对所有子项目进行有效响应，否则视为负偏离，一般技术参数不包含“▲”参数。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一、评审内容：供应商提供技术方案，包括但不限于架构设计方案、功能实现方案、集成方案、数据安全及网络安全方案、系统交互解决方案等内容。 二、赋分标准： 1.方案详尽、合理、可操作性强及可执行程度强，能完全满足项目需求得3分； 2.方案内容完整且基本合理、可操作性及可执行程度一般，能基本满足项目需求得2分。 3.方案不完整且不太合理、可操作性及可执行程度较差，无法满足项目需求得1分。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一、评审内容：供应商提供实施方案，包含总体实施计划、服务进度计划及保证措施、时间节点、交付安排。 二、赋分标准： 1.方案详尽、合理、可操作性强及可执行程度强，能完全满足项目需求得3分； 2.方案内容完整且基本合理、可操作性及可执行程度一般，能基本满足项目需求得2分。 3.方案不完整且不太合理、可操作性及可执行程度较差，无法满足项目需求得1分。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一、评审内容：项目实施团队配备及职责划分，包含配备项目负责人、技术支持人员、培训师、客服人员等相关人员。 二、赋分标准： 1.人员类型齐全、数量充足、经验丰富、专业能力强的服务团队得3分； 2.人员类型齐全、数量、经验基本满足要求、专业能力一般的服务团队得得2分； 3.人员类型、数量、经验不能完全满足本项目实际需求，可能在实施过程中出现响应不及时、工作不到位的情况得1分。 注：需提供上述人员的简历、学历证书、相关经验等证明材料。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一、评审内容：供应商提供针对本项目的保密制度方案。 二、赋分标准： 1.方案详尽、合理、可操作性强及可执行程度强，能完全满足项目需求得3分； 2.方案内容完整且基本合理、可操作性及可执行程度一般，能基本满足项目需求得2分。 3.方案不完整且不太合理、可操作性及可执行程度较差，无法满足项目需求得1分。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一、评审内容：供应商提供技术培训方案，包含但不限于培训内容、培训对象、培训方式、培训流程、培训日程安排等，确保使用单位能熟练操作且正常使用。 二、赋分标准： 1.方案内容详细、合理、可执行程度强，能完全满足项目需求得3分； 2.方案内容良好且较合理、可执行程度一般，能基本满足项目需求得2分； 3.方案内容有缺失、可执行程度较差，无法满足项目需求得1分。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质量保证措施及售后服务方案1</w:t>
            </w:r>
          </w:p>
        </w:tc>
        <w:tc>
          <w:tcPr>
            <w:tcW w:type="dxa" w:w="2492"/>
          </w:tcPr>
          <w:p>
            <w:pPr>
              <w:pStyle w:val="null3"/>
            </w:pPr>
            <w:r>
              <w:rPr>
                <w:rFonts w:ascii="仿宋_GB2312" w:hAnsi="仿宋_GB2312" w:cs="仿宋_GB2312" w:eastAsia="仿宋_GB2312"/>
              </w:rPr>
              <w:t>一、评审内容：供应商提供质量保证措施方案。 二、赋分标准： 1.方案及承诺内容详尽、完整、有针对性、可操作性强，能完全满足项目需求得3分； 2.方案及承诺内容较完整，能基本满足项目需求得2分。 3.方案及承诺内容有缺失、无针对性、可操作较差，无法满足项目需求得1分；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质量保证措施及售后服务方案2</w:t>
            </w:r>
          </w:p>
        </w:tc>
        <w:tc>
          <w:tcPr>
            <w:tcW w:type="dxa" w:w="2492"/>
          </w:tcPr>
          <w:p>
            <w:pPr>
              <w:pStyle w:val="null3"/>
            </w:pPr>
            <w:r>
              <w:rPr>
                <w:rFonts w:ascii="仿宋_GB2312" w:hAnsi="仿宋_GB2312" w:cs="仿宋_GB2312" w:eastAsia="仿宋_GB2312"/>
              </w:rPr>
              <w:t>一、评审内容：供应商提供应急处理方案，包括应急准备、应急处置、处置反馈、总结改进等。 二、赋分标准： 1.方案及承诺内容详尽、完整、有针对性、可操作性强，能完全满足项目需求得3分； 2.方案及承诺内容较完整，能基本满足项目需求得2分。 3.方案及承诺内容有缺失、无针对性、可操作较差，无法满足项目需求得1分；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质量保证措施及售后服务方案3</w:t>
            </w:r>
          </w:p>
        </w:tc>
        <w:tc>
          <w:tcPr>
            <w:tcW w:type="dxa" w:w="2492"/>
          </w:tcPr>
          <w:p>
            <w:pPr>
              <w:pStyle w:val="null3"/>
            </w:pPr>
            <w:r>
              <w:rPr>
                <w:rFonts w:ascii="仿宋_GB2312" w:hAnsi="仿宋_GB2312" w:cs="仿宋_GB2312" w:eastAsia="仿宋_GB2312"/>
              </w:rPr>
              <w:t>一、评审内容：供应商提供售后服务承诺，内容包括：①售后人员配置满足招标文件要求；②售后服务标准；③售后服务响应时间；④故障处理机制。 二、赋分标准： 1.方案及承诺内容详尽、完整、有针对性、可操作性强，能完全满足项目需求得3分； 2.方案及承诺内容较完整，能基本满足项目需求得2分。 3.方案及承诺内容有缺失、无针对性、可操作较差，无法满足项目需求得1分；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一、评审内容：供应商提供安全管理方案，针对本项目建立完善的安全管理措施，加强信息系统安全的管理工作。 二、赋分标准： 1.方案及承诺内容详尽、完整、有针对性、可操作性强，能完全满足项目需求得3分； 2.方案及承诺内容较完整，能基本满足项目需求得2分。 3.方案及承诺内容有缺失、无针对性、可操作较差，无法满足项目需求得1分；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 （基准价/投标报价）×30%×100。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投标人提供自 2024 年 1 月 1 日至本项目投标截止日（以合同签订时间为准）LED显示或光电显示类的院校实训室项目建设案例。每提供 1 个有效案例得 2 分，最高得 4分。 评审依据： 需提供项目合同扫描件（至少包含货物清单、采购人名称、中标人名称、合同签订日期及签字盖章页面）、中标通知及项目验收报告等扫描件，未提供或提供不全者不得分。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一、评审内容：投标文件中技术参数响应程度 二、赋分标准： 1.加“▲”技术参数如负偏离或未逐条响应，每项扣1分；其他技术参数如负偏离或未逐条响应，每项扣0.2分，扣完为止； 2.带“▲”技术参数必须提供相关技术参数佐证材料（佐证材料包括但不限于产品彩页、检测报告、官网截图等证明材料，佐证材料须包含产品的技术参数），否则视为负偏离。 3.所有产品完全复制招标文件技术指标要求的，本项仅得5分。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技术演示</w:t>
            </w:r>
          </w:p>
        </w:tc>
        <w:tc>
          <w:tcPr>
            <w:tcW w:type="dxa" w:w="2492"/>
          </w:tcPr>
          <w:p>
            <w:pPr>
              <w:pStyle w:val="null3"/>
            </w:pPr>
            <w:r>
              <w:rPr>
                <w:rFonts w:ascii="仿宋_GB2312" w:hAnsi="仿宋_GB2312" w:cs="仿宋_GB2312" w:eastAsia="仿宋_GB2312"/>
              </w:rPr>
              <w:t>演示必须是真实系统，原型、PPT或视频等替代不得分。 演示方式：现场演示，演示所需设备由供应商自行准备（演示人员须提供介绍信及身份证复印件加盖公章）。 演示地点：陕西省西安市旺座曲江招商中心M座25楼。 演示时间：时间同投标文件提交时间，请各供应商按时到场，过时不候。 演示时长:每个投标人演示开始前的调试准备时间不超过10分钟，演示时间不超过15分钟，不包含评委提问解答时间。 供应商根据下述内容进行演示，每项5分，完全满足文件要求得5分，有部分缺失得3分，未见此项内容不得分。 演示功能 1，要求：软件应为教学专用版，软件主界面名称应包 含“教学专用版 ”字样，在“未检测到加密狗 ”状态下，新建校正项 目后，控制系统功能区可以选择至少 2 种不同的系统版本，填写 IP、 Port 后，电脑无需安装加密狗、U 盘等任何外接插件即可连接至控制 系统，软件提示“连接控制系统成功 ”； 演示功能2，要求：图像处理系统具备至少 2 路 BNC 同轴输出接口，且图像处理系统与图像接收板卡之间只能采用 BNC 同轴线缆连接，此时接入电脑视频信号至图像处理系统，连接在图像接收板卡上的显示模块即可实时显示画面。 演示功能3.控制软件支持温度、电压、累计误码的监测功能，支持控制器监测功能，至少包含CONTROL的Ethernet 1及Genlock，INPUT的HDMI1及SDI。</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供应商提供技术方案，包含实训台须与学校现有同类型实训设备兼容，可物理混用协同开展实训教学，不得影响原有设备正常使用。提供新、旧实训台兼容性技术方案，方案至少包括设备接口适配、数据互通规则、整体联调测试等内容，确保新旧实训台可协同开展实训教学。 二、赋分标准： 1.方案详尽、合理、可操作性强及可执行程度强，能完全足项目需求得3分； 2.方案内容完整且基本合理、可操作性及可执行程度一般，能基本满足项目需求得2分。 3.方案不完整且不太合理、可操作性及可执行程度较差，无法满足项目需求得1分。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一、评审内容：供应商提供实施方案，包含配套设备与服务要求中的全部配套内容，详细的供货计划、安装进度计划、安全保障、专业的技术人员支持及技术服务，保证按期完成。 二、赋分标准： 1.完全满足方案，并提供配套设备与服务的说明函，方案包含安装调试流程、应急保障措施、实训保障方案且实训保障方案中至少有3门实训课程的课程任务、教学目标、教学活动内容简介，方案详尽、合理、可操作性强及可执行程度强，能完全满足项目需求得3分； 2.方案内容完整且基本合理、可操作性及可执行程度一般，能基本满足项目需求得2分。 3.方案不完整且不太合理、可操作性及可执行程度较差，无法满足项目需求得1分。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一、评审内容：供应商提供技术培训方案，方案内容包括：1.培训目标及培训计划、2.培训课程、3.教材、课件、教案、视频课程等培训资料、 4.培训考评及证书发放等内容。保证使用单位能熟练操作且正常使用。 二、赋分标准： 1.方案内容详细、合理、可执行程度强，培训内容符合本项目的产品和学校要求，不得提供与本项目无关的培训资料，培训方案中包含师资培训和学生培训，针对不同对象设计课程内容和实操方法，方案包含设备开展培训的实拍图，证书考评和发放流程，能完全满足项目需求得3分； 2.方案内容良好且较合理、可执行程度一般，培训方案没有符合项目的师资培训和学生培训的，能基本满足项目需求得2分； 3.方案内容有缺失、可执行程度较差，无法满足项目需求得1分。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一、评审内容：供应商提供售后服务方案及承诺，包含本地化服务能力，故障反馈时间、故障解决时间及解决措施。 二、赋分标准： 1.方案及承诺内容详尽、完整、有针对性、可操作性强，能完全满足项目需求得3分； 2.方案及承诺内容较完整，能基本满足项目需求得2分。 3.方案及承诺内容有缺失、无针对性、可操作较差，无法满足项目需求得1分；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 （基准价/投标报价）×30%×100。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8.投标人应提交的相关资格证明材料.docx</w:t>
            </w:r>
          </w:p>
          <w:p>
            <w:pPr>
              <w:pStyle w:val="null3"/>
            </w:pPr>
            <w:r>
              <w:rPr>
                <w:rFonts w:ascii="仿宋_GB2312" w:hAnsi="仿宋_GB2312" w:cs="仿宋_GB2312" w:eastAsia="仿宋_GB2312"/>
              </w:rPr>
              <w:t>9.技术参数响应表.docx</w:t>
            </w:r>
          </w:p>
          <w:p>
            <w:pPr>
              <w:pStyle w:val="null3"/>
            </w:pPr>
            <w:r>
              <w:rPr>
                <w:rFonts w:ascii="仿宋_GB2312" w:hAnsi="仿宋_GB2312" w:cs="仿宋_GB2312" w:eastAsia="仿宋_GB2312"/>
              </w:rPr>
              <w:t>10.技术部分.docx</w:t>
            </w:r>
          </w:p>
          <w:p>
            <w:pPr>
              <w:pStyle w:val="null3"/>
            </w:pPr>
            <w:r>
              <w:rPr>
                <w:rFonts w:ascii="仿宋_GB2312" w:hAnsi="仿宋_GB2312" w:cs="仿宋_GB2312" w:eastAsia="仿宋_GB2312"/>
              </w:rPr>
              <w:t>11.商务响应表.docx</w:t>
            </w:r>
          </w:p>
          <w:p>
            <w:pPr>
              <w:pStyle w:val="null3"/>
            </w:pPr>
            <w:r>
              <w:rPr>
                <w:rFonts w:ascii="仿宋_GB2312" w:hAnsi="仿宋_GB2312" w:cs="仿宋_GB2312" w:eastAsia="仿宋_GB2312"/>
              </w:rPr>
              <w:t>12.业绩.pdf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详见附件：8.投标人应提交的相关资格证明材料.docx</w:t>
      </w:r>
    </w:p>
    <w:p>
      <w:pPr>
        <w:pStyle w:val="null3"/>
        <w:ind w:firstLine="960"/>
      </w:pPr>
      <w:r>
        <w:rPr>
          <w:rFonts w:ascii="仿宋_GB2312" w:hAnsi="仿宋_GB2312" w:cs="仿宋_GB2312" w:eastAsia="仿宋_GB2312"/>
        </w:rPr>
        <w:t>详见附件：9.技术参数响应表.docx</w:t>
      </w:r>
    </w:p>
    <w:p>
      <w:pPr>
        <w:pStyle w:val="null3"/>
        <w:ind w:firstLine="960"/>
      </w:pPr>
      <w:r>
        <w:rPr>
          <w:rFonts w:ascii="仿宋_GB2312" w:hAnsi="仿宋_GB2312" w:cs="仿宋_GB2312" w:eastAsia="仿宋_GB2312"/>
        </w:rPr>
        <w:t>详见附件：10.技术部分.docx</w:t>
      </w:r>
    </w:p>
    <w:p>
      <w:pPr>
        <w:pStyle w:val="null3"/>
        <w:ind w:firstLine="960"/>
      </w:pPr>
      <w:r>
        <w:rPr>
          <w:rFonts w:ascii="仿宋_GB2312" w:hAnsi="仿宋_GB2312" w:cs="仿宋_GB2312" w:eastAsia="仿宋_GB2312"/>
        </w:rPr>
        <w:t>详见附件：11.商务响应表.docx</w:t>
      </w:r>
    </w:p>
    <w:p>
      <w:pPr>
        <w:pStyle w:val="null3"/>
        <w:ind w:firstLine="960"/>
      </w:pPr>
      <w:r>
        <w:rPr>
          <w:rFonts w:ascii="仿宋_GB2312" w:hAnsi="仿宋_GB2312" w:cs="仿宋_GB2312" w:eastAsia="仿宋_GB2312"/>
        </w:rPr>
        <w:t>详见附件：12.业绩.pdf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详见附件：8.投标人应提交的相关资格证明材料.docx</w:t>
      </w:r>
    </w:p>
    <w:p>
      <w:pPr>
        <w:pStyle w:val="null3"/>
        <w:ind w:firstLine="960"/>
      </w:pPr>
      <w:r>
        <w:rPr>
          <w:rFonts w:ascii="仿宋_GB2312" w:hAnsi="仿宋_GB2312" w:cs="仿宋_GB2312" w:eastAsia="仿宋_GB2312"/>
        </w:rPr>
        <w:t>详见附件：9.技术参数响应表.docx</w:t>
      </w:r>
    </w:p>
    <w:p>
      <w:pPr>
        <w:pStyle w:val="null3"/>
        <w:ind w:firstLine="960"/>
      </w:pPr>
      <w:r>
        <w:rPr>
          <w:rFonts w:ascii="仿宋_GB2312" w:hAnsi="仿宋_GB2312" w:cs="仿宋_GB2312" w:eastAsia="仿宋_GB2312"/>
        </w:rPr>
        <w:t>详见附件：10.技术部分.docx</w:t>
      </w:r>
    </w:p>
    <w:p>
      <w:pPr>
        <w:pStyle w:val="null3"/>
        <w:ind w:firstLine="960"/>
      </w:pPr>
      <w:r>
        <w:rPr>
          <w:rFonts w:ascii="仿宋_GB2312" w:hAnsi="仿宋_GB2312" w:cs="仿宋_GB2312" w:eastAsia="仿宋_GB2312"/>
        </w:rPr>
        <w:t>详见附件：11.商务响应表.docx</w:t>
      </w:r>
    </w:p>
    <w:p>
      <w:pPr>
        <w:pStyle w:val="null3"/>
        <w:ind w:firstLine="960"/>
      </w:pPr>
      <w:r>
        <w:rPr>
          <w:rFonts w:ascii="仿宋_GB2312" w:hAnsi="仿宋_GB2312" w:cs="仿宋_GB2312" w:eastAsia="仿宋_GB2312"/>
        </w:rPr>
        <w:t>详见附件：12.业绩.pdf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详见附件：6.1终-西安职业技术学院供货合同(货物)-政府采购(2).docx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