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版本号：HYDZB2026014-120260509001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西安市临潼区无军籍职工体检服务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HYDZB2026014-1</w:t>
      </w:r>
      <w:r>
        <w:br/>
      </w:r>
      <w:r>
        <w:br/>
      </w:r>
      <w:r>
        <w:br/>
      </w:r>
    </w:p>
    <w:p>
      <w:pPr>
        <w:pStyle w:val="null3"/>
        <w:jc w:val="center"/>
        <w:outlineLvl w:val="2"/>
      </w:pPr>
      <w:r>
        <w:rPr>
          <w:rFonts w:ascii="仿宋_GB2312" w:hAnsi="仿宋_GB2312" w:cs="仿宋_GB2312" w:eastAsia="仿宋_GB2312"/>
          <w:sz w:val="28"/>
          <w:b/>
        </w:rPr>
        <w:t>西安市临潼区退役军人事务局</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西安市临潼区退役军人事务局</w:t>
      </w:r>
      <w:r>
        <w:rPr>
          <w:rFonts w:ascii="仿宋_GB2312" w:hAnsi="仿宋_GB2312" w:cs="仿宋_GB2312" w:eastAsia="仿宋_GB2312"/>
        </w:rPr>
        <w:t>委托，拟对</w:t>
      </w:r>
      <w:r>
        <w:rPr>
          <w:rFonts w:ascii="仿宋_GB2312" w:hAnsi="仿宋_GB2312" w:cs="仿宋_GB2312" w:eastAsia="仿宋_GB2312"/>
        </w:rPr>
        <w:t>西安市临潼区无军籍职工体检服务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HYDZB2026014-1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西安市临潼区无军籍职工体检服务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为切实做好我区无军籍职工健康服务保障，按照工作惯例，开展无军籍职工体检工作。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2、法人代表证明书或法人授权委托书：法人代表证明书或法人授权委托书，后附法人及被委托人身份证（法定代表人直接参加磋商的只需提供法定代表人身份证）；</w:t>
      </w:r>
    </w:p>
    <w:p>
      <w:pPr>
        <w:pStyle w:val="null3"/>
      </w:pPr>
      <w:r>
        <w:rPr>
          <w:rFonts w:ascii="仿宋_GB2312" w:hAnsi="仿宋_GB2312" w:cs="仿宋_GB2312" w:eastAsia="仿宋_GB2312"/>
        </w:rPr>
        <w:t>3、资质要求：供应商具有卫生行政部门核准登记取得的《医疗机构执业许可证》和《放射诊疗许可证》，提供证书复印件；</w:t>
      </w:r>
    </w:p>
    <w:p>
      <w:pPr>
        <w:pStyle w:val="null3"/>
      </w:pPr>
      <w:r>
        <w:rPr>
          <w:rFonts w:ascii="仿宋_GB2312" w:hAnsi="仿宋_GB2312" w:cs="仿宋_GB2312" w:eastAsia="仿宋_GB2312"/>
        </w:rPr>
        <w:t>4、基本条件资格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p>
      <w:pPr>
        <w:pStyle w:val="null3"/>
      </w:pPr>
      <w:r>
        <w:rPr>
          <w:rFonts w:ascii="仿宋_GB2312" w:hAnsi="仿宋_GB2312" w:cs="仿宋_GB2312" w:eastAsia="仿宋_GB2312"/>
        </w:rPr>
        <w:t>5、控股、管理关系：单位负责人为同一人或者存在直接控股、管理关系的不同供应商，不得参加同一合同项下的投标活动；</w:t>
      </w:r>
    </w:p>
    <w:p>
      <w:pPr>
        <w:pStyle w:val="null3"/>
      </w:pPr>
      <w:r>
        <w:rPr>
          <w:rFonts w:ascii="仿宋_GB2312" w:hAnsi="仿宋_GB2312" w:cs="仿宋_GB2312" w:eastAsia="仿宋_GB2312"/>
        </w:rPr>
        <w:t>6、非联合体投标承诺：本项目不接受联合体投标。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西安市临潼区退役军人事务局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西安市临潼区秦陵北路190号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临潼区退役军人事务局经办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029-83910816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号）规定的费率标准计算招标代理服务费，不足伍仟按伍仟计取。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西安市临潼区退役军人事务局</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西安市临潼区退役军人事务局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西安市临潼区退役军人事务局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符合国家、行业、地方规定及采购人要求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联系人：邓钰春</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为切实做好我区无军籍职工健康服务保障，按照工作惯例，开展无军籍职工体检工作。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440,000.00</w:t>
      </w:r>
    </w:p>
    <w:p>
      <w:pPr>
        <w:pStyle w:val="null3"/>
      </w:pPr>
      <w:r>
        <w:rPr>
          <w:rFonts w:ascii="仿宋_GB2312" w:hAnsi="仿宋_GB2312" w:cs="仿宋_GB2312" w:eastAsia="仿宋_GB2312"/>
        </w:rPr>
        <w:t>采购包最高限价（元）: 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无军籍职工体检服务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标的名称：无军籍职工体检服务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left"/>
            </w:pPr>
            <w:r>
              <w:rPr>
                <w:rFonts w:ascii="仿宋_GB2312" w:hAnsi="仿宋_GB2312" w:cs="仿宋_GB2312" w:eastAsia="仿宋_GB2312"/>
                <w:sz w:val="24"/>
                <w:color w:val="000000"/>
              </w:rPr>
              <w:t>本项目退役军人事务局体检总人数约</w:t>
            </w:r>
            <w:r>
              <w:rPr>
                <w:rFonts w:ascii="仿宋_GB2312" w:hAnsi="仿宋_GB2312" w:cs="仿宋_GB2312" w:eastAsia="仿宋_GB2312"/>
                <w:sz w:val="24"/>
                <w:color w:val="000000"/>
                <w:u w:val="single"/>
              </w:rPr>
              <w:t>400</w:t>
            </w:r>
            <w:r>
              <w:rPr>
                <w:rFonts w:ascii="仿宋_GB2312" w:hAnsi="仿宋_GB2312" w:cs="仿宋_GB2312" w:eastAsia="仿宋_GB2312"/>
                <w:sz w:val="24"/>
                <w:color w:val="000000"/>
              </w:rPr>
              <w:t>人，</w:t>
            </w:r>
            <w:r>
              <w:rPr>
                <w:rFonts w:ascii="仿宋_GB2312" w:hAnsi="仿宋_GB2312" w:cs="仿宋_GB2312" w:eastAsia="仿宋_GB2312"/>
                <w:sz w:val="24"/>
                <w:color w:val="000000"/>
              </w:rPr>
              <w:t>男性人数约</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183</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rPr>
              <w:t>人，女性人数约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u w:val="single"/>
              </w:rPr>
              <w:t>217</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rPr>
              <w:t>人</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采购内容</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p>
          <w:tbl>
            <w:tblPr>
              <w:tblInd w:type="dxa" w:w="90"/>
              <w:tblBorders>
                <w:top w:val="none" w:color="000000" w:sz="4"/>
                <w:left w:val="none" w:color="000000" w:sz="4"/>
                <w:bottom w:val="none" w:color="000000" w:sz="4"/>
                <w:right w:val="none" w:color="000000" w:sz="4"/>
                <w:insideH w:val="none"/>
                <w:insideV w:val="none"/>
              </w:tblBorders>
            </w:tblPr>
            <w:tblGrid>
              <w:gridCol w:w="616"/>
              <w:gridCol w:w="1931"/>
            </w:tblGrid>
            <w:tr>
              <w:tc>
                <w:tcPr>
                  <w:tcW w:type="dxa" w:w="6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科室</w:t>
                  </w:r>
                </w:p>
              </w:tc>
              <w:tc>
                <w:tcPr>
                  <w:tcW w:type="dxa" w:w="19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分组</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项目</w:t>
                  </w:r>
                </w:p>
              </w:tc>
            </w:tr>
            <w:tr>
              <w:tc>
                <w:tcPr>
                  <w:tcW w:type="dxa" w:w="616"/>
                  <w:vMerge/>
                  <w:tcBorders>
                    <w:top w:val="single" w:color="000000" w:sz="4"/>
                    <w:left w:val="single" w:color="000000" w:sz="4"/>
                    <w:bottom w:val="single" w:color="000000" w:sz="4"/>
                    <w:right w:val="single" w:color="000000" w:sz="4"/>
                  </w:tcBorders>
                </w:tcPr>
                <w:p/>
              </w:tc>
              <w:tc>
                <w:tcPr>
                  <w:tcW w:type="dxa" w:w="1931"/>
                  <w:vMerge/>
                  <w:tcBorders>
                    <w:top w:val="single" w:color="000000" w:sz="4"/>
                    <w:left w:val="none" w:color="000000" w:sz="4"/>
                    <w:bottom w:val="single" w:color="000000" w:sz="4"/>
                    <w:right w:val="single" w:color="000000" w:sz="4"/>
                  </w:tcBorders>
                </w:tcP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临床专科检查</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r>
                    <w:rPr>
                      <w:rFonts w:ascii="仿宋_GB2312" w:hAnsi="仿宋_GB2312" w:cs="仿宋_GB2312" w:eastAsia="仿宋_GB2312"/>
                      <w:sz w:val="24"/>
                      <w:color w:val="000000"/>
                    </w:rPr>
                    <w:t>5项(身高，体重、血压、心率、体重指数)</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内科常规</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功能科室检查</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心电图</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眼底检查</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骨密度检测</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经颅多普勒</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胸部</w:t>
                  </w:r>
                  <w:r>
                    <w:rPr>
                      <w:rFonts w:ascii="仿宋_GB2312" w:hAnsi="仿宋_GB2312" w:cs="仿宋_GB2312" w:eastAsia="仿宋_GB2312"/>
                      <w:sz w:val="24"/>
                      <w:color w:val="000000"/>
                    </w:rPr>
                    <w:t>DR</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腰椎</w:t>
                  </w:r>
                  <w:r>
                    <w:rPr>
                      <w:rFonts w:ascii="仿宋_GB2312" w:hAnsi="仿宋_GB2312" w:cs="仿宋_GB2312" w:eastAsia="仿宋_GB2312"/>
                      <w:sz w:val="24"/>
                      <w:color w:val="000000"/>
                    </w:rPr>
                    <w:t>DR</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颈椎</w:t>
                  </w:r>
                  <w:r>
                    <w:rPr>
                      <w:rFonts w:ascii="仿宋_GB2312" w:hAnsi="仿宋_GB2312" w:cs="仿宋_GB2312" w:eastAsia="仿宋_GB2312"/>
                      <w:sz w:val="24"/>
                      <w:color w:val="000000"/>
                    </w:rPr>
                    <w:t>DR</w:t>
                  </w:r>
                </w:p>
              </w:tc>
            </w:tr>
            <w:tr>
              <w:tc>
                <w:tcPr>
                  <w:tcW w:type="dxa" w:w="61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彩超检查</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腹部彩超（肝、胆、胰、脾、肾）</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盆腔彩超（子宫附件、前列腺、膀胱）</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颈动脉彩超</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甲状腺彩超</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乳腺彩超</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心脏彩超</w:t>
                  </w:r>
                </w:p>
              </w:tc>
            </w:tr>
            <w:tr>
              <w:tc>
                <w:tcPr>
                  <w:tcW w:type="dxa" w:w="616"/>
                  <w:vMerge/>
                  <w:tcBorders>
                    <w:top w:val="none" w:color="000000" w:sz="4"/>
                    <w:left w:val="single" w:color="000000" w:sz="4"/>
                    <w:bottom w:val="non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腋下淋巴结彩超</w:t>
                  </w:r>
                </w:p>
              </w:tc>
            </w:tr>
            <w:tr>
              <w:tc>
                <w:tcPr>
                  <w:tcW w:type="dxa" w:w="6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妇科检查</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妇科常规</w:t>
                  </w:r>
                </w:p>
              </w:tc>
            </w:tr>
            <w:tr>
              <w:tc>
                <w:tcPr>
                  <w:tcW w:type="dxa" w:w="616"/>
                  <w:vMerge/>
                  <w:tcBorders>
                    <w:top w:val="singl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白带常规</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检验科检查</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静脉采血</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血常规</w:t>
                  </w:r>
                  <w:r>
                    <w:rPr>
                      <w:rFonts w:ascii="仿宋_GB2312" w:hAnsi="仿宋_GB2312" w:cs="仿宋_GB2312" w:eastAsia="仿宋_GB2312"/>
                      <w:sz w:val="24"/>
                      <w:color w:val="000000"/>
                    </w:rPr>
                    <w:t>5分类</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尿常规</w:t>
                  </w:r>
                  <w:r>
                    <w:rPr>
                      <w:rFonts w:ascii="仿宋_GB2312" w:hAnsi="仿宋_GB2312" w:cs="仿宋_GB2312" w:eastAsia="仿宋_GB2312"/>
                      <w:sz w:val="24"/>
                      <w:color w:val="000000"/>
                    </w:rPr>
                    <w:t>11项</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血糖</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血脂</w:t>
                  </w:r>
                  <w:r>
                    <w:rPr>
                      <w:rFonts w:ascii="仿宋_GB2312" w:hAnsi="仿宋_GB2312" w:cs="仿宋_GB2312" w:eastAsia="仿宋_GB2312"/>
                      <w:sz w:val="24"/>
                      <w:color w:val="000000"/>
                    </w:rPr>
                    <w:t>4项</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肾功</w:t>
                  </w:r>
                  <w:r>
                    <w:rPr>
                      <w:rFonts w:ascii="仿宋_GB2312" w:hAnsi="仿宋_GB2312" w:cs="仿宋_GB2312" w:eastAsia="仿宋_GB2312"/>
                      <w:sz w:val="24"/>
                      <w:color w:val="000000"/>
                    </w:rPr>
                    <w:t>3项</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肝功</w:t>
                  </w:r>
                  <w:r>
                    <w:rPr>
                      <w:rFonts w:ascii="仿宋_GB2312" w:hAnsi="仿宋_GB2312" w:cs="仿宋_GB2312" w:eastAsia="仿宋_GB2312"/>
                      <w:sz w:val="24"/>
                      <w:color w:val="000000"/>
                    </w:rPr>
                    <w:t>10项</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乙肝</w:t>
                  </w:r>
                  <w:r>
                    <w:rPr>
                      <w:rFonts w:ascii="仿宋_GB2312" w:hAnsi="仿宋_GB2312" w:cs="仿宋_GB2312" w:eastAsia="仿宋_GB2312"/>
                      <w:sz w:val="24"/>
                      <w:color w:val="000000"/>
                    </w:rPr>
                    <w:t>5项</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血流变</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心肌酶</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前列腺特异性抗原</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肿瘤二项（甲胎蛋白、癌胚抗原）</w:t>
                  </w:r>
                </w:p>
              </w:tc>
            </w:tr>
            <w:tr>
              <w:tc>
                <w:tcPr>
                  <w:tcW w:type="dxa" w:w="6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优惠增值服务</w:t>
                  </w: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医生咨询</w:t>
                  </w:r>
                  <w:r>
                    <w:rPr>
                      <w:rFonts w:ascii="仿宋_GB2312" w:hAnsi="仿宋_GB2312" w:cs="仿宋_GB2312" w:eastAsia="仿宋_GB2312"/>
                      <w:sz w:val="24"/>
                      <w:color w:val="000000"/>
                    </w:rPr>
                    <w:t>/定期复查</w:t>
                  </w:r>
                </w:p>
              </w:tc>
            </w:tr>
            <w:tr>
              <w:tc>
                <w:tcPr>
                  <w:tcW w:type="dxa" w:w="616"/>
                  <w:vMerge/>
                  <w:tcBorders>
                    <w:top w:val="none" w:color="000000" w:sz="4"/>
                    <w:left w:val="single" w:color="000000" w:sz="4"/>
                    <w:bottom w:val="single" w:color="000000" w:sz="4"/>
                    <w:right w:val="single" w:color="000000" w:sz="4"/>
                  </w:tcBorders>
                </w:tcPr>
                <w:p/>
              </w:tc>
              <w:tc>
                <w:tcPr>
                  <w:tcW w:type="dxa" w:w="1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营养早餐</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4"/>
                <w:color w:val="000000"/>
              </w:rPr>
              <w:t>1、服务标准：</w:t>
            </w:r>
            <w:r>
              <w:rPr>
                <w:rFonts w:ascii="仿宋_GB2312" w:hAnsi="仿宋_GB2312" w:cs="仿宋_GB2312" w:eastAsia="仿宋_GB2312"/>
                <w:sz w:val="24"/>
                <w:color w:val="00152A"/>
                <w:shd w:fill="FFFFFF" w:val="clear"/>
              </w:rPr>
              <w:t>符合国家、行业、地方规定及采购人要求</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1）带有★号的条款为实质性条款不得有偏离。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2）服务期限内自行前往体检服务点进行体检。</w:t>
            </w:r>
          </w:p>
          <w:p>
            <w:pPr>
              <w:pStyle w:val="null3"/>
              <w:ind w:firstLine="480"/>
              <w:jc w:val="left"/>
            </w:pPr>
            <w:r>
              <w:rPr>
                <w:rFonts w:ascii="仿宋_GB2312" w:hAnsi="仿宋_GB2312" w:cs="仿宋_GB2312" w:eastAsia="仿宋_GB2312"/>
                <w:sz w:val="24"/>
                <w:color w:val="00152A"/>
                <w:shd w:fill="FFFFFF" w:val="clear"/>
              </w:rPr>
              <w:t>（</w:t>
            </w:r>
            <w:r>
              <w:rPr>
                <w:rFonts w:ascii="仿宋_GB2312" w:hAnsi="仿宋_GB2312" w:cs="仿宋_GB2312" w:eastAsia="仿宋_GB2312"/>
                <w:sz w:val="24"/>
                <w:color w:val="00152A"/>
                <w:shd w:fill="FFFFFF" w:val="clear"/>
              </w:rPr>
              <w:t>3）合理安排，院内就医绿色通道,减少等候时间，热情服务，报告及时准确。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满足磋商文件体检项目设备配置要求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满足相关标准及采购人需求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自合同签订后90天内，具体以合同签署日期开始计算；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符合国家法律法规、规章制度要求，行业、地方标准及采购人要求。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服务期结束后，乙方向甲方提供实际体检人员明细及体检金额汇总，经双方核实无误后，甲方向乙方支付剩余体检费用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法人代表证明书或法人授权委托书</w:t>
            </w:r>
          </w:p>
        </w:tc>
        <w:tc>
          <w:tcPr>
            <w:tcW w:type="dxa" w:w="3322"/>
          </w:tcPr>
          <w:p>
            <w:pPr>
              <w:pStyle w:val="null3"/>
            </w:pPr>
            <w:r>
              <w:rPr>
                <w:rFonts w:ascii="仿宋_GB2312" w:hAnsi="仿宋_GB2312" w:cs="仿宋_GB2312" w:eastAsia="仿宋_GB2312"/>
              </w:rPr>
              <w:t>法人代表证明书或法人授权委托书，后附法人及被委托人身份证（法定代表人直接参加磋商的只需提供法定代表人身份证）；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供应商具有卫生行政部门核准登记取得的《医疗机构执业许可证》和《放射诊疗许可证》，提供证书复印件；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基本条件资格承诺函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资格证明文件: ①财务状况报告：提供具有财务审计资质单位出具的2024年度或2025年度的财务审计报告（成立时间不到一年的可提供成立后任意时段的资产负债表）或响应文件递截止时间前六个月内其基本账户银行出具的资信证明（附基本账户证明）或政府采购信用担保机构出具的磋商担保函；②税收缴纳证明：提供投标截止日前6个月内已缴纳的至少一个月的纳税证明或完税证明（任意税种），依法免税的单位应提供相关证明材料；③、社会保障资金缴纳证明：提供投标截止日前6个月内已缴存的至少一个月的社会保障资金缴存单据或社保机构开具的社会保险参保缴费情况证明，依法不需要缴纳社会保障资金的单位应提供相关证明材料；④提供具有履行本合同所必需的设备和专业技术能力的说明及承诺；⑤参加政府采购活动前3年内经营活动中无重大违法记录声明；⑥供应商未被“信用中国”网站(www.sr&amp;mtchin8.gov.&amp;)列入重大税收违法失信主体，未被《中国执行信息公开网》(http://zxgk.court.gov.cn/shixin/)列入失信被执行人，未被中国政府采购网(www.cc.gov.sn)列入政府采购严重违法失信行为记录名单。（提供查询结果网页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单位负责人为同一人或者存在直接控股、管理关系的不同供应商，不得参加同一合同项下的投标活动；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是否与营业执照及资质证书一致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磋商文件上法定代表人或其授权代表人的签字 、盖章齐全并加盖供应商公章</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是否符合磋商文件要求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投标报价是否唯一，是否超过磋商文件中规定 的采购预算或最高限价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服务期限及服务标准</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响应文件封面 商务应答表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评审内容：1.体检服务流程；2.体检质量保证措施；3.保密措施（提供体检过程中个人隐私信息保密方案）；4.体检现场提供专家咨询及疑问解答；5.体检结束后提供短暂的休息场地等。 评审标准：方案各部分内容全面详细、阐述条理清晰详尽符合本项需求得15分；以上评审内容每缺一项扣3分；评审内容有缺陷（缺陷是指：内容粗略、逻辑混乱、描述过于简单、与项目特点不匹配、凭空编造、逻辑漏洞、出现常识性错误、存在不适用 项目实际情况的情形等）的扣0.5-2.5分。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评审内容：1.基本设施；2.体检环境；3.卫生状况。 评审标准：基本设施完善、体检环境及卫生状况完好并提供检查场地图片得9分；以上评审内容每缺一项扣3分；评审内容有缺陷（缺陷是指：内容粗略、逻辑混乱、描述过于简单、与项目特点不匹配、凭空编造、逻辑漏洞出现常识性错误、存在不适用项目实际情况的情形等）的扣0.5-2.5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体检空间</w:t>
            </w:r>
          </w:p>
        </w:tc>
        <w:tc>
          <w:tcPr>
            <w:tcW w:type="dxa" w:w="2492"/>
          </w:tcPr>
          <w:p>
            <w:pPr>
              <w:pStyle w:val="null3"/>
            </w:pPr>
            <w:r>
              <w:rPr>
                <w:rFonts w:ascii="仿宋_GB2312" w:hAnsi="仿宋_GB2312" w:cs="仿宋_GB2312" w:eastAsia="仿宋_GB2312"/>
              </w:rPr>
              <w:t>评审内容：针对本次体检提供独立的体检空间和受检者专用通道，防止受检者与其他无关人员接触并提供证明材料。 评审标准：证明材料完善得2分；评审内容有缺陷（缺陷是指：证明材料与项目特点不匹配、证明材料不完善、存在不适用项目 实际情况的情形等）的扣0.5-1.5分。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评审内容：1.提供应急保障措施，对于各类突发事件具有应急响应方案；2.接待组织方案。 评审标准：方案内容全面详细、阐述条理清晰详尽符合本项需求得6分；以上评审内容每缺一项扣3分；评审内容有缺陷（缺陷是指：内容粗略、逻辑混乱、描述过于简单、与项目特点不匹配、凭空编造、逻辑漏洞、出现常识性错误、存在不适用项目实际情况的情形等）的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评审内容：1.体检管理制度2.团队人员管理制度3.团队人员各专业岗位配置4.投诉处理流程 评审标准：方案内容全面详细、阐述条理清晰详尽符合本项需求得8分；以上评审内容每缺一项扣2分；评审内容有缺陷（缺陷是指：内容粗略、逻辑混乱、描述过于简单、与项目特点不匹配、凭空编造、逻辑漏洞、出现常识性错误、存在不适用项目实际情况的情形等）的扣0.5-1.5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评审内容：1.体检机构应有良好的内务管理方案；2.有质量管理体系并严格开展质量控制；3.有关样品的采集、接收、流转、保存和安全处置操作方案；4.有健全的体检时间安排方案。 评审标准：方案各部分内容全面详细、阐述条理清晰详尽符合本项需求得12分；以上评审内容每缺一项扣3分；评审内容有缺陷（缺陷是指：内容粗略、逻辑混乱、描述过于简单、与项目特 点不匹配、凭空编造、逻辑漏洞、出现常识性错误、存在不适用项目实际情况的情形等）的扣0.5-2.5分。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1.拟派主要负责医师具有相关专业高级及以上职称，得2分；具有相关专业中级职称，得1分（提供职称证书复印件或扫描件，其余职称或未提供的不得分）； 2.根据拟投入体检的团队人员（不包含主要负责医师）的数量、 综合素质（包括但不限于职称、资格证书等相关证明材料）。 医护：1-9人得0.5分；10人及以上得1分，未提供不得分。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项目投入主要人员汇总表.docx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设施配备</w:t>
            </w:r>
          </w:p>
        </w:tc>
        <w:tc>
          <w:tcPr>
            <w:tcW w:type="dxa" w:w="2492"/>
          </w:tcPr>
          <w:p>
            <w:pPr>
              <w:pStyle w:val="null3"/>
            </w:pPr>
            <w:r>
              <w:rPr>
                <w:rFonts w:ascii="仿宋_GB2312" w:hAnsi="仿宋_GB2312" w:cs="仿宋_GB2312" w:eastAsia="仿宋_GB2312"/>
              </w:rPr>
              <w:t>评审内容：1.设备数量；2.设备性能及用途。 评审标准：以上各项内容完善、设备先进，配置齐全、功能描述详细全面，完全满足本项目需求得4分；以上评审内容每缺一项扣2分；评审内容有缺陷（缺陷是指：设备陈旧、性能描述过于简单、与项目特点不匹配、配置不全、逻辑混乱、出现常识性错误、存在不适用项目实际情况的情形等）的扣0.5-1.5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评审内容：提供详细的服务承诺，承诺内容包括：1.合理的体检流程安排及现场指引；2.体检报告移交时间符合采购人要求；3. 体检报告的准确性（需保证后期可使用体检报告直接进行就医）； 4.体检结束后的后续咨询服务；5.出现异常指标及时提醒体检人员复查等服务。 评审标准：方案各部分内容全面详细、阐述条理清晰详尽符合本 项需求得15分；以上评审内容每缺一项扣3分；评审内容有缺 陷（缺陷是指：内容粗略、逻辑混乱、描述过于简单、与项目特点不匹配、凭空编造、逻辑漏洞、出现常识性错误、存在不适用项目实际情况的情形等）的扣0.5-2.5分。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体检后服务方案</w:t>
            </w:r>
          </w:p>
        </w:tc>
        <w:tc>
          <w:tcPr>
            <w:tcW w:type="dxa" w:w="2492"/>
          </w:tcPr>
          <w:p>
            <w:pPr>
              <w:pStyle w:val="null3"/>
            </w:pPr>
            <w:r>
              <w:rPr>
                <w:rFonts w:ascii="仿宋_GB2312" w:hAnsi="仿宋_GB2312" w:cs="仿宋_GB2312" w:eastAsia="仿宋_GB2312"/>
              </w:rPr>
              <w:t>评审内容：1.根据体检结果提供健康评估服务；2.根据体检结果提供健康管理方案。 评审标准：方案各部分内容全面详细、阐述条理清晰详尽符合本项需求得6分；以上评审内容每缺一项扣3分；评审内容有缺陷 （缺陷是指：内容粗略、逻辑混乱、描述过于简单、与项目特点 不匹配、凭空编造、逻辑漏洞、出现常识性错误、存在不适用项 目实际情况的情形等）的扣0.5-2.5分。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供应商提供自2023年1月1日至今具有团队体检项目业绩，磋商响应文件中附有其业绩证明材料（以合同为准，可提供关键页），每提供一个合同计2分，满分10分。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价格分统一采用低价优先法计算，即满足磋商文件要求且投标价格最低的报价为评标基准价，其价格分为满分。其他供应商的价格分统一按照下列公式计算：投标报价得分=(评标基准价／投标报价)×报价分值 ×100 注：1、计算分数时四舍五入取小数点后两位；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详见附件：项目投入主要人员汇总表.docx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