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版本号：汉区采FW【2026】02号20260820001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汉中精神病医院物业管理服务（安保）采购项目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汉区采FW【2026】02号</w:t>
      </w:r>
      <w:r>
        <w:br/>
      </w:r>
      <w:r>
        <w:br/>
      </w:r>
      <w:r>
        <w:br/>
      </w:r>
    </w:p>
    <w:p>
      <w:pPr>
        <w:pStyle w:val="null3"/>
        <w:jc w:val="center"/>
        <w:outlineLvl w:val="2"/>
      </w:pPr>
      <w:r>
        <w:rPr>
          <w:rFonts w:ascii="仿宋_GB2312" w:hAnsi="仿宋_GB2312" w:cs="仿宋_GB2312" w:eastAsia="仿宋_GB2312"/>
          <w:sz w:val="28"/>
          <w:b/>
        </w:rPr>
        <w:t>汉中市精神病医院</w:t>
      </w:r>
    </w:p>
    <w:p>
      <w:pPr>
        <w:pStyle w:val="null3"/>
        <w:jc w:val="center"/>
        <w:outlineLvl w:val="2"/>
      </w:pPr>
      <w:r>
        <w:rPr>
          <w:rFonts w:ascii="仿宋_GB2312" w:hAnsi="仿宋_GB2312" w:cs="仿宋_GB2312" w:eastAsia="仿宋_GB2312"/>
          <w:sz w:val="28"/>
          <w:b/>
        </w:rPr>
        <w:t>汉中市汉台区政府采购中心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汉中市汉台区政府采购中心</w:t>
      </w:r>
      <w:r>
        <w:rPr>
          <w:rFonts w:ascii="仿宋_GB2312" w:hAnsi="仿宋_GB2312" w:cs="仿宋_GB2312" w:eastAsia="仿宋_GB2312"/>
        </w:rPr>
        <w:t>（以下简称“代理机构”）受</w:t>
      </w:r>
      <w:r>
        <w:rPr>
          <w:rFonts w:ascii="仿宋_GB2312" w:hAnsi="仿宋_GB2312" w:cs="仿宋_GB2312" w:eastAsia="仿宋_GB2312"/>
        </w:rPr>
        <w:t>汉中市精神病医院</w:t>
      </w:r>
      <w:r>
        <w:rPr>
          <w:rFonts w:ascii="仿宋_GB2312" w:hAnsi="仿宋_GB2312" w:cs="仿宋_GB2312" w:eastAsia="仿宋_GB2312"/>
        </w:rPr>
        <w:t>委托，拟对</w:t>
      </w:r>
      <w:r>
        <w:rPr>
          <w:rFonts w:ascii="仿宋_GB2312" w:hAnsi="仿宋_GB2312" w:cs="仿宋_GB2312" w:eastAsia="仿宋_GB2312"/>
        </w:rPr>
        <w:t>汉中精神病医院物业管理服务（安保）采购项目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汉区采FW【2026】02号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汉中精神病医院物业管理服务（安保）采购项目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本项⽬为汉中市精神病医院安保服务采购项⽬。包括⻔岗管理、巡逻管理、突发事件处理、秩序维护、监控管理、消防安全服务等⽇常安保⼯作。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采购包1（汉中市精神病医院物业管理服务（安保）采购项目）：属于专门面向中小企业采购。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法定代表人授权委托书：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p>
      <w:pPr>
        <w:pStyle w:val="null3"/>
      </w:pPr>
      <w:r>
        <w:rPr>
          <w:rFonts w:ascii="仿宋_GB2312" w:hAnsi="仿宋_GB2312" w:cs="仿宋_GB2312" w:eastAsia="仿宋_GB2312"/>
        </w:rPr>
        <w:t>3、资格承诺函：资格承诺函：提供《汉台区政府采购供应商资格承诺函》。（按第七章格式填写）</w:t>
      </w:r>
    </w:p>
    <w:p>
      <w:pPr>
        <w:pStyle w:val="null3"/>
      </w:pPr>
      <w:r>
        <w:rPr>
          <w:rFonts w:ascii="仿宋_GB2312" w:hAnsi="仿宋_GB2312" w:cs="仿宋_GB2312" w:eastAsia="仿宋_GB2312"/>
        </w:rPr>
        <w:t>4、特殊资格：供应商需提供市级及以上公安机关颁发的《保安服务许可证》。陕西省外供应商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5、特殊资格：提供消防控制室6人的消防设施操作员中级证书。</w:t>
      </w:r>
    </w:p>
    <w:p>
      <w:pPr>
        <w:pStyle w:val="null3"/>
      </w:pPr>
      <w:r>
        <w:rPr>
          <w:rFonts w:ascii="仿宋_GB2312" w:hAnsi="仿宋_GB2312" w:cs="仿宋_GB2312" w:eastAsia="仿宋_GB2312"/>
        </w:rPr>
        <w:t>6、中小企业声明函：本项目专门面向中小企业采购；须符合财政部 工业和信息化部《关于印发〈政府采购促进中小企业发展管理办法〉的通知》（财库〔2020〕46号）规定的中小企业参加，并提供《中小企业声明函》。 注：本项目为专门面向中小企业采购的采购项目，因此，不再执行价格评审优惠扶持政策。</w:t>
      </w:r>
    </w:p>
    <w:p>
      <w:pPr>
        <w:pStyle w:val="null3"/>
      </w:pPr>
      <w:r>
        <w:rPr>
          <w:rFonts w:ascii="仿宋_GB2312" w:hAnsi="仿宋_GB2312" w:cs="仿宋_GB2312" w:eastAsia="仿宋_GB2312"/>
        </w:rPr>
        <w:t>7、非联合体投标：本项目不接受联合体投标，不允许分包。</w:t>
      </w:r>
    </w:p>
    <w:p>
      <w:pPr>
        <w:pStyle w:val="null3"/>
      </w:pPr>
      <w:r>
        <w:rPr>
          <w:rFonts w:ascii="仿宋_GB2312" w:hAnsi="仿宋_GB2312" w:cs="仿宋_GB2312" w:eastAsia="仿宋_GB2312"/>
        </w:rPr>
        <w:t>8、备注：备注：1、以上资格要求均为必备资格，须提供相关证明文件并加盖响应人公章（如相关证明材料由第三方出具，应有第三方公章），缺少其中任何一项，其响应文件视为无效文件。 2、分支机构参与磋商时，响应文件中应附法人出具的授权书。法人只能授权一家分支机构参与磋商，且不能与分支机构同时参与磋商。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汉中市精神病医院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汉中市汉台区河东店镇环卫路18号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0916-3790122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汉中市汉台区政府采购中心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陕西省汉中市汉台区汉台区东建设巷1号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邓涛 杨倩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0916-2245542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张森</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0916-2249355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说明：成交供应商须在成交通知书发出后、政府采购合同签订之前，以银行转账形式向采购人提交履约保证金，不接受现金缴纳。未按要求提交履约保证金的，不予签订合同，不得进场服务。 本项目成交供应商完成首月履约验收且验收结论合格，不存在服务违约、安全事故、赔偿纠纷的前提下，采购人于验收合格后30个工作日内无息全额退还履约保证金。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汉中市精神病医院</w:t>
      </w:r>
      <w:r>
        <w:rPr>
          <w:rFonts w:ascii="仿宋_GB2312" w:hAnsi="仿宋_GB2312" w:cs="仿宋_GB2312" w:eastAsia="仿宋_GB2312"/>
        </w:rPr>
        <w:t>和</w:t>
      </w:r>
      <w:r>
        <w:rPr>
          <w:rFonts w:ascii="仿宋_GB2312" w:hAnsi="仿宋_GB2312" w:cs="仿宋_GB2312" w:eastAsia="仿宋_GB2312"/>
        </w:rPr>
        <w:t>汉中市汉台区政府采购中心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汉中市精神病医院</w:t>
      </w:r>
      <w:r>
        <w:rPr>
          <w:rFonts w:ascii="仿宋_GB2312" w:hAnsi="仿宋_GB2312" w:cs="仿宋_GB2312" w:eastAsia="仿宋_GB2312"/>
        </w:rPr>
        <w:t>负责解释。除上述磋商文件内容，其他内容由</w:t>
      </w:r>
      <w:r>
        <w:rPr>
          <w:rFonts w:ascii="仿宋_GB2312" w:hAnsi="仿宋_GB2312" w:cs="仿宋_GB2312" w:eastAsia="仿宋_GB2312"/>
        </w:rPr>
        <w:t>汉中市汉台区政府采购中心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汉中市精神病医院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汉中市汉台区政府采购中心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严格按照本项目竞争性磋商文件、中标响应文件、采购合同条款、月度考核细则标准验收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汉中市汉台区政府采购中心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汉中市汉台区政府采购中心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汉中市汉台区政府采购中心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联系人：汉中市精神病医院</w:t>
      </w:r>
    </w:p>
    <w:p>
      <w:pPr>
        <w:pStyle w:val="null3"/>
      </w:pPr>
      <w:r>
        <w:rPr>
          <w:rFonts w:ascii="仿宋_GB2312" w:hAnsi="仿宋_GB2312" w:cs="仿宋_GB2312" w:eastAsia="仿宋_GB2312"/>
        </w:rPr>
        <w:t>联系电话：0916-3790122</w:t>
      </w:r>
    </w:p>
    <w:p>
      <w:pPr>
        <w:pStyle w:val="null3"/>
      </w:pPr>
      <w:r>
        <w:rPr>
          <w:rFonts w:ascii="仿宋_GB2312" w:hAnsi="仿宋_GB2312" w:cs="仿宋_GB2312" w:eastAsia="仿宋_GB2312"/>
        </w:rPr>
        <w:t>地址：汉中市汉台区河东店镇环卫路18号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本项目为汉中市精神病医院安保服务采购项目。包括门岗管理、巡逻管理、突发事件处理、秩序维护、监控管理、消防安全服务等日常安保工作。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物业管理服务（安保）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标的名称：物业管理服务（安保）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一</w:t>
            </w:r>
            <w:r>
              <w:rPr>
                <w:rFonts w:ascii="仿宋_GB2312" w:hAnsi="仿宋_GB2312" w:cs="仿宋_GB2312" w:eastAsia="仿宋_GB2312"/>
                <w:sz w:val="21"/>
                <w:color w:val="000000"/>
              </w:rPr>
              <w:t>、服务区域</w:t>
            </w:r>
          </w:p>
          <w:p>
            <w:pPr>
              <w:pStyle w:val="null3"/>
              <w:spacing w:before="105" w:after="105"/>
              <w:jc w:val="left"/>
            </w:pPr>
            <w:r>
              <w:rPr>
                <w:rFonts w:ascii="仿宋_GB2312" w:hAnsi="仿宋_GB2312" w:cs="仿宋_GB2312" w:eastAsia="仿宋_GB2312"/>
                <w:sz w:val="21"/>
                <w:color w:val="000000"/>
              </w:rPr>
              <w:t>医院所属区域及大门前区域。</w:t>
            </w:r>
          </w:p>
          <w:p>
            <w:pPr>
              <w:pStyle w:val="null3"/>
              <w:spacing w:before="105" w:after="105"/>
              <w:jc w:val="left"/>
            </w:pPr>
            <w:r>
              <w:rPr>
                <w:rFonts w:ascii="仿宋_GB2312" w:hAnsi="仿宋_GB2312" w:cs="仿宋_GB2312" w:eastAsia="仿宋_GB2312"/>
                <w:sz w:val="21"/>
                <w:color w:val="000000"/>
              </w:rPr>
              <w:t>二、服务要求</w:t>
            </w:r>
          </w:p>
          <w:p>
            <w:pPr>
              <w:pStyle w:val="null3"/>
              <w:spacing w:before="105" w:after="105"/>
              <w:jc w:val="left"/>
            </w:pPr>
            <w:r>
              <w:rPr>
                <w:rFonts w:ascii="仿宋_GB2312" w:hAnsi="仿宋_GB2312" w:cs="仿宋_GB2312" w:eastAsia="仿宋_GB2312"/>
                <w:sz w:val="21"/>
                <w:color w:val="000000"/>
              </w:rPr>
              <w:t>（一）总体要求</w:t>
            </w:r>
          </w:p>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、安保人员遵纪守法、文明执勤。岗位要求着装统一，注意仪表仪容，使用文明礼貌用语。</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、安保人员健康状况良好、年龄</w:t>
            </w:r>
            <w:r>
              <w:rPr>
                <w:rFonts w:ascii="仿宋_GB2312" w:hAnsi="仿宋_GB2312" w:cs="仿宋_GB2312" w:eastAsia="仿宋_GB2312"/>
                <w:sz w:val="21"/>
                <w:color w:val="000000"/>
              </w:rPr>
              <w:t>18</w:t>
            </w:r>
            <w:r>
              <w:rPr>
                <w:rFonts w:ascii="仿宋_GB2312" w:hAnsi="仿宋_GB2312" w:cs="仿宋_GB2312" w:eastAsia="仿宋_GB2312"/>
                <w:sz w:val="21"/>
                <w:color w:val="000000"/>
              </w:rPr>
              <w:t>岁以上，持保安人员资格证上岗。</w:t>
            </w:r>
          </w:p>
          <w:p>
            <w:pPr>
              <w:pStyle w:val="null3"/>
              <w:spacing w:before="105" w:after="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、具备独立法人资格，提供市级及以上公安机关颁发的保安服务许可证。陕西省外供应商还须出具承诺书（承诺书形式不限），承诺自承接本项目之日起</w:t>
            </w:r>
            <w:r>
              <w:rPr>
                <w:rFonts w:ascii="仿宋_GB2312" w:hAnsi="仿宋_GB2312" w:cs="仿宋_GB2312" w:eastAsia="仿宋_GB2312"/>
                <w:sz w:val="21"/>
                <w:color w:val="000000"/>
              </w:rPr>
              <w:t>30</w:t>
            </w:r>
            <w:r>
              <w:rPr>
                <w:rFonts w:ascii="仿宋_GB2312" w:hAnsi="仿宋_GB2312" w:cs="仿宋_GB2312" w:eastAsia="仿宋_GB2312"/>
                <w:sz w:val="21"/>
                <w:color w:val="000000"/>
              </w:rPr>
              <w:t>日内向采购人所在地设区的市级人民政府公安机关备案。</w:t>
            </w:r>
          </w:p>
          <w:p>
            <w:pPr>
              <w:pStyle w:val="null3"/>
              <w:spacing w:before="105" w:after="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、医院如有重要检查、重要嘉宾参观以及其他重要活动时提前通知，应根据医院要求加强保安服务。</w:t>
            </w:r>
          </w:p>
          <w:p>
            <w:pPr>
              <w:pStyle w:val="null3"/>
              <w:spacing w:before="105" w:after="105"/>
              <w:jc w:val="left"/>
            </w:pPr>
            <w:r>
              <w:rPr>
                <w:rFonts w:ascii="仿宋_GB2312" w:hAnsi="仿宋_GB2312" w:cs="仿宋_GB2312" w:eastAsia="仿宋_GB2312"/>
                <w:sz w:val="21"/>
                <w:color w:val="000000"/>
              </w:rPr>
              <w:t>（二）安全保卫与消防值班</w:t>
            </w:r>
          </w:p>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、全天候</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小时对医院各区域进行值班巡查、消防监控（主要为医院范围内消防器材的检查、火灾的发现、报警、初起火灾的救援）。夜间按医院要求的路线每</w:t>
            </w:r>
            <w:r>
              <w:rPr>
                <w:rFonts w:ascii="仿宋_GB2312" w:hAnsi="仿宋_GB2312" w:cs="仿宋_GB2312" w:eastAsia="仿宋_GB2312"/>
                <w:sz w:val="21"/>
                <w:color w:val="000000"/>
              </w:rPr>
              <w:t>2</w:t>
            </w:r>
            <w:r>
              <w:rPr>
                <w:rFonts w:ascii="仿宋_GB2312" w:hAnsi="仿宋_GB2312" w:cs="仿宋_GB2312" w:eastAsia="仿宋_GB2312"/>
                <w:sz w:val="21"/>
                <w:color w:val="000000"/>
              </w:rPr>
              <w:t>小时巡更一次。</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、维护医院的正常医疗秩序，保障工作人员、住院病人、就医者的人身和财产安全，保护医院的设施和设备，预防各类刑事案件和滞留事件的发生。</w:t>
            </w:r>
          </w:p>
          <w:p>
            <w:pPr>
              <w:pStyle w:val="null3"/>
              <w:spacing w:before="105" w:after="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全体保安员均为义务消防员，应对保安进行岗前培训，应包含但不限于消防技能的培训，使保安员具有一定的业务素质，保证每年不少于四次的消防演练安排；应急救援培训，使保安员能有效的处理突发事件，保证每年不少于两次的演练安排。</w:t>
            </w:r>
          </w:p>
          <w:p>
            <w:pPr>
              <w:pStyle w:val="null3"/>
              <w:spacing w:before="105" w:after="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建立完善的各项应急救援方案（如：火警、爆炸、投毒、非法集会、医疗纠纷、擅自离院、打架斗殴、寻衅滋事、其他破坏、盗窃等），以书面的形式报医院备案，确保各类突发事件得到快速、妥善处理。确保院内无火灾、治安、交通、刑事等事件发生。如遇火警、暴雨、地震等特殊情况，要立即组织应急小组配合医院进行抢险。</w:t>
            </w:r>
          </w:p>
          <w:p>
            <w:pPr>
              <w:pStyle w:val="null3"/>
              <w:spacing w:before="105" w:after="105"/>
              <w:jc w:val="left"/>
            </w:pPr>
            <w:r>
              <w:rPr>
                <w:rFonts w:ascii="仿宋_GB2312" w:hAnsi="仿宋_GB2312" w:cs="仿宋_GB2312" w:eastAsia="仿宋_GB2312"/>
                <w:sz w:val="21"/>
                <w:color w:val="000000"/>
              </w:rPr>
              <w:t>（三）停车交通管理</w:t>
            </w:r>
          </w:p>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、引导进入院内的车辆停放在指定区域，必须按划线车位规范停放。电动车必须停放在指定区域，不得在院内乱停乱放。</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、加强对车辆出入管理和登记制度，防止可能发生的盗窃事件。</w:t>
            </w:r>
          </w:p>
          <w:p>
            <w:pPr>
              <w:pStyle w:val="null3"/>
              <w:spacing w:before="105" w:after="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、保持院内道路特别是消防和急救通道通畅，进入院内接送患者或工作等人的车辆必须熄火候车。</w:t>
            </w:r>
          </w:p>
          <w:p>
            <w:pPr>
              <w:pStyle w:val="null3"/>
              <w:spacing w:before="105" w:after="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、整治大门前的交通秩序，禁止在医院大门前和通道摆摊设点，禁止三轮车、摩托车、汽车在大门前和通道停留。</w:t>
            </w:r>
          </w:p>
          <w:p>
            <w:pPr>
              <w:pStyle w:val="null3"/>
              <w:spacing w:before="105" w:after="105"/>
              <w:jc w:val="left"/>
            </w:pPr>
            <w:r>
              <w:rPr>
                <w:rFonts w:ascii="仿宋_GB2312" w:hAnsi="仿宋_GB2312" w:cs="仿宋_GB2312" w:eastAsia="仿宋_GB2312"/>
                <w:sz w:val="21"/>
                <w:color w:val="000000"/>
              </w:rPr>
              <w:t>（四）突发事件处理（制定应急预案）</w:t>
            </w:r>
          </w:p>
          <w:p>
            <w:pPr>
              <w:pStyle w:val="null3"/>
              <w:spacing w:before="105" w:after="105"/>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、成立应急处突分队，应急分队人数</w:t>
            </w:r>
            <w:r>
              <w:rPr>
                <w:rFonts w:ascii="仿宋_GB2312" w:hAnsi="仿宋_GB2312" w:cs="仿宋_GB2312" w:eastAsia="仿宋_GB2312"/>
                <w:sz w:val="21"/>
                <w:color w:val="000000"/>
              </w:rPr>
              <w:t>10</w:t>
            </w:r>
            <w:r>
              <w:rPr>
                <w:rFonts w:ascii="仿宋_GB2312" w:hAnsi="仿宋_GB2312" w:cs="仿宋_GB2312" w:eastAsia="仿宋_GB2312"/>
                <w:sz w:val="21"/>
                <w:color w:val="000000"/>
              </w:rPr>
              <w:t>到</w:t>
            </w:r>
            <w:r>
              <w:rPr>
                <w:rFonts w:ascii="仿宋_GB2312" w:hAnsi="仿宋_GB2312" w:cs="仿宋_GB2312" w:eastAsia="仿宋_GB2312"/>
                <w:sz w:val="21"/>
                <w:color w:val="000000"/>
              </w:rPr>
              <w:t>15</w:t>
            </w:r>
            <w:r>
              <w:rPr>
                <w:rFonts w:ascii="仿宋_GB2312" w:hAnsi="仿宋_GB2312" w:cs="仿宋_GB2312" w:eastAsia="仿宋_GB2312"/>
                <w:sz w:val="21"/>
                <w:color w:val="000000"/>
              </w:rPr>
              <w:t>人，服务商保安队长和其他保安员组成，并制定处突预案，根据不同情况按既定程序处理。</w:t>
            </w:r>
          </w:p>
          <w:p>
            <w:pPr>
              <w:pStyle w:val="null3"/>
              <w:spacing w:before="105" w:after="105"/>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、协助医疗纠纷的处理，保证医务人员不受伤害、医院财务不受损失、医疗秩序不受影响。</w:t>
            </w:r>
          </w:p>
          <w:p>
            <w:pPr>
              <w:pStyle w:val="null3"/>
              <w:spacing w:before="105" w:after="105"/>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、及时制止院内打架斗殴、流氓滋事、酗酒闹事、确保医务人员不受伤害、医院财务不受损失、医疗秩序不受影响。</w:t>
            </w:r>
          </w:p>
          <w:p>
            <w:pPr>
              <w:pStyle w:val="null3"/>
              <w:spacing w:before="105" w:after="105"/>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、协助公安部门处置抢劫、爆炸事件的处理。</w:t>
            </w:r>
          </w:p>
          <w:p>
            <w:pPr>
              <w:pStyle w:val="null3"/>
              <w:spacing w:before="105" w:after="105"/>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、负责相关问题及时向医院报告工作及重大事件及时联络公安部门处置工作。</w:t>
            </w:r>
          </w:p>
          <w:p>
            <w:pPr>
              <w:pStyle w:val="null3"/>
              <w:spacing w:before="105" w:after="105"/>
              <w:jc w:val="left"/>
            </w:pPr>
            <w:r>
              <w:rPr>
                <w:rFonts w:ascii="仿宋_GB2312" w:hAnsi="仿宋_GB2312" w:cs="仿宋_GB2312" w:eastAsia="仿宋_GB2312"/>
                <w:sz w:val="21"/>
                <w:color w:val="000000"/>
              </w:rPr>
              <w:t>（五）重点岗位要求（消防监控中心）</w:t>
            </w:r>
          </w:p>
          <w:p>
            <w:pPr>
              <w:pStyle w:val="null3"/>
              <w:spacing w:before="105" w:after="105"/>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、配合医院实施监控设备和火灾报警设备的值守和操作，严格遵守医院监控中心各项工作制度；</w:t>
            </w:r>
          </w:p>
          <w:p>
            <w:pPr>
              <w:pStyle w:val="null3"/>
              <w:spacing w:before="105" w:after="105"/>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、值守人员必须准时上岗，坚守工作岗位，认真履行岗位职责，实行</w:t>
            </w:r>
            <w:r>
              <w:rPr>
                <w:rFonts w:ascii="仿宋_GB2312" w:hAnsi="仿宋_GB2312" w:cs="仿宋_GB2312" w:eastAsia="仿宋_GB2312"/>
                <w:sz w:val="21"/>
                <w:color w:val="000000"/>
              </w:rPr>
              <w:t>24</w:t>
            </w:r>
            <w:r>
              <w:rPr>
                <w:rFonts w:ascii="仿宋_GB2312" w:hAnsi="仿宋_GB2312" w:cs="仿宋_GB2312" w:eastAsia="仿宋_GB2312"/>
                <w:sz w:val="21"/>
                <w:color w:val="000000"/>
              </w:rPr>
              <w:t>小时工作时间；</w:t>
            </w:r>
          </w:p>
          <w:p>
            <w:pPr>
              <w:pStyle w:val="null3"/>
              <w:spacing w:before="105" w:after="105"/>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、值守人员熟练掌握设备操作方法和相关处置程序；</w:t>
            </w:r>
          </w:p>
          <w:p>
            <w:pPr>
              <w:pStyle w:val="null3"/>
              <w:spacing w:before="105" w:after="105"/>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、值守人员正常休假必须提前一周告知监控中心班组长，否则不予准假；</w:t>
            </w:r>
          </w:p>
          <w:p>
            <w:pPr>
              <w:pStyle w:val="null3"/>
              <w:spacing w:before="105" w:after="105"/>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、值守人员应持证上岗，需具备《中级消防设施操作员》资质，按照“专人专岗”配备人员上岗值守。</w:t>
            </w:r>
          </w:p>
          <w:p>
            <w:pPr>
              <w:pStyle w:val="null3"/>
              <w:spacing w:before="105" w:after="105"/>
              <w:jc w:val="both"/>
            </w:pPr>
            <w:r>
              <w:rPr>
                <w:rFonts w:ascii="仿宋_GB2312" w:hAnsi="仿宋_GB2312" w:cs="仿宋_GB2312" w:eastAsia="仿宋_GB2312"/>
                <w:sz w:val="21"/>
                <w:color w:val="000000"/>
              </w:rPr>
              <w:t>三、人员要求</w:t>
            </w:r>
          </w:p>
          <w:p>
            <w:pPr>
              <w:pStyle w:val="null3"/>
              <w:spacing w:before="105" w:after="105"/>
              <w:jc w:val="both"/>
            </w:pPr>
            <w:r>
              <w:rPr>
                <w:rFonts w:ascii="仿宋_GB2312" w:hAnsi="仿宋_GB2312" w:cs="仿宋_GB2312" w:eastAsia="仿宋_GB2312"/>
                <w:sz w:val="21"/>
                <w:color w:val="000000"/>
              </w:rPr>
              <w:t>安保人数配备不低于</w:t>
            </w:r>
            <w:r>
              <w:rPr>
                <w:rFonts w:ascii="仿宋_GB2312" w:hAnsi="仿宋_GB2312" w:cs="仿宋_GB2312" w:eastAsia="仿宋_GB2312"/>
                <w:sz w:val="21"/>
                <w:color w:val="000000"/>
              </w:rPr>
              <w:t>15</w:t>
            </w:r>
            <w:r>
              <w:rPr>
                <w:rFonts w:ascii="仿宋_GB2312" w:hAnsi="仿宋_GB2312" w:cs="仿宋_GB2312" w:eastAsia="仿宋_GB2312"/>
                <w:sz w:val="21"/>
                <w:color w:val="000000"/>
              </w:rPr>
              <w:t>人，每月根据考勤及考核情况据实结算。具体岗位及保安人员配备情况如下：保安队长</w:t>
            </w:r>
            <w:r>
              <w:rPr>
                <w:rFonts w:ascii="仿宋_GB2312" w:hAnsi="仿宋_GB2312" w:cs="仿宋_GB2312" w:eastAsia="仿宋_GB2312"/>
                <w:sz w:val="21"/>
                <w:color w:val="000000"/>
              </w:rPr>
              <w:t>1</w:t>
            </w:r>
            <w:r>
              <w:rPr>
                <w:rFonts w:ascii="仿宋_GB2312" w:hAnsi="仿宋_GB2312" w:cs="仿宋_GB2312" w:eastAsia="仿宋_GB2312"/>
                <w:sz w:val="21"/>
                <w:color w:val="000000"/>
              </w:rPr>
              <w:t>人、巡逻岗</w:t>
            </w:r>
            <w:r>
              <w:rPr>
                <w:rFonts w:ascii="仿宋_GB2312" w:hAnsi="仿宋_GB2312" w:cs="仿宋_GB2312" w:eastAsia="仿宋_GB2312"/>
                <w:sz w:val="21"/>
                <w:color w:val="000000"/>
              </w:rPr>
              <w:t>1</w:t>
            </w:r>
            <w:r>
              <w:rPr>
                <w:rFonts w:ascii="仿宋_GB2312" w:hAnsi="仿宋_GB2312" w:cs="仿宋_GB2312" w:eastAsia="仿宋_GB2312"/>
                <w:sz w:val="21"/>
                <w:color w:val="000000"/>
              </w:rPr>
              <w:t>人、消防控制室</w:t>
            </w:r>
            <w:r>
              <w:rPr>
                <w:rFonts w:ascii="仿宋_GB2312" w:hAnsi="仿宋_GB2312" w:cs="仿宋_GB2312" w:eastAsia="仿宋_GB2312"/>
                <w:sz w:val="21"/>
                <w:color w:val="000000"/>
              </w:rPr>
              <w:t>6</w:t>
            </w:r>
            <w:r>
              <w:rPr>
                <w:rFonts w:ascii="仿宋_GB2312" w:hAnsi="仿宋_GB2312" w:cs="仿宋_GB2312" w:eastAsia="仿宋_GB2312"/>
                <w:sz w:val="21"/>
                <w:color w:val="000000"/>
              </w:rPr>
              <w:t>人、门卫值班室</w:t>
            </w:r>
            <w:r>
              <w:rPr>
                <w:rFonts w:ascii="仿宋_GB2312" w:hAnsi="仿宋_GB2312" w:cs="仿宋_GB2312" w:eastAsia="仿宋_GB2312"/>
                <w:sz w:val="21"/>
                <w:color w:val="000000"/>
              </w:rPr>
              <w:t>2</w:t>
            </w:r>
            <w:r>
              <w:rPr>
                <w:rFonts w:ascii="仿宋_GB2312" w:hAnsi="仿宋_GB2312" w:cs="仿宋_GB2312" w:eastAsia="仿宋_GB2312"/>
                <w:sz w:val="21"/>
                <w:color w:val="000000"/>
              </w:rPr>
              <w:t>人、安检岗</w:t>
            </w:r>
            <w:r>
              <w:rPr>
                <w:rFonts w:ascii="仿宋_GB2312" w:hAnsi="仿宋_GB2312" w:cs="仿宋_GB2312" w:eastAsia="仿宋_GB2312"/>
                <w:sz w:val="21"/>
                <w:color w:val="000000"/>
              </w:rPr>
              <w:t>1</w:t>
            </w:r>
            <w:r>
              <w:rPr>
                <w:rFonts w:ascii="仿宋_GB2312" w:hAnsi="仿宋_GB2312" w:cs="仿宋_GB2312" w:eastAsia="仿宋_GB2312"/>
                <w:sz w:val="21"/>
                <w:color w:val="000000"/>
              </w:rPr>
              <w:t>人、病区</w:t>
            </w:r>
            <w:r>
              <w:rPr>
                <w:rFonts w:ascii="仿宋_GB2312" w:hAnsi="仿宋_GB2312" w:cs="仿宋_GB2312" w:eastAsia="仿宋_GB2312"/>
                <w:sz w:val="21"/>
                <w:color w:val="000000"/>
              </w:rPr>
              <w:t>4</w:t>
            </w:r>
            <w:r>
              <w:rPr>
                <w:rFonts w:ascii="仿宋_GB2312" w:hAnsi="仿宋_GB2312" w:cs="仿宋_GB2312" w:eastAsia="仿宋_GB2312"/>
                <w:sz w:val="21"/>
                <w:color w:val="000000"/>
              </w:rPr>
              <w:t>人。</w:t>
            </w:r>
          </w:p>
          <w:p>
            <w:pPr>
              <w:pStyle w:val="null3"/>
              <w:ind w:firstLine="64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安保人数配备不低于15人。具体岗位及保安人员配备情况如下：保安队长1人、巡逻岗1人、消防控制室6人、门卫值班室2人、安检岗1人、病区4人。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设备工具要求：①防暴头盔②执法记录仪③强光灯④橡胶棍棒⑤盾牌⑥钢叉⑦防刺服（含手套）⑧大功率手电⑨防暴钢叉器材⑩通讯设备（对讲机）等。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包括⻔岗管理、巡逻管理、突发事件处理、秩序维护、监控管理、消防安全服务等⽇常安保⼯作。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一年；本项目为一次招标三年沿用，一年一考核一年一签，考核合格且预算保障可续签，总期限不超过3年。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采购人日常监督考核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其他，本项目安保服务费实行按月考核，按月支付。考核合格后，由中标方于次月5日前提供合法有效的增值税发票，达到付款条件起30个工作日内，支付合同总金额的8.37%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双方出现违约协商失败的，双方均可在采购人所在地进行仲裁或诉讼。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中小企业声明函.docx 残疾人福利性单位声明函 服务内容及服务要求应答表 营业执照等主体资格证明文件.docx 汉台区政府采购供应商资格承诺函.docx 响应函 监狱企业的证明文件 法定代表人授权书.docx 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合同草案条款.docx 控股关系.docx 中小企业声明函.docx 残疾人福利性单位声明函 拒绝政府采购领域商业贿赂承诺书.docx 非联合体不分包投标声明.docx 汉台区政府采购供应商资格承诺函.docx 合同草案条款响应.docx 响应函 监狱企业的证明文件 法定代表人授权书.docx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第一次磋商报价表.docx 控股关系.docx 中小企业声明函.docx 残疾人福利性单位声明函 非联合体不分包投标声明.docx 营业执照等主体资格证明文件.docx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营业执照等主体资格证明文件.docx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 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资格承诺函：提供《汉台区政府采购供应商资格承诺函》。（按第七章格式填写）</w:t>
            </w:r>
          </w:p>
        </w:tc>
        <w:tc>
          <w:tcPr>
            <w:tcW w:type="dxa" w:w="1661"/>
          </w:tcPr>
          <w:p>
            <w:pPr>
              <w:pStyle w:val="null3"/>
            </w:pPr>
            <w:r>
              <w:rPr>
                <w:rFonts w:ascii="仿宋_GB2312" w:hAnsi="仿宋_GB2312" w:cs="仿宋_GB2312" w:eastAsia="仿宋_GB2312"/>
              </w:rPr>
              <w:t>汉台区政府采购供应商资格承诺函.docx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供应商需提供市级及以上公安机关颁发的《保安服务许可证》。陕西省外供应商还须出具承诺书（承诺书形式不限），承诺自承接本项目之日起30日内向采购人所在地设区的市级人民政府公安机关备案。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保安服务许可证.docx 其他有必要说明的内容.docx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特殊资格</w:t>
            </w:r>
          </w:p>
        </w:tc>
        <w:tc>
          <w:tcPr>
            <w:tcW w:type="dxa" w:w="3322"/>
          </w:tcPr>
          <w:p>
            <w:pPr>
              <w:pStyle w:val="null3"/>
            </w:pPr>
            <w:r>
              <w:rPr>
                <w:rFonts w:ascii="仿宋_GB2312" w:hAnsi="仿宋_GB2312" w:cs="仿宋_GB2312" w:eastAsia="仿宋_GB2312"/>
              </w:rPr>
              <w:t>提供消防控制室6人的消防设施操作员中级证书。</w:t>
            </w:r>
          </w:p>
        </w:tc>
        <w:tc>
          <w:tcPr>
            <w:tcW w:type="dxa" w:w="1661"/>
          </w:tcPr>
          <w:p>
            <w:pPr>
              <w:pStyle w:val="null3"/>
            </w:pPr>
            <w:r>
              <w:rPr>
                <w:rFonts w:ascii="仿宋_GB2312" w:hAnsi="仿宋_GB2312" w:cs="仿宋_GB2312" w:eastAsia="仿宋_GB2312"/>
              </w:rPr>
              <w:t>消防设施操作员中级证书.docx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本项目专门面向中小企业采购；须符合财政部 工业和信息化部《关于印发〈政府采购促进中小企业发展管理办法〉的通知》（财库〔2020〕46号）规定的中小企业参加，并提供《中小企业声明函》。 注：本项目为专门面向中小企业采购的采购项目，因此，不再执行价格评审优惠扶持政策。</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非联合体不分包投标声明.docx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备注：1、以上资格要求均为必备资格，须提供相关证明文件并加盖响应人公章（如相关证明材料由第三方出具，应有第三方公章），缺少其中任何一项，其响应文件视为无效文件。 2、分支机构参与磋商时，响应文件中应附法人出具的授权书。法人只能授权一家分支机构参与磋商，且不能与分支机构同时参与磋商。</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第一次磋商报价表.docx 商务应答表 总体服务方案.docx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磋商小组应当根据综合评分情况，按照评审得分由高到低顺序推荐3名以上成交候选供应商（有效供应商不足三家时以实际数量推荐）。评审得分相同的，按照最后报价由低到高的顺序推荐。评审得分且最后报价相同的，按照技术指标优劣顺序推荐。 磋商小组如果启动异常低价响应审查，应当将启动原因、审查意见和审查结果在评审报告中记录，并随供应商提供的相关书面说明及证明材料，以及磋商小组有关互联网浏览、查询历史一并归档。</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总体服务方案：响应人提供本项目总体服务方案，包括：①服务目标及计划安排②重难点分析及保障措施③服务特色及理念。</w:t>
            </w:r>
          </w:p>
        </w:tc>
        <w:tc>
          <w:tcPr>
            <w:tcW w:type="dxa" w:w="2492"/>
          </w:tcPr>
          <w:p>
            <w:pPr>
              <w:pStyle w:val="null3"/>
            </w:pPr>
            <w:r>
              <w:rPr>
                <w:rFonts w:ascii="仿宋_GB2312" w:hAnsi="仿宋_GB2312" w:cs="仿宋_GB2312" w:eastAsia="仿宋_GB2312"/>
              </w:rPr>
              <w:t>赋分标准（满分9分） 1、完整性：方案内容完整全面，对各项内容均有详细描述及说明，得3分；每缺1项，扣1分；不提供不得分。 2、可实施性：切合本项目实际情况，提出步骤清晰、合理的方案，可实施性强，得3分；可实施，得1分；缺乏可实施性，得0分。 3、针对性：方案能够紧扣项目实际情况，内容科学合理针对性强，得3分；有针对性，得1分；缺乏针对性，得0分。 4、此项不提供不得分。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p>
            <w:pPr>
              <w:pStyle w:val="null3"/>
            </w:pPr>
            <w:r>
              <w:rPr>
                <w:rFonts w:ascii="仿宋_GB2312" w:hAnsi="仿宋_GB2312" w:cs="仿宋_GB2312" w:eastAsia="仿宋_GB2312"/>
              </w:rPr>
              <w:t>其他有必要说明的内容.docx</w:t>
            </w:r>
          </w:p>
        </w:tc>
      </w:tr>
      <w:tr>
        <w:tc>
          <w:tcPr>
            <w:tcW w:type="dxa" w:w="831"/>
            <w:vMerge/>
          </w:tcPr>
          <w:p/>
        </w:tc>
        <w:tc>
          <w:tcPr>
            <w:tcW w:type="dxa" w:w="1661"/>
          </w:tcPr>
          <w:p>
            <w:pPr>
              <w:pStyle w:val="null3"/>
            </w:pPr>
            <w:r>
              <w:rPr>
                <w:rFonts w:ascii="仿宋_GB2312" w:hAnsi="仿宋_GB2312" w:cs="仿宋_GB2312" w:eastAsia="仿宋_GB2312"/>
              </w:rPr>
              <w:t>管理制度:提供针对本项目管理制度，①工作制度：岗位工作职责、服务质量标准、工作记录及档案管理制度②内控制度：具有廉洁敬业制度、监督机制、自查制度、物资管理制度③人员管理制度：具有员工日常管理制度、请销假制度、奖惩措施、激励机制、仪容仪表制度。</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 9 分） ①工作制度：每完全满足一个评审标准得 1 分，满分3分； ②内控制度:每完全满足一个评审标准得1分，满分 3 分； ③人员管理制度:每完全满足一个评审标准得1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值守服务方案:针对本项目提出值守服务方案，内容包括①门卫值守、检查登记② 秩序维护及门岗紧急情况处理③病区出入安检方案</w:t>
            </w:r>
          </w:p>
        </w:tc>
        <w:tc>
          <w:tcPr>
            <w:tcW w:type="dxa" w:w="2492"/>
          </w:tcPr>
          <w:p>
            <w:pPr>
              <w:pStyle w:val="null3"/>
            </w:pPr>
            <w:r>
              <w:rPr>
                <w:rFonts w:ascii="仿宋_GB2312" w:hAnsi="仿宋_GB2312" w:cs="仿宋_GB2312" w:eastAsia="仿宋_GB2312"/>
              </w:rPr>
              <w:t>评审标准 1、完整性：方案必须全面，对评审内容中的各项要求有详细描述； 2、可实施性：切合本项目实际情况，提出步骤清晰、合理的方案； 3、针对性：方案能够紧扣项目实际情况，内容科学合理。 赋分标准（满分9分） ①门卫值守、检查登记：每完全满足一个评审标准得1分，满分3分； ②秩序维护及门岗紧急情况处理:每完全满足一个评审标准得1分，满分 3分； ③病区出入口安检方案:每完全满足一个评审标准得1分，满分3分。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值守服务方案.docx</w:t>
            </w:r>
          </w:p>
        </w:tc>
      </w:tr>
      <w:tr>
        <w:tc>
          <w:tcPr>
            <w:tcW w:type="dxa" w:w="831"/>
            <w:vMerge/>
          </w:tcPr>
          <w:p/>
        </w:tc>
        <w:tc>
          <w:tcPr>
            <w:tcW w:type="dxa" w:w="1661"/>
          </w:tcPr>
          <w:p>
            <w:pPr>
              <w:pStyle w:val="null3"/>
            </w:pPr>
            <w:r>
              <w:rPr>
                <w:rFonts w:ascii="仿宋_GB2312" w:hAnsi="仿宋_GB2312" w:cs="仿宋_GB2312" w:eastAsia="仿宋_GB2312"/>
              </w:rPr>
              <w:t>安全巡逻巡查方案：针对本项目提出安全巡逻巡查方案，内容包括①日常巡逻巡查：包含服务范围内的建筑物及重点区域、要害部位②紧急情况处置：包含巡逻巡查过程对不安全因素、安全隐患及不文明行为具有紧急情况的处置能力。</w:t>
            </w:r>
          </w:p>
        </w:tc>
        <w:tc>
          <w:tcPr>
            <w:tcW w:type="dxa" w:w="2492"/>
          </w:tcPr>
          <w:p>
            <w:pPr>
              <w:pStyle w:val="null3"/>
            </w:pPr>
            <w:r>
              <w:rPr>
                <w:rFonts w:ascii="仿宋_GB2312" w:hAnsi="仿宋_GB2312" w:cs="仿宋_GB2312" w:eastAsia="仿宋_GB2312"/>
              </w:rPr>
              <w:t>评审标准 1.完整性：方案须全面，对评审内容中的各项要求有详细描述； 2.可实施性：切合本项目实际情况，实施步骤清晰、合理； 3.针对性：方案能够紧扣项目实际情况，内容科学合理。 赋分标准（满分 6分） ①日常巡逻巡查：每完全满足一个评审标准得 1 分，满分 3 分； ②紧急情况处置：每完全满足一个评审标准得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安全巡逻巡查方案.docx</w:t>
            </w:r>
          </w:p>
        </w:tc>
      </w:tr>
      <w:tr>
        <w:tc>
          <w:tcPr>
            <w:tcW w:type="dxa" w:w="831"/>
            <w:vMerge/>
          </w:tcPr>
          <w:p/>
        </w:tc>
        <w:tc>
          <w:tcPr>
            <w:tcW w:type="dxa" w:w="1661"/>
          </w:tcPr>
          <w:p>
            <w:pPr>
              <w:pStyle w:val="null3"/>
            </w:pPr>
            <w:r>
              <w:rPr>
                <w:rFonts w:ascii="仿宋_GB2312" w:hAnsi="仿宋_GB2312" w:cs="仿宋_GB2312" w:eastAsia="仿宋_GB2312"/>
              </w:rPr>
              <w:t>大型活动安保方案：提供针对本项目的大型活动安保方案，包括①大型活动②大型会议③上级检查。</w:t>
            </w:r>
          </w:p>
        </w:tc>
        <w:tc>
          <w:tcPr>
            <w:tcW w:type="dxa" w:w="2492"/>
          </w:tcPr>
          <w:p>
            <w:pPr>
              <w:pStyle w:val="null3"/>
            </w:pPr>
            <w:r>
              <w:rPr>
                <w:rFonts w:ascii="仿宋_GB2312" w:hAnsi="仿宋_GB2312" w:cs="仿宋_GB2312" w:eastAsia="仿宋_GB2312"/>
              </w:rPr>
              <w:t>评审标准 1.完整性：方案须全面，对评审内容中的各项要求有详细描述； 2.可实施性：切合本项目实际情况，实施步骤清晰、合理； 3.针对性：方案能够紧扣项目实际情况，内容科学合理。 赋分标准（满分4.5分） ①大型活动：每完全满足一个评审标准得 0.5 分，满分 1.5 分； ②大型会议:每完全满足一个评审标准得 0.5 分，满分 1.5 分； ③上级检查:每完全满足一个评审标准得 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大型活动安保方案.docx</w:t>
            </w:r>
          </w:p>
        </w:tc>
      </w:tr>
      <w:tr>
        <w:tc>
          <w:tcPr>
            <w:tcW w:type="dxa" w:w="831"/>
            <w:vMerge/>
          </w:tcPr>
          <w:p/>
        </w:tc>
        <w:tc>
          <w:tcPr>
            <w:tcW w:type="dxa" w:w="1661"/>
          </w:tcPr>
          <w:p>
            <w:pPr>
              <w:pStyle w:val="null3"/>
            </w:pPr>
            <w:r>
              <w:rPr>
                <w:rFonts w:ascii="仿宋_GB2312" w:hAnsi="仿宋_GB2312" w:cs="仿宋_GB2312" w:eastAsia="仿宋_GB2312"/>
              </w:rPr>
              <w:t>消防管理方案：针对本项目消防管理方案，包括①消防安全管理方案②消防日常巡检方案③消防监控管理方案。</w:t>
            </w:r>
          </w:p>
        </w:tc>
        <w:tc>
          <w:tcPr>
            <w:tcW w:type="dxa" w:w="2492"/>
          </w:tcPr>
          <w:p>
            <w:pPr>
              <w:pStyle w:val="null3"/>
            </w:pPr>
            <w:r>
              <w:rPr>
                <w:rFonts w:ascii="仿宋_GB2312" w:hAnsi="仿宋_GB2312" w:cs="仿宋_GB2312" w:eastAsia="仿宋_GB2312"/>
              </w:rPr>
              <w:t>评审标准 1.完整性：方案须全面，对评审内容中的各项要求有详细描述； 2.可实施性：切合本项目实际情况，实施步骤清晰、合理； 3.针对性：方案能够紧扣项目实际情况，内容科学合理。 赋分标准（满分9分） ①消防安全管理方案：每完全满足一个评审标准得 1 分，满分3分；②消防日常巡检方案：每完全满足一个评审标准得 1分，满分3分；③消防监控管理方案：每完全满足一个评审标准得1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消防管理方案.docx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赋分标准: ①拟派保安队长:具有3年及以上类似安保服务管理经验，得1分；增加一年管理经验额外增加0.5分，最多增加1.5分。（提供相关管理经验证明材料或被服务单位加盖公章的管理经验证明材料，证明材料可累计，格式不限；还须同时提供响应人为保安队长缴纳的近六个月内至少连续三个月的社保缴纳证明材料，成立时间至提交响应文件截止时间不足六个月的投标人，可提供成立后任意一个月的社保缴纳证明材料，不提供或缺漏项本大项不提供或提供无效材料均不得分。） ②拟派其他工作人员： 1、人员满足需求，职责划分清晰、合理，得3分； 2、人员满足需求，职责划分较清晰、较合理，得2分； 3、人员满足需求，职责划分不清晰、不合理，得1分； 4、不提供不得分。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机动车（非机动车）辆管理服务方案:响应人提供本项目车辆管理服务方案，包括①指挥车辆停放②维持停车秩序③突发情况紧急处置。</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赋分标准（满分4.5分） ①指挥车辆停放：每完全满足一个评审标准得 0.5 分，满分 1.5 分； ②维持停车秩序:每完全满足一个评审标准得 0.5 分，满分 1.5 分； ③突发情况紧急处置:每完全满足一个评审标准得 0.5 分，满分 1.5 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机动车（非机动车）辆管理服务方案.docx</w:t>
            </w:r>
          </w:p>
        </w:tc>
      </w:tr>
      <w:tr>
        <w:tc>
          <w:tcPr>
            <w:tcW w:type="dxa" w:w="831"/>
            <w:vMerge/>
          </w:tcPr>
          <w:p/>
        </w:tc>
        <w:tc>
          <w:tcPr>
            <w:tcW w:type="dxa" w:w="1661"/>
          </w:tcPr>
          <w:p>
            <w:pPr>
              <w:pStyle w:val="null3"/>
            </w:pPr>
            <w:r>
              <w:rPr>
                <w:rFonts w:ascii="仿宋_GB2312" w:hAnsi="仿宋_GB2312" w:cs="仿宋_GB2312" w:eastAsia="仿宋_GB2312"/>
              </w:rPr>
              <w:t>应急预案:根据本项目服务工作特点制定应急预案，内容包括①违法事件：如盗窃、暴恐、投毒、爆炸、破坏的预防及处置措施②群体性公共安全事件：如疫情突发、医疗纠纷、擅自离院、打架斗殴、寻衅滋事、意外伤亡、踩踏事件、非法聚集的处置措施③自然紧急事件：恶劣天气、停水停电、消防、防汛的预防及处置措施。</w:t>
            </w:r>
          </w:p>
        </w:tc>
        <w:tc>
          <w:tcPr>
            <w:tcW w:type="dxa" w:w="2492"/>
          </w:tcPr>
          <w:p>
            <w:pPr>
              <w:pStyle w:val="null3"/>
            </w:pPr>
            <w:r>
              <w:rPr>
                <w:rFonts w:ascii="仿宋_GB2312" w:hAnsi="仿宋_GB2312" w:cs="仿宋_GB2312" w:eastAsia="仿宋_GB2312"/>
              </w:rPr>
              <w:t>赋分标准（满分9分） 1、完整性：方案内容完整全面，对各项内容均有详细描述及说明，得3分；每缺1项，扣1分；不提供不得分。 2、可实施性：切合本项目实际情况，提出步骤清晰、合理的方案，可实施性强，得3分；可实施，得1分；缺乏可实施性，得0分。 3、针对性：方案能够紧扣项目实际情况，内容科学合理针对性强，得3分；有针对性，得1分；缺乏针对性，得0分。 4、此项不提供不得分。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装备及服装要求</w:t>
            </w:r>
          </w:p>
        </w:tc>
        <w:tc>
          <w:tcPr>
            <w:tcW w:type="dxa" w:w="2492"/>
          </w:tcPr>
          <w:p>
            <w:pPr>
              <w:pStyle w:val="null3"/>
            </w:pPr>
            <w:r>
              <w:rPr>
                <w:rFonts w:ascii="仿宋_GB2312" w:hAnsi="仿宋_GB2312" w:cs="仿宋_GB2312" w:eastAsia="仿宋_GB2312"/>
              </w:rPr>
              <w:t>赋分标准:响应人须依据本项目要求，提供全面完备的设备工具配置清单（所有配置物品均须明确名称、规格），配置需包括以下内容： 1、专业设备工具配置：①防暴头盔②执法记录仪③强光灯④橡胶棍棒⑤盾牌⑥钢叉⑦防刺服（含手套）⑧大功率手电⑨防暴钢叉器材⑩通讯设备（对讲机），每提供一项得 0.5 分，满分 5 分，不提供或内容缺项不得分； 2、人员服装：①春夏秋冬制式常服②短袖；每提供一项得 0.5 分，满分 1 分，不提供或内容缺项不得分。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装备及服装要求.docx</w:t>
            </w:r>
          </w:p>
        </w:tc>
      </w:tr>
      <w:tr>
        <w:tc>
          <w:tcPr>
            <w:tcW w:type="dxa" w:w="831"/>
            <w:vMerge/>
          </w:tcPr>
          <w:p/>
        </w:tc>
        <w:tc>
          <w:tcPr>
            <w:tcW w:type="dxa" w:w="1661"/>
          </w:tcPr>
          <w:p>
            <w:pPr>
              <w:pStyle w:val="null3"/>
            </w:pPr>
            <w:r>
              <w:rPr>
                <w:rFonts w:ascii="仿宋_GB2312" w:hAnsi="仿宋_GB2312" w:cs="仿宋_GB2312" w:eastAsia="仿宋_GB2312"/>
              </w:rPr>
              <w:t>培训考核方案:根据本项目制定详细、可行的培训考核方案，保证上岗人员的专业素质、服务质量符合采购人要求，方案内容包含：①岗前培训②定期常态化培训（内容应包含消防演练及应急救援内容）③培训后的考核及奖惩措施。</w:t>
            </w:r>
          </w:p>
        </w:tc>
        <w:tc>
          <w:tcPr>
            <w:tcW w:type="dxa" w:w="2492"/>
          </w:tcPr>
          <w:p>
            <w:pPr>
              <w:pStyle w:val="null3"/>
            </w:pPr>
            <w:r>
              <w:rPr>
                <w:rFonts w:ascii="仿宋_GB2312" w:hAnsi="仿宋_GB2312" w:cs="仿宋_GB2312" w:eastAsia="仿宋_GB2312"/>
              </w:rPr>
              <w:t>评审标准 1、完整性：方案必须完整，对评审内容中的各项要求有详细描述； 2、可实施性：切合本项目实际情况，提出步骤清晰、合理； 3、针对性：方案能够紧扣项目实际情况，内容科学合理。 赋分标准（满分4.5分） ①岗前培训：每完全满足一个评审标准得0.5分，满分1.5分； ②定期常态化培训（内容应包含消防演练及应急救援内容）:每完全满足一个评审标准得0.5 分，满分1.5 分； ③培训后的考核及奖惩措施:每完全满足一个评审标准得0.5分，满分1.5分。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培训考核方案.docx</w:t>
            </w:r>
          </w:p>
        </w:tc>
      </w:tr>
      <w:tr>
        <w:tc>
          <w:tcPr>
            <w:tcW w:type="dxa" w:w="831"/>
            <w:vMerge/>
          </w:tcPr>
          <w:p/>
        </w:tc>
        <w:tc>
          <w:tcPr>
            <w:tcW w:type="dxa" w:w="1661"/>
          </w:tcPr>
          <w:p>
            <w:pPr>
              <w:pStyle w:val="null3"/>
            </w:pPr>
            <w:r>
              <w:rPr>
                <w:rFonts w:ascii="仿宋_GB2312" w:hAnsi="仿宋_GB2312" w:cs="仿宋_GB2312" w:eastAsia="仿宋_GB2312"/>
              </w:rPr>
              <w:t>档案管理方案：根据本项目特点制定档案管理方案，内容包含：①档案管理制度：包括档案收集、整理、保管及借阅②档案工作人员管理办法。</w:t>
            </w:r>
          </w:p>
        </w:tc>
        <w:tc>
          <w:tcPr>
            <w:tcW w:type="dxa" w:w="2492"/>
          </w:tcPr>
          <w:p>
            <w:pPr>
              <w:pStyle w:val="null3"/>
            </w:pPr>
            <w:r>
              <w:rPr>
                <w:rFonts w:ascii="仿宋_GB2312" w:hAnsi="仿宋_GB2312" w:cs="仿宋_GB2312" w:eastAsia="仿宋_GB2312"/>
              </w:rPr>
              <w:t>评审标准 1、完整性：方案须全面，对评审内容中的各项要求有详细描述； 2、可实施性：切合本项目实际情况，实施步骤清晰、合理； 3、针对性：方案能够紧扣项目实际情况，内容科学合理。 赋分标准（满分3 分） ①档案管理制度：每完全满足一个评审标准得0.5 分，满分1.5 分； ②档案工作人员管理办法:每完全满足一个评审标准得0.5分，满分1.5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档案管理⽅案.docx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2023年1月1日以来类似项目业绩（以合同签订日期为准），每份合格业绩合同计 1 分，满分3分； 备注：须提供完整合同业绩及对应发票复印件（发票可提供服务期内任意一张），并加盖供应商公章，以上两种证明材料同时提供方可得分，否则不得分。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1.承诺：接受采购人对本项目服务的考核、监督及管理， 定期调研采购人对服务质量的满意度并加以改进，确保服务工作的优质高效，得1分。无承诺不得分。 2.承诺：上岗人员固定，不随意更换，若出现服务人员因事、病等不能工作的，能及时调整其他服务人员补充，确保服务工作的正常进行，得1分。无承诺不得分。 承诺：储备可调度人员，调度人员可保障重大活动、突发事件的临时任务调度需要，得1分。无承诺不得分。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 其他供应商的价格分统一按照下列公式计算： 磋商报价得分=（磋商基准价/最终磋商报价） ×价格权值×100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详见附件：保安服务许可证.docx</w:t>
      </w:r>
    </w:p>
    <w:p>
      <w:pPr>
        <w:pStyle w:val="null3"/>
        <w:ind w:firstLine="960"/>
      </w:pPr>
      <w:r>
        <w:rPr>
          <w:rFonts w:ascii="仿宋_GB2312" w:hAnsi="仿宋_GB2312" w:cs="仿宋_GB2312" w:eastAsia="仿宋_GB2312"/>
        </w:rPr>
        <w:t>详见附件：消防设施操作员中级证书.docx</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详见附件：汉台区政府采购供应商资格承诺函.docx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详见附件：合同草案条款.docx</w:t>
      </w:r>
    </w:p>
    <w:p>
      <w:pPr>
        <w:pStyle w:val="null3"/>
        <w:ind w:firstLine="960"/>
      </w:pPr>
      <w:r>
        <w:rPr>
          <w:rFonts w:ascii="仿宋_GB2312" w:hAnsi="仿宋_GB2312" w:cs="仿宋_GB2312" w:eastAsia="仿宋_GB2312"/>
        </w:rPr>
        <w:t>详见附件：合同草案条款响应.docx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详见附件：控股关系.docx</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详见附件：值守服务方案.docx</w:t>
      </w:r>
    </w:p>
    <w:p>
      <w:pPr>
        <w:pStyle w:val="null3"/>
        <w:ind w:firstLine="960"/>
      </w:pPr>
      <w:r>
        <w:rPr>
          <w:rFonts w:ascii="仿宋_GB2312" w:hAnsi="仿宋_GB2312" w:cs="仿宋_GB2312" w:eastAsia="仿宋_GB2312"/>
        </w:rPr>
        <w:t>详见附件：安全巡逻巡查方案.docx</w:t>
      </w:r>
    </w:p>
    <w:p>
      <w:pPr>
        <w:pStyle w:val="null3"/>
        <w:ind w:firstLine="960"/>
      </w:pPr>
      <w:r>
        <w:rPr>
          <w:rFonts w:ascii="仿宋_GB2312" w:hAnsi="仿宋_GB2312" w:cs="仿宋_GB2312" w:eastAsia="仿宋_GB2312"/>
        </w:rPr>
        <w:t>详见附件：大型活动安保方案.docx</w:t>
      </w:r>
    </w:p>
    <w:p>
      <w:pPr>
        <w:pStyle w:val="null3"/>
        <w:ind w:firstLine="960"/>
      </w:pPr>
      <w:r>
        <w:rPr>
          <w:rFonts w:ascii="仿宋_GB2312" w:hAnsi="仿宋_GB2312" w:cs="仿宋_GB2312" w:eastAsia="仿宋_GB2312"/>
        </w:rPr>
        <w:t>详见附件：消防管理方案.docx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详见附件：机动车（非机动车）辆管理服务方案.docx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详见附件：装备及服装要求.docx</w:t>
      </w:r>
    </w:p>
    <w:p>
      <w:pPr>
        <w:pStyle w:val="null3"/>
        <w:ind w:firstLine="960"/>
      </w:pPr>
      <w:r>
        <w:rPr>
          <w:rFonts w:ascii="仿宋_GB2312" w:hAnsi="仿宋_GB2312" w:cs="仿宋_GB2312" w:eastAsia="仿宋_GB2312"/>
        </w:rPr>
        <w:t>详见附件：培训考核方案.docx</w:t>
      </w:r>
    </w:p>
    <w:p>
      <w:pPr>
        <w:pStyle w:val="null3"/>
        <w:ind w:firstLine="960"/>
      </w:pPr>
      <w:r>
        <w:rPr>
          <w:rFonts w:ascii="仿宋_GB2312" w:hAnsi="仿宋_GB2312" w:cs="仿宋_GB2312" w:eastAsia="仿宋_GB2312"/>
        </w:rPr>
        <w:t>详见附件：档案管理⽅案.docx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详见附件：承诺.docx</w:t>
      </w:r>
    </w:p>
    <w:p>
      <w:pPr>
        <w:pStyle w:val="null3"/>
        <w:ind w:firstLine="960"/>
      </w:pPr>
      <w:r>
        <w:rPr>
          <w:rFonts w:ascii="仿宋_GB2312" w:hAnsi="仿宋_GB2312" w:cs="仿宋_GB2312" w:eastAsia="仿宋_GB2312"/>
        </w:rPr>
        <w:t>详见附件：其他有必要说明的内容.docx</w:t>
      </w:r>
    </w:p>
    <w:p>
      <w:pPr>
        <w:pStyle w:val="null3"/>
        <w:ind w:firstLine="960"/>
      </w:pPr>
      <w:r>
        <w:rPr>
          <w:rFonts w:ascii="仿宋_GB2312" w:hAnsi="仿宋_GB2312" w:cs="仿宋_GB2312" w:eastAsia="仿宋_GB2312"/>
        </w:rPr>
        <w:t>详见附件：营业执照等主体资格证明文件.docx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