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22084">
      <w:pPr>
        <w:jc w:val="left"/>
        <w:rPr>
          <w:rFonts w:ascii="宋体" w:hAnsi="宋体" w:cs="宋体"/>
          <w:color w:val="auto"/>
          <w:highlight w:val="none"/>
        </w:rPr>
      </w:pPr>
    </w:p>
    <w:p w14:paraId="0478CD21">
      <w:pPr>
        <w:jc w:val="center"/>
        <w:rPr>
          <w:rFonts w:ascii="宋体" w:hAnsi="宋体" w:cs="宋体"/>
          <w:color w:val="auto"/>
          <w:highlight w:val="none"/>
        </w:rPr>
      </w:pPr>
      <w:r>
        <w:rPr>
          <w:rFonts w:hint="eastAsia" w:ascii="宋体" w:hAnsi="宋体" w:cs="宋体"/>
          <w:color w:val="auto"/>
          <w:highlight w:val="none"/>
        </w:rPr>
        <w:t>(最终以甲乙双方实际协商签订协议为准）</w:t>
      </w:r>
    </w:p>
    <w:p w14:paraId="6C2A14BB">
      <w:pPr>
        <w:jc w:val="left"/>
        <w:rPr>
          <w:rFonts w:ascii="宋体" w:hAnsi="宋体" w:cs="宋体"/>
          <w:color w:val="auto"/>
          <w:sz w:val="52"/>
          <w:szCs w:val="52"/>
          <w:highlight w:val="none"/>
        </w:rPr>
      </w:pPr>
      <w:r>
        <w:rPr>
          <w:rFonts w:hint="eastAsia" w:ascii="宋体" w:hAnsi="宋体" w:cs="宋体"/>
          <w:bCs/>
          <w:color w:val="auto"/>
          <w:szCs w:val="21"/>
          <w:highlight w:val="none"/>
        </w:rPr>
        <w:t>合同编号：</w:t>
      </w:r>
    </w:p>
    <w:p w14:paraId="3D0EC9E9">
      <w:pPr>
        <w:jc w:val="center"/>
        <w:rPr>
          <w:rFonts w:ascii="宋体" w:hAnsi="宋体" w:cs="宋体"/>
          <w:color w:val="auto"/>
          <w:sz w:val="52"/>
          <w:szCs w:val="52"/>
          <w:highlight w:val="none"/>
        </w:rPr>
      </w:pPr>
    </w:p>
    <w:p w14:paraId="194DE9B7">
      <w:pPr>
        <w:tabs>
          <w:tab w:val="left" w:pos="5670"/>
        </w:tabs>
        <w:autoSpaceDE w:val="0"/>
        <w:autoSpaceDN w:val="0"/>
        <w:adjustRightInd w:val="0"/>
        <w:snapToGrid w:val="0"/>
        <w:spacing w:line="360" w:lineRule="auto"/>
        <w:jc w:val="center"/>
        <w:rPr>
          <w:rFonts w:ascii="宋体" w:hAnsi="宋体" w:cs="宋体"/>
          <w:b/>
          <w:color w:val="auto"/>
          <w:spacing w:val="-20"/>
          <w:sz w:val="52"/>
          <w:szCs w:val="52"/>
          <w:highlight w:val="none"/>
        </w:rPr>
      </w:pPr>
      <w:r>
        <w:rPr>
          <w:rFonts w:hint="eastAsia" w:ascii="宋体" w:hAnsi="宋体" w:cs="宋体"/>
          <w:b/>
          <w:color w:val="auto"/>
          <w:spacing w:val="-20"/>
          <w:sz w:val="52"/>
          <w:szCs w:val="52"/>
          <w:highlight w:val="none"/>
        </w:rPr>
        <w:t>西安外国语大学</w:t>
      </w:r>
      <w:r>
        <w:rPr>
          <w:rFonts w:hint="eastAsia" w:ascii="宋体" w:hAnsi="宋体" w:cs="宋体"/>
          <w:b/>
          <w:color w:val="auto"/>
          <w:spacing w:val="-20"/>
          <w:sz w:val="52"/>
          <w:szCs w:val="52"/>
          <w:highlight w:val="none"/>
          <w:u w:val="single"/>
        </w:rPr>
        <w:t xml:space="preserve">     </w:t>
      </w:r>
      <w:r>
        <w:rPr>
          <w:rFonts w:hint="eastAsia" w:ascii="宋体" w:hAnsi="宋体" w:cs="宋体"/>
          <w:b/>
          <w:color w:val="auto"/>
          <w:spacing w:val="-20"/>
          <w:sz w:val="52"/>
          <w:szCs w:val="52"/>
          <w:highlight w:val="none"/>
        </w:rPr>
        <w:t>项目</w:t>
      </w:r>
    </w:p>
    <w:p w14:paraId="4C77F3B6">
      <w:pPr>
        <w:jc w:val="center"/>
        <w:outlineLvl w:val="0"/>
        <w:rPr>
          <w:rFonts w:ascii="宋体" w:hAnsi="宋体" w:cs="宋体"/>
          <w:color w:val="auto"/>
          <w:highlight w:val="none"/>
        </w:rPr>
      </w:pPr>
      <w:bookmarkStart w:id="0" w:name="_Toc12015"/>
      <w:bookmarkStart w:id="1" w:name="_Toc7449"/>
      <w:bookmarkStart w:id="2" w:name="_Toc4766"/>
      <w:bookmarkStart w:id="3" w:name="_Toc21471"/>
      <w:bookmarkStart w:id="4" w:name="_Toc15229"/>
      <w:bookmarkStart w:id="5" w:name="_Toc1453"/>
      <w:bookmarkStart w:id="6" w:name="_Toc2063"/>
      <w:bookmarkStart w:id="7" w:name="_Toc6447"/>
      <w:bookmarkStart w:id="8" w:name="_Toc21010"/>
      <w:bookmarkStart w:id="9" w:name="_Toc9247"/>
      <w:bookmarkStart w:id="10" w:name="_Toc28338"/>
      <w:bookmarkStart w:id="11" w:name="_Toc4800"/>
      <w:bookmarkStart w:id="12" w:name="_Toc23726"/>
      <w:bookmarkStart w:id="13" w:name="_Toc27654"/>
      <w:r>
        <w:rPr>
          <w:rFonts w:hint="eastAsia" w:ascii="宋体" w:hAnsi="宋体" w:cs="宋体"/>
          <w:b/>
          <w:color w:val="auto"/>
          <w:spacing w:val="-20"/>
          <w:sz w:val="52"/>
          <w:szCs w:val="52"/>
          <w:highlight w:val="none"/>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34B241CB">
      <w:pPr>
        <w:pStyle w:val="4"/>
        <w:rPr>
          <w:rFonts w:ascii="宋体" w:hAnsi="宋体" w:cs="宋体"/>
          <w:color w:val="auto"/>
          <w:highlight w:val="none"/>
        </w:rPr>
      </w:pPr>
    </w:p>
    <w:p w14:paraId="1DC873C5">
      <w:pPr>
        <w:rPr>
          <w:rFonts w:ascii="宋体" w:hAnsi="宋体" w:cs="宋体"/>
          <w:color w:val="auto"/>
          <w:sz w:val="30"/>
          <w:szCs w:val="30"/>
          <w:highlight w:val="none"/>
        </w:rPr>
      </w:pPr>
    </w:p>
    <w:p w14:paraId="169697B4">
      <w:pPr>
        <w:ind w:firstLine="2080" w:firstLineChars="650"/>
        <w:rPr>
          <w:rFonts w:ascii="宋体" w:hAnsi="宋体" w:cs="宋体"/>
          <w:color w:val="auto"/>
          <w:sz w:val="32"/>
          <w:szCs w:val="32"/>
          <w:highlight w:val="none"/>
        </w:rPr>
      </w:pPr>
      <w:r>
        <w:rPr>
          <w:rFonts w:hint="eastAsia" w:ascii="宋体" w:hAnsi="宋体" w:cs="宋体"/>
          <w:color w:val="auto"/>
          <w:sz w:val="32"/>
          <w:szCs w:val="32"/>
          <w:highlight w:val="none"/>
        </w:rPr>
        <w:t>甲方：西安外国语大学</w:t>
      </w:r>
    </w:p>
    <w:p w14:paraId="781DF2DB">
      <w:pPr>
        <w:tabs>
          <w:tab w:val="left" w:pos="480"/>
        </w:tabs>
        <w:ind w:firstLine="2080" w:firstLineChars="650"/>
        <w:rPr>
          <w:rFonts w:ascii="宋体" w:hAnsi="宋体" w:cs="宋体"/>
          <w:color w:val="auto"/>
          <w:sz w:val="32"/>
          <w:szCs w:val="32"/>
          <w:highlight w:val="none"/>
        </w:rPr>
      </w:pPr>
      <w:r>
        <w:rPr>
          <w:rFonts w:hint="eastAsia" w:ascii="宋体" w:hAnsi="宋体" w:cs="宋体"/>
          <w:color w:val="auto"/>
          <w:sz w:val="32"/>
          <w:szCs w:val="32"/>
          <w:highlight w:val="none"/>
        </w:rPr>
        <w:t>乙方：</w:t>
      </w:r>
    </w:p>
    <w:p w14:paraId="08C86951">
      <w:pPr>
        <w:pStyle w:val="10"/>
        <w:ind w:firstLine="640"/>
        <w:rPr>
          <w:rFonts w:hAnsi="宋体" w:cs="宋体"/>
          <w:color w:val="auto"/>
          <w:sz w:val="32"/>
          <w:szCs w:val="32"/>
          <w:highlight w:val="none"/>
        </w:rPr>
      </w:pPr>
      <w:r>
        <w:rPr>
          <w:rFonts w:hint="eastAsia" w:hAnsi="宋体" w:cs="宋体"/>
          <w:color w:val="auto"/>
          <w:kern w:val="2"/>
          <w:sz w:val="32"/>
          <w:szCs w:val="32"/>
          <w:highlight w:val="none"/>
        </w:rPr>
        <w:t xml:space="preserve">         鉴证方：</w:t>
      </w:r>
    </w:p>
    <w:p w14:paraId="41A6361B">
      <w:pPr>
        <w:jc w:val="center"/>
        <w:rPr>
          <w:rFonts w:ascii="宋体" w:hAnsi="宋体" w:cs="宋体"/>
          <w:color w:val="auto"/>
          <w:sz w:val="30"/>
          <w:szCs w:val="30"/>
          <w:highlight w:val="none"/>
        </w:rPr>
      </w:pPr>
    </w:p>
    <w:p w14:paraId="6606EEB9">
      <w:pPr>
        <w:pStyle w:val="4"/>
        <w:rPr>
          <w:rFonts w:ascii="宋体" w:hAnsi="宋体" w:cs="宋体"/>
          <w:color w:val="auto"/>
          <w:highlight w:val="none"/>
        </w:rPr>
      </w:pPr>
    </w:p>
    <w:p w14:paraId="25820407">
      <w:pPr>
        <w:pStyle w:val="4"/>
        <w:rPr>
          <w:rFonts w:ascii="宋体" w:hAnsi="宋体" w:cs="宋体"/>
          <w:color w:val="auto"/>
          <w:highlight w:val="none"/>
        </w:rPr>
      </w:pPr>
    </w:p>
    <w:p w14:paraId="55BBF492">
      <w:pPr>
        <w:jc w:val="center"/>
        <w:outlineLvl w:val="0"/>
        <w:rPr>
          <w:rFonts w:ascii="宋体" w:hAnsi="宋体" w:cs="宋体"/>
          <w:color w:val="auto"/>
          <w:sz w:val="32"/>
          <w:szCs w:val="32"/>
          <w:highlight w:val="none"/>
        </w:rPr>
      </w:pPr>
      <w:bookmarkStart w:id="14" w:name="_Toc25053"/>
      <w:bookmarkStart w:id="15" w:name="_Toc21875"/>
      <w:bookmarkStart w:id="16" w:name="_Toc27214"/>
      <w:bookmarkStart w:id="17" w:name="_Toc4189"/>
      <w:bookmarkStart w:id="18" w:name="_Toc22798"/>
      <w:bookmarkStart w:id="19" w:name="_Toc14444"/>
      <w:bookmarkStart w:id="20" w:name="_Toc29335"/>
      <w:bookmarkStart w:id="21" w:name="_Toc16696"/>
      <w:bookmarkStart w:id="22" w:name="_Toc21769"/>
      <w:bookmarkStart w:id="23" w:name="_Toc30907"/>
      <w:bookmarkStart w:id="24" w:name="_Toc1075"/>
      <w:bookmarkStart w:id="25" w:name="_Toc15790"/>
      <w:bookmarkStart w:id="26" w:name="_Toc13740"/>
      <w:bookmarkStart w:id="27" w:name="_Toc7714"/>
      <w:r>
        <w:rPr>
          <w:rFonts w:hint="eastAsia" w:ascii="宋体" w:hAnsi="宋体" w:cs="宋体"/>
          <w:color w:val="auto"/>
          <w:sz w:val="32"/>
          <w:szCs w:val="32"/>
          <w:highlight w:val="none"/>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09C5E0D">
      <w:pPr>
        <w:jc w:val="center"/>
        <w:rPr>
          <w:rFonts w:ascii="宋体" w:hAnsi="宋体" w:cs="宋体"/>
          <w:color w:val="auto"/>
          <w:sz w:val="32"/>
          <w:szCs w:val="32"/>
          <w:highlight w:val="none"/>
        </w:rPr>
      </w:pPr>
      <w:r>
        <w:rPr>
          <w:rFonts w:hint="eastAsia" w:ascii="宋体" w:hAnsi="宋体" w:cs="宋体"/>
          <w:color w:val="auto"/>
          <w:sz w:val="32"/>
          <w:szCs w:val="32"/>
          <w:highlight w:val="none"/>
        </w:rPr>
        <w:t>中国西安</w:t>
      </w:r>
    </w:p>
    <w:p w14:paraId="6B3F11EA">
      <w:pPr>
        <w:spacing w:line="520" w:lineRule="exact"/>
        <w:jc w:val="center"/>
        <w:rPr>
          <w:rFonts w:ascii="宋体" w:hAnsi="宋体" w:cs="宋体"/>
          <w:b/>
          <w:color w:val="auto"/>
          <w:sz w:val="44"/>
          <w:szCs w:val="44"/>
          <w:highlight w:val="none"/>
        </w:rPr>
      </w:pPr>
      <w:r>
        <w:rPr>
          <w:rFonts w:hint="eastAsia" w:ascii="宋体" w:hAnsi="宋体" w:cs="宋体"/>
          <w:color w:val="auto"/>
          <w:sz w:val="32"/>
          <w:szCs w:val="32"/>
          <w:highlight w:val="none"/>
        </w:rPr>
        <w:br w:type="page"/>
      </w:r>
      <w:r>
        <w:rPr>
          <w:rFonts w:hint="eastAsia" w:ascii="宋体" w:hAnsi="宋体" w:cs="宋体"/>
          <w:b/>
          <w:color w:val="auto"/>
          <w:sz w:val="44"/>
          <w:szCs w:val="44"/>
          <w:highlight w:val="none"/>
        </w:rPr>
        <w:t>供货合同</w:t>
      </w:r>
    </w:p>
    <w:p w14:paraId="20374A11">
      <w:pPr>
        <w:tabs>
          <w:tab w:val="left" w:pos="5670"/>
        </w:tabs>
        <w:autoSpaceDE w:val="0"/>
        <w:autoSpaceDN w:val="0"/>
        <w:adjustRightInd w:val="0"/>
        <w:snapToGrid w:val="0"/>
        <w:spacing w:line="520" w:lineRule="exact"/>
        <w:ind w:firstLine="140" w:firstLineChars="50"/>
        <w:jc w:val="left"/>
        <w:rPr>
          <w:rFonts w:ascii="宋体" w:hAnsi="宋体" w:cs="宋体"/>
          <w:color w:val="auto"/>
          <w:sz w:val="28"/>
          <w:szCs w:val="28"/>
          <w:highlight w:val="none"/>
        </w:rPr>
      </w:pPr>
    </w:p>
    <w:p w14:paraId="3F395E7D">
      <w:pPr>
        <w:spacing w:line="520" w:lineRule="exact"/>
        <w:ind w:firstLine="442" w:firstLineChars="200"/>
        <w:rPr>
          <w:rFonts w:ascii="宋体" w:hAnsi="宋体" w:cs="宋体"/>
          <w:color w:val="auto"/>
          <w:sz w:val="22"/>
          <w:highlight w:val="none"/>
        </w:rPr>
      </w:pPr>
      <w:r>
        <w:rPr>
          <w:rFonts w:hint="eastAsia" w:ascii="宋体" w:hAnsi="宋体" w:cs="宋体"/>
          <w:b/>
          <w:color w:val="auto"/>
          <w:sz w:val="22"/>
          <w:highlight w:val="none"/>
        </w:rPr>
        <w:t>甲方：</w:t>
      </w:r>
      <w:r>
        <w:rPr>
          <w:rFonts w:hint="eastAsia" w:ascii="宋体" w:hAnsi="宋体" w:cs="宋体"/>
          <w:color w:val="auto"/>
          <w:sz w:val="22"/>
          <w:highlight w:val="none"/>
        </w:rPr>
        <w:t>西安外国语大学</w:t>
      </w:r>
    </w:p>
    <w:p w14:paraId="19017CF2">
      <w:pPr>
        <w:spacing w:line="520" w:lineRule="exact"/>
        <w:ind w:firstLine="442" w:firstLineChars="200"/>
        <w:rPr>
          <w:rFonts w:ascii="宋体" w:hAnsi="宋体" w:cs="宋体"/>
          <w:color w:val="auto"/>
          <w:sz w:val="22"/>
          <w:highlight w:val="none"/>
        </w:rPr>
      </w:pPr>
      <w:r>
        <w:rPr>
          <w:rFonts w:hint="eastAsia" w:ascii="宋体" w:hAnsi="宋体" w:cs="宋体"/>
          <w:b/>
          <w:color w:val="auto"/>
          <w:sz w:val="22"/>
          <w:highlight w:val="none"/>
        </w:rPr>
        <w:t>乙方：</w:t>
      </w:r>
    </w:p>
    <w:p w14:paraId="7254F923">
      <w:pPr>
        <w:spacing w:line="520" w:lineRule="exact"/>
        <w:ind w:firstLine="442" w:firstLineChars="200"/>
        <w:rPr>
          <w:rFonts w:ascii="宋体" w:hAnsi="宋体" w:cs="宋体"/>
          <w:color w:val="auto"/>
          <w:sz w:val="22"/>
          <w:highlight w:val="none"/>
        </w:rPr>
      </w:pPr>
      <w:r>
        <w:rPr>
          <w:rFonts w:hint="eastAsia" w:ascii="宋体" w:hAnsi="宋体" w:cs="宋体"/>
          <w:b/>
          <w:color w:val="auto"/>
          <w:sz w:val="22"/>
          <w:highlight w:val="none"/>
        </w:rPr>
        <w:t>鉴证方：</w:t>
      </w:r>
    </w:p>
    <w:p w14:paraId="5D16C0FD">
      <w:pPr>
        <w:tabs>
          <w:tab w:val="left" w:pos="5670"/>
        </w:tabs>
        <w:autoSpaceDE w:val="0"/>
        <w:autoSpaceDN w:val="0"/>
        <w:adjustRightInd w:val="0"/>
        <w:snapToGrid w:val="0"/>
        <w:spacing w:line="520" w:lineRule="exact"/>
        <w:ind w:firstLine="220" w:firstLineChars="100"/>
        <w:jc w:val="left"/>
        <w:rPr>
          <w:rFonts w:ascii="宋体" w:hAnsi="宋体" w:cs="宋体"/>
          <w:color w:val="auto"/>
          <w:sz w:val="22"/>
          <w:highlight w:val="none"/>
        </w:rPr>
      </w:pPr>
    </w:p>
    <w:p w14:paraId="5CEB058C">
      <w:pPr>
        <w:tabs>
          <w:tab w:val="left" w:pos="5670"/>
        </w:tabs>
        <w:autoSpaceDE w:val="0"/>
        <w:autoSpaceDN w:val="0"/>
        <w:adjustRightInd w:val="0"/>
        <w:snapToGrid w:val="0"/>
        <w:spacing w:line="520" w:lineRule="exact"/>
        <w:ind w:firstLine="440" w:firstLineChars="200"/>
        <w:jc w:val="left"/>
        <w:rPr>
          <w:rFonts w:ascii="宋体" w:hAnsi="宋体" w:cs="宋体"/>
          <w:color w:val="auto"/>
          <w:sz w:val="22"/>
          <w:highlight w:val="none"/>
        </w:rPr>
      </w:pPr>
      <w:r>
        <w:rPr>
          <w:rFonts w:hint="eastAsia" w:ascii="宋体" w:hAnsi="宋体" w:cs="宋体"/>
          <w:color w:val="auto"/>
          <w:sz w:val="22"/>
          <w:highlight w:val="none"/>
        </w:rPr>
        <w:t>根据《中华人民共和国政府采购法》、《中华人民共和国招标投标法》、《中华人民共和国民法典》、《中华人民共和国产品质量法》等相关法律、法规以及                           项目招标文件，由</w:t>
      </w:r>
      <w:r>
        <w:rPr>
          <w:rFonts w:hint="eastAsia" w:ascii="宋体" w:hAnsi="宋体" w:cs="宋体"/>
          <w:color w:val="auto"/>
          <w:sz w:val="22"/>
          <w:highlight w:val="none"/>
          <w:u w:val="single"/>
        </w:rPr>
        <w:t>XXXXXXXXXXXX</w:t>
      </w:r>
      <w:r>
        <w:rPr>
          <w:rFonts w:hint="eastAsia" w:ascii="宋体" w:hAnsi="宋体" w:cs="宋体"/>
          <w:color w:val="auto"/>
          <w:sz w:val="22"/>
          <w:highlight w:val="none"/>
        </w:rPr>
        <w:t>组织            (采购方式)，经甲方确认，选定乙方为                   项目的成交单位。甲、乙双方经平等协商，自愿达成如下合同条款。</w:t>
      </w:r>
    </w:p>
    <w:p w14:paraId="6CAB4DF9">
      <w:pPr>
        <w:numPr>
          <w:ilvl w:val="0"/>
          <w:numId w:val="1"/>
        </w:numPr>
        <w:tabs>
          <w:tab w:val="left" w:pos="320"/>
          <w:tab w:val="left" w:pos="480"/>
          <w:tab w:val="left" w:pos="846"/>
        </w:tabs>
        <w:spacing w:line="520" w:lineRule="exact"/>
        <w:ind w:firstLine="442" w:firstLineChars="200"/>
        <w:rPr>
          <w:rStyle w:val="12"/>
          <w:rFonts w:ascii="宋体" w:hAnsi="宋体" w:eastAsia="宋体" w:cs="宋体"/>
          <w:color w:val="auto"/>
          <w:sz w:val="22"/>
          <w:szCs w:val="22"/>
          <w:highlight w:val="none"/>
        </w:rPr>
      </w:pPr>
      <w:bookmarkStart w:id="28" w:name="_Toc22380"/>
      <w:bookmarkStart w:id="29" w:name="_Toc12808"/>
      <w:bookmarkStart w:id="30" w:name="_Toc3969"/>
      <w:bookmarkStart w:id="31" w:name="_Toc20980"/>
      <w:bookmarkStart w:id="32" w:name="_Toc4508"/>
      <w:bookmarkStart w:id="33" w:name="_Toc19329"/>
      <w:bookmarkStart w:id="34" w:name="_Toc6404"/>
      <w:r>
        <w:rPr>
          <w:rStyle w:val="12"/>
          <w:rFonts w:hint="eastAsia" w:ascii="宋体" w:hAnsi="宋体" w:eastAsia="宋体" w:cs="宋体"/>
          <w:color w:val="auto"/>
          <w:sz w:val="22"/>
          <w:szCs w:val="22"/>
          <w:highlight w:val="none"/>
        </w:rPr>
        <w:t>合同标的物内容及数量（详见附件1）</w:t>
      </w:r>
      <w:bookmarkEnd w:id="28"/>
      <w:bookmarkEnd w:id="29"/>
      <w:bookmarkEnd w:id="30"/>
      <w:bookmarkEnd w:id="31"/>
      <w:bookmarkEnd w:id="32"/>
    </w:p>
    <w:bookmarkEnd w:id="33"/>
    <w:bookmarkEnd w:id="34"/>
    <w:p w14:paraId="3BD7E46F">
      <w:pPr>
        <w:kinsoku w:val="0"/>
        <w:spacing w:line="520" w:lineRule="exact"/>
        <w:ind w:firstLine="550" w:firstLineChars="250"/>
        <w:rPr>
          <w:rFonts w:ascii="宋体" w:hAnsi="宋体" w:cs="宋体"/>
          <w:b/>
          <w:color w:val="auto"/>
          <w:szCs w:val="20"/>
          <w:highlight w:val="none"/>
        </w:rPr>
      </w:pPr>
      <w:r>
        <w:rPr>
          <w:rFonts w:hint="eastAsia" w:ascii="宋体" w:hAnsi="宋体" w:cs="宋体"/>
          <w:color w:val="auto"/>
          <w:sz w:val="22"/>
          <w:highlight w:val="none"/>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4686ECAD">
      <w:pPr>
        <w:numPr>
          <w:ilvl w:val="0"/>
          <w:numId w:val="1"/>
        </w:numPr>
        <w:tabs>
          <w:tab w:val="left" w:pos="320"/>
          <w:tab w:val="left" w:pos="480"/>
          <w:tab w:val="left" w:pos="846"/>
        </w:tabs>
        <w:spacing w:line="520" w:lineRule="exact"/>
        <w:ind w:firstLine="442" w:firstLineChars="200"/>
        <w:rPr>
          <w:rStyle w:val="12"/>
          <w:rFonts w:ascii="宋体" w:hAnsi="宋体" w:eastAsia="宋体" w:cs="宋体"/>
          <w:color w:val="auto"/>
          <w:sz w:val="22"/>
          <w:szCs w:val="22"/>
          <w:highlight w:val="none"/>
        </w:rPr>
      </w:pPr>
      <w:bookmarkStart w:id="35" w:name="_Toc4336"/>
      <w:bookmarkStart w:id="36" w:name="_Toc31945"/>
      <w:bookmarkStart w:id="37" w:name="_Toc5897"/>
      <w:bookmarkStart w:id="38" w:name="_Toc11184"/>
      <w:bookmarkStart w:id="39" w:name="_Toc2435"/>
      <w:bookmarkStart w:id="40" w:name="_Toc12848"/>
      <w:bookmarkStart w:id="41" w:name="_Toc29232"/>
      <w:r>
        <w:rPr>
          <w:rStyle w:val="12"/>
          <w:rFonts w:hint="eastAsia" w:ascii="宋体" w:hAnsi="宋体" w:eastAsia="宋体" w:cs="宋体"/>
          <w:color w:val="auto"/>
          <w:sz w:val="22"/>
          <w:szCs w:val="22"/>
          <w:highlight w:val="none"/>
        </w:rPr>
        <w:t>合同价款</w:t>
      </w:r>
      <w:bookmarkEnd w:id="35"/>
      <w:bookmarkEnd w:id="36"/>
      <w:bookmarkEnd w:id="37"/>
      <w:bookmarkEnd w:id="38"/>
      <w:bookmarkEnd w:id="39"/>
    </w:p>
    <w:bookmarkEnd w:id="40"/>
    <w:bookmarkEnd w:id="41"/>
    <w:p w14:paraId="765EC860">
      <w:pPr>
        <w:spacing w:line="520" w:lineRule="exact"/>
        <w:ind w:firstLine="472" w:firstLineChars="225"/>
        <w:rPr>
          <w:rFonts w:ascii="宋体" w:hAnsi="宋体" w:cs="宋体"/>
          <w:b/>
          <w:color w:val="auto"/>
          <w:sz w:val="22"/>
          <w:highlight w:val="none"/>
        </w:rPr>
      </w:pPr>
      <w:r>
        <w:rPr>
          <w:rFonts w:hint="eastAsia" w:ascii="宋体" w:hAnsi="宋体" w:cs="宋体"/>
          <w:color w:val="auto"/>
          <w:szCs w:val="20"/>
          <w:highlight w:val="none"/>
        </w:rPr>
        <w:t>（</w:t>
      </w:r>
      <w:r>
        <w:rPr>
          <w:rFonts w:hint="eastAsia" w:ascii="宋体" w:hAnsi="宋体" w:cs="宋体"/>
          <w:color w:val="auto"/>
          <w:sz w:val="22"/>
          <w:highlight w:val="none"/>
        </w:rPr>
        <w:t>一）合同总价（含税）为（大写）：人民币</w:t>
      </w:r>
      <w:r>
        <w:rPr>
          <w:rFonts w:hint="eastAsia" w:ascii="宋体" w:hAnsi="宋体" w:cs="宋体"/>
          <w:b/>
          <w:color w:val="auto"/>
          <w:sz w:val="22"/>
          <w:highlight w:val="none"/>
          <w:u w:val="single"/>
        </w:rPr>
        <w:t>XXXXXX（￥   .00元）</w:t>
      </w:r>
      <w:r>
        <w:rPr>
          <w:rFonts w:hint="eastAsia" w:ascii="宋体" w:hAnsi="宋体" w:cs="宋体"/>
          <w:b/>
          <w:color w:val="auto"/>
          <w:sz w:val="22"/>
          <w:highlight w:val="none"/>
        </w:rPr>
        <w:t>。</w:t>
      </w:r>
    </w:p>
    <w:p w14:paraId="3552FC8C">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（二）合同总价包括但不限于改造施工费、设备款，所有产品的运输费、杂费（含保险）、商检费、搬运费、安装调试费、培训费、售后服务费、税费等，包括从产品供应地点到交货地点所包含的一切费用。</w:t>
      </w:r>
    </w:p>
    <w:p w14:paraId="0E3B4395">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（三）合同总价为包死价，不可变更，不受市场价格变化因素的影响,不受实际供货数量增加的影响。</w:t>
      </w:r>
    </w:p>
    <w:p w14:paraId="4C038F2D">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(四)乙方在签合同前须向甲方支付合同总价的5%作为履约保证金。</w:t>
      </w:r>
    </w:p>
    <w:p w14:paraId="6AE825F7">
      <w:pPr>
        <w:numPr>
          <w:ilvl w:val="0"/>
          <w:numId w:val="1"/>
        </w:numPr>
        <w:tabs>
          <w:tab w:val="left" w:pos="320"/>
          <w:tab w:val="left" w:pos="480"/>
          <w:tab w:val="left" w:pos="846"/>
        </w:tabs>
        <w:spacing w:line="520" w:lineRule="exact"/>
        <w:ind w:firstLine="442" w:firstLineChars="200"/>
        <w:rPr>
          <w:rStyle w:val="12"/>
          <w:rFonts w:ascii="宋体" w:hAnsi="宋体" w:eastAsia="宋体" w:cs="宋体"/>
          <w:color w:val="auto"/>
          <w:sz w:val="22"/>
          <w:szCs w:val="22"/>
          <w:highlight w:val="none"/>
        </w:rPr>
      </w:pPr>
      <w:bookmarkStart w:id="42" w:name="_Toc23736"/>
      <w:bookmarkStart w:id="43" w:name="_Toc15256"/>
      <w:bookmarkStart w:id="44" w:name="_Toc22027"/>
      <w:bookmarkStart w:id="45" w:name="_Toc2457"/>
      <w:bookmarkStart w:id="46" w:name="_Toc32210"/>
      <w:r>
        <w:rPr>
          <w:rStyle w:val="12"/>
          <w:rFonts w:hint="eastAsia" w:ascii="宋体" w:hAnsi="宋体" w:eastAsia="宋体" w:cs="宋体"/>
          <w:color w:val="auto"/>
          <w:sz w:val="22"/>
          <w:szCs w:val="22"/>
          <w:highlight w:val="none"/>
        </w:rPr>
        <w:t>款项结算</w:t>
      </w:r>
    </w:p>
    <w:bookmarkEnd w:id="42"/>
    <w:bookmarkEnd w:id="43"/>
    <w:bookmarkEnd w:id="44"/>
    <w:bookmarkEnd w:id="45"/>
    <w:bookmarkEnd w:id="46"/>
    <w:p w14:paraId="59E94F9E">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 xml:space="preserve"> (一)合同签订后，货物运抵现场并经甲方初步核对数量、外观、型号无误，达到付款条件起</w:t>
      </w:r>
      <w:r>
        <w:rPr>
          <w:rFonts w:hint="eastAsia" w:ascii="宋体" w:hAnsi="宋体" w:cs="宋体"/>
          <w:color w:val="auto"/>
          <w:sz w:val="22"/>
          <w:highlight w:val="none"/>
          <w:lang w:val="en-US" w:eastAsia="zh-CN"/>
        </w:rPr>
        <w:t>5个工作日</w:t>
      </w:r>
      <w:r>
        <w:rPr>
          <w:rFonts w:hint="eastAsia" w:ascii="宋体" w:hAnsi="宋体" w:cs="宋体"/>
          <w:color w:val="auto"/>
          <w:sz w:val="22"/>
          <w:highlight w:val="none"/>
        </w:rPr>
        <w:t>内，甲方支付合同总价的40 %，即（大写）：人民币</w:t>
      </w:r>
      <w:r>
        <w:rPr>
          <w:rFonts w:hint="eastAsia" w:ascii="宋体" w:hAnsi="宋体" w:cs="宋体"/>
          <w:color w:val="auto"/>
          <w:sz w:val="22"/>
          <w:highlight w:val="none"/>
          <w:lang w:val="en-US" w:eastAsia="zh-CN"/>
        </w:rPr>
        <w:t>***</w:t>
      </w:r>
      <w:r>
        <w:rPr>
          <w:rFonts w:hint="eastAsia" w:ascii="宋体" w:hAnsi="宋体" w:cs="宋体"/>
          <w:color w:val="auto"/>
          <w:sz w:val="22"/>
          <w:highlight w:val="none"/>
        </w:rPr>
        <w:t>（￥</w:t>
      </w:r>
      <w:r>
        <w:rPr>
          <w:rFonts w:hint="eastAsia" w:ascii="宋体" w:hAnsi="宋体" w:cs="宋体"/>
          <w:color w:val="auto"/>
          <w:sz w:val="22"/>
          <w:highlight w:val="none"/>
          <w:lang w:val="en-US" w:eastAsia="zh-CN"/>
        </w:rPr>
        <w:t>***</w:t>
      </w:r>
      <w:r>
        <w:rPr>
          <w:rFonts w:hint="eastAsia" w:ascii="宋体" w:hAnsi="宋体" w:cs="宋体"/>
          <w:color w:val="auto"/>
          <w:sz w:val="22"/>
          <w:highlight w:val="none"/>
        </w:rPr>
        <w:t>.00元）；</w:t>
      </w:r>
    </w:p>
    <w:p w14:paraId="286EFBA9">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 xml:space="preserve">（二）产品安装调试完成，学校全部设备最终验收合格，乙方持《终验合格单》原件并向甲方提供合同总金额的全额增值税专用发票后 ，达到付款条件起 </w:t>
      </w:r>
      <w:r>
        <w:rPr>
          <w:rFonts w:hint="eastAsia" w:ascii="宋体" w:hAnsi="宋体" w:cs="宋体"/>
          <w:color w:val="auto"/>
          <w:sz w:val="22"/>
          <w:highlight w:val="none"/>
          <w:lang w:val="en-US" w:eastAsia="zh-CN"/>
        </w:rPr>
        <w:t>5个工作日</w:t>
      </w:r>
      <w:r>
        <w:rPr>
          <w:rFonts w:hint="eastAsia" w:ascii="宋体" w:hAnsi="宋体" w:cs="宋体"/>
          <w:color w:val="auto"/>
          <w:sz w:val="22"/>
          <w:highlight w:val="none"/>
        </w:rPr>
        <w:t>内，甲方支付合同总价的60%，即（大写）：人民币</w:t>
      </w:r>
      <w:r>
        <w:rPr>
          <w:rFonts w:hint="eastAsia" w:ascii="宋体" w:hAnsi="宋体" w:cs="宋体"/>
          <w:color w:val="auto"/>
          <w:sz w:val="22"/>
          <w:highlight w:val="none"/>
          <w:lang w:val="en-US" w:eastAsia="zh-CN"/>
        </w:rPr>
        <w:t>***</w:t>
      </w:r>
      <w:r>
        <w:rPr>
          <w:rFonts w:hint="eastAsia" w:ascii="宋体" w:hAnsi="宋体" w:cs="宋体"/>
          <w:color w:val="auto"/>
          <w:sz w:val="22"/>
          <w:highlight w:val="none"/>
        </w:rPr>
        <w:t>（￥</w:t>
      </w:r>
      <w:r>
        <w:rPr>
          <w:rFonts w:hint="eastAsia" w:ascii="宋体" w:hAnsi="宋体" w:cs="宋体"/>
          <w:color w:val="auto"/>
          <w:sz w:val="22"/>
          <w:highlight w:val="none"/>
          <w:lang w:val="en-US" w:eastAsia="zh-CN"/>
        </w:rPr>
        <w:t>***</w:t>
      </w:r>
      <w:r>
        <w:rPr>
          <w:rFonts w:hint="eastAsia" w:ascii="宋体" w:hAnsi="宋体" w:cs="宋体"/>
          <w:color w:val="auto"/>
          <w:sz w:val="22"/>
          <w:highlight w:val="none"/>
        </w:rPr>
        <w:t>.00元）；</w:t>
      </w:r>
    </w:p>
    <w:p w14:paraId="36FE6824">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（三）合同总价的5%的履约保证金，即（大写）：人民币</w:t>
      </w:r>
      <w:r>
        <w:rPr>
          <w:rFonts w:hint="eastAsia" w:ascii="宋体" w:hAnsi="宋体" w:cs="宋体"/>
          <w:color w:val="auto"/>
          <w:sz w:val="22"/>
          <w:highlight w:val="none"/>
          <w:lang w:val="en-US" w:eastAsia="zh-CN"/>
        </w:rPr>
        <w:t>***</w:t>
      </w:r>
      <w:r>
        <w:rPr>
          <w:rFonts w:hint="eastAsia" w:ascii="宋体" w:hAnsi="宋体" w:cs="宋体"/>
          <w:color w:val="auto"/>
          <w:sz w:val="22"/>
          <w:highlight w:val="none"/>
        </w:rPr>
        <w:t>（￥</w:t>
      </w:r>
      <w:r>
        <w:rPr>
          <w:rFonts w:hint="eastAsia" w:ascii="宋体" w:hAnsi="宋体" w:cs="宋体"/>
          <w:color w:val="auto"/>
          <w:sz w:val="22"/>
          <w:highlight w:val="none"/>
          <w:lang w:val="en-US" w:eastAsia="zh-CN"/>
        </w:rPr>
        <w:t>***</w:t>
      </w:r>
      <w:r>
        <w:rPr>
          <w:rFonts w:hint="eastAsia" w:ascii="宋体" w:hAnsi="宋体" w:cs="宋体"/>
          <w:color w:val="auto"/>
          <w:sz w:val="22"/>
          <w:highlight w:val="none"/>
        </w:rPr>
        <w:t>.00元）。在乙方全部履行完毕合同内容，约定的售后服务及其他义务，且经甲方及使用单位确认无质量及服务问题后，甲方退还全部的履约保证金，即：人民币</w:t>
      </w:r>
      <w:r>
        <w:rPr>
          <w:rFonts w:hint="eastAsia" w:ascii="宋体" w:hAnsi="宋体" w:cs="宋体"/>
          <w:color w:val="auto"/>
          <w:sz w:val="22"/>
          <w:highlight w:val="none"/>
          <w:lang w:val="en-US" w:eastAsia="zh-CN"/>
        </w:rPr>
        <w:t>***</w:t>
      </w:r>
      <w:r>
        <w:rPr>
          <w:rFonts w:hint="eastAsia" w:ascii="宋体" w:hAnsi="宋体" w:cs="宋体"/>
          <w:color w:val="auto"/>
          <w:sz w:val="22"/>
          <w:highlight w:val="none"/>
        </w:rPr>
        <w:t>（￥</w:t>
      </w:r>
      <w:r>
        <w:rPr>
          <w:rFonts w:hint="eastAsia" w:ascii="宋体" w:hAnsi="宋体" w:cs="宋体"/>
          <w:color w:val="auto"/>
          <w:sz w:val="22"/>
          <w:highlight w:val="none"/>
          <w:lang w:val="en-US" w:eastAsia="zh-CN"/>
        </w:rPr>
        <w:t>***</w:t>
      </w:r>
      <w:r>
        <w:rPr>
          <w:rFonts w:hint="eastAsia" w:ascii="宋体" w:hAnsi="宋体" w:cs="宋体"/>
          <w:color w:val="auto"/>
          <w:sz w:val="22"/>
          <w:highlight w:val="none"/>
        </w:rPr>
        <w:t>.00元）。乙方承诺的质保期内仍须按原有承诺承担相关义务，否则甲方将追究乙方的相关法律责任。</w:t>
      </w:r>
    </w:p>
    <w:p w14:paraId="2F63256A">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（四）付款方式：银行转账。甲方付款前，乙方应先向甲方提供等额发票，否则甲方有权暂不付款，乙方仍应履行合同义务。</w:t>
      </w:r>
    </w:p>
    <w:p w14:paraId="393FBDC6">
      <w:pPr>
        <w:pStyle w:val="5"/>
        <w:adjustRightInd w:val="0"/>
        <w:snapToGrid w:val="0"/>
        <w:spacing w:line="52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货款支付单位为：西安外国语大学</w:t>
      </w:r>
    </w:p>
    <w:p w14:paraId="04E94495">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发票开具的“购货单位（人）名称”为：西安外国语大学</w:t>
      </w:r>
    </w:p>
    <w:p w14:paraId="132DEA1C">
      <w:pPr>
        <w:pStyle w:val="10"/>
        <w:spacing w:line="520" w:lineRule="exact"/>
        <w:ind w:firstLine="440"/>
        <w:rPr>
          <w:rFonts w:hAnsi="宋体" w:cs="宋体"/>
          <w:color w:val="auto"/>
          <w:kern w:val="2"/>
          <w:sz w:val="22"/>
          <w:highlight w:val="none"/>
        </w:rPr>
      </w:pPr>
      <w:r>
        <w:rPr>
          <w:rFonts w:hint="eastAsia" w:hAnsi="宋体" w:cs="宋体"/>
          <w:color w:val="auto"/>
          <w:kern w:val="2"/>
          <w:sz w:val="22"/>
          <w:highlight w:val="none"/>
        </w:rPr>
        <w:t>乙方收款信息如下：</w:t>
      </w:r>
    </w:p>
    <w:p w14:paraId="27558C1B">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单位名称：</w:t>
      </w:r>
    </w:p>
    <w:p w14:paraId="1A3B84D9">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开户行：</w:t>
      </w:r>
    </w:p>
    <w:p w14:paraId="522BDF0A">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银行账号：</w:t>
      </w:r>
    </w:p>
    <w:p w14:paraId="730D75FA">
      <w:pPr>
        <w:numPr>
          <w:ilvl w:val="0"/>
          <w:numId w:val="1"/>
        </w:numPr>
        <w:tabs>
          <w:tab w:val="left" w:pos="320"/>
          <w:tab w:val="left" w:pos="480"/>
          <w:tab w:val="left" w:pos="846"/>
        </w:tabs>
        <w:spacing w:line="520" w:lineRule="exact"/>
        <w:ind w:firstLine="442" w:firstLineChars="200"/>
        <w:rPr>
          <w:rStyle w:val="12"/>
          <w:rFonts w:ascii="宋体" w:hAnsi="宋体" w:eastAsia="宋体" w:cs="宋体"/>
          <w:color w:val="auto"/>
          <w:sz w:val="22"/>
          <w:szCs w:val="22"/>
          <w:highlight w:val="none"/>
        </w:rPr>
      </w:pPr>
      <w:bookmarkStart w:id="47" w:name="_Toc13373"/>
      <w:bookmarkStart w:id="48" w:name="_Toc2489"/>
      <w:bookmarkStart w:id="49" w:name="_Toc21065"/>
      <w:bookmarkStart w:id="50" w:name="_Toc12099"/>
      <w:bookmarkStart w:id="51" w:name="_Toc14402"/>
      <w:r>
        <w:rPr>
          <w:rStyle w:val="12"/>
          <w:rFonts w:hint="eastAsia" w:ascii="宋体" w:hAnsi="宋体" w:eastAsia="宋体" w:cs="宋体"/>
          <w:color w:val="auto"/>
          <w:sz w:val="22"/>
          <w:szCs w:val="22"/>
          <w:highlight w:val="none"/>
        </w:rPr>
        <w:t>交货</w:t>
      </w:r>
    </w:p>
    <w:bookmarkEnd w:id="47"/>
    <w:bookmarkEnd w:id="48"/>
    <w:bookmarkEnd w:id="49"/>
    <w:bookmarkEnd w:id="50"/>
    <w:bookmarkEnd w:id="51"/>
    <w:p w14:paraId="240234DB">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（一）交货地点：甲方指定地点。</w:t>
      </w:r>
    </w:p>
    <w:p w14:paraId="6D09BAF1">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（二）交货期：自合同签订之日起 60 日历天内完成交付、安装及调试。</w:t>
      </w:r>
    </w:p>
    <w:p w14:paraId="757FEB59">
      <w:pPr>
        <w:numPr>
          <w:ilvl w:val="0"/>
          <w:numId w:val="1"/>
        </w:numPr>
        <w:tabs>
          <w:tab w:val="left" w:pos="320"/>
          <w:tab w:val="left" w:pos="480"/>
          <w:tab w:val="left" w:pos="846"/>
        </w:tabs>
        <w:spacing w:line="520" w:lineRule="exact"/>
        <w:ind w:firstLine="442" w:firstLineChars="200"/>
        <w:rPr>
          <w:rStyle w:val="12"/>
          <w:rFonts w:ascii="宋体" w:hAnsi="宋体" w:eastAsia="宋体" w:cs="宋体"/>
          <w:color w:val="auto"/>
          <w:sz w:val="22"/>
          <w:szCs w:val="22"/>
          <w:highlight w:val="none"/>
        </w:rPr>
      </w:pPr>
      <w:bookmarkStart w:id="52" w:name="_Toc10224"/>
      <w:bookmarkStart w:id="53" w:name="_Toc3727"/>
      <w:bookmarkStart w:id="54" w:name="_Toc26987"/>
      <w:bookmarkStart w:id="55" w:name="_Toc17205"/>
      <w:bookmarkStart w:id="56" w:name="_Toc4533"/>
      <w:r>
        <w:rPr>
          <w:rStyle w:val="12"/>
          <w:rFonts w:hint="eastAsia" w:ascii="宋体" w:hAnsi="宋体" w:eastAsia="宋体" w:cs="宋体"/>
          <w:color w:val="auto"/>
          <w:sz w:val="22"/>
          <w:szCs w:val="22"/>
          <w:highlight w:val="none"/>
        </w:rPr>
        <w:t>包装和运输</w:t>
      </w:r>
    </w:p>
    <w:bookmarkEnd w:id="52"/>
    <w:bookmarkEnd w:id="53"/>
    <w:bookmarkEnd w:id="54"/>
    <w:bookmarkEnd w:id="55"/>
    <w:bookmarkEnd w:id="56"/>
    <w:p w14:paraId="78A2B14F">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（一）货物包装必须符合国际标准或国家标准或行业标准，满足航空、铁路或公路运输以及货物装卸要求。交付的货物如有损坏，由乙方负责无条件退换货直至达到合格。</w:t>
      </w:r>
    </w:p>
    <w:p w14:paraId="746A8AF9">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（二）运输由乙方负责，所发生的一切费用已包含在合同总价中，包括从货物供应地点所含的运输费、装卸费、仓储费、保险费等。</w:t>
      </w:r>
    </w:p>
    <w:p w14:paraId="585C621D">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（三）运输方式由乙方自行选择，运输和装卸等风险由乙方承担。</w:t>
      </w:r>
    </w:p>
    <w:p w14:paraId="2AA6F908">
      <w:pPr>
        <w:numPr>
          <w:ilvl w:val="0"/>
          <w:numId w:val="1"/>
        </w:numPr>
        <w:tabs>
          <w:tab w:val="left" w:pos="320"/>
          <w:tab w:val="left" w:pos="480"/>
          <w:tab w:val="left" w:pos="846"/>
        </w:tabs>
        <w:spacing w:line="520" w:lineRule="exact"/>
        <w:ind w:firstLine="442" w:firstLineChars="200"/>
        <w:rPr>
          <w:rStyle w:val="12"/>
          <w:rFonts w:ascii="宋体" w:hAnsi="宋体" w:eastAsia="宋体" w:cs="宋体"/>
          <w:color w:val="auto"/>
          <w:sz w:val="22"/>
          <w:szCs w:val="22"/>
          <w:highlight w:val="none"/>
        </w:rPr>
      </w:pPr>
      <w:bookmarkStart w:id="57" w:name="_Toc6336"/>
      <w:bookmarkStart w:id="58" w:name="_Toc1417"/>
      <w:bookmarkStart w:id="59" w:name="_Toc4898"/>
      <w:bookmarkStart w:id="60" w:name="_Toc7496"/>
      <w:bookmarkStart w:id="61" w:name="_Toc19125"/>
      <w:r>
        <w:rPr>
          <w:rStyle w:val="12"/>
          <w:rFonts w:hint="eastAsia" w:ascii="宋体" w:hAnsi="宋体" w:eastAsia="宋体" w:cs="宋体"/>
          <w:color w:val="auto"/>
          <w:sz w:val="22"/>
          <w:szCs w:val="22"/>
          <w:highlight w:val="none"/>
        </w:rPr>
        <w:t>质量保证</w:t>
      </w:r>
    </w:p>
    <w:bookmarkEnd w:id="57"/>
    <w:bookmarkEnd w:id="58"/>
    <w:bookmarkEnd w:id="59"/>
    <w:bookmarkEnd w:id="60"/>
    <w:bookmarkEnd w:id="61"/>
    <w:p w14:paraId="3C13FB2D">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（一）乙方保证其提供给甲方的货物符合国家现行同类货物质量标准，是设计科学、技术成熟、工艺精良，用优质材料制造的、先进的、原厂生产的未曾使用过的、全新的合格产品。</w:t>
      </w:r>
    </w:p>
    <w:p w14:paraId="29E37CC5">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3D77F594">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43C1FE21">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（四）乙方负责安装调试及维护过程中的安全，如造成人员伤亡、财产损失的，由乙方负责解决并承担全部责任。</w:t>
      </w:r>
    </w:p>
    <w:p w14:paraId="69F85FA4">
      <w:pPr>
        <w:tabs>
          <w:tab w:val="left" w:pos="320"/>
          <w:tab w:val="left" w:pos="480"/>
          <w:tab w:val="left" w:pos="846"/>
        </w:tabs>
        <w:spacing w:line="520" w:lineRule="exact"/>
        <w:rPr>
          <w:rFonts w:ascii="宋体" w:hAnsi="宋体" w:cs="宋体"/>
          <w:color w:val="auto"/>
          <w:sz w:val="22"/>
          <w:highlight w:val="none"/>
        </w:rPr>
      </w:pPr>
      <w:r>
        <w:rPr>
          <w:rFonts w:hint="eastAsia" w:ascii="宋体" w:hAnsi="宋体" w:cs="宋体"/>
          <w:color w:val="auto"/>
          <w:sz w:val="22"/>
          <w:highlight w:val="none"/>
        </w:rPr>
        <w:t>（五）货物自终验通过且投入使用1个月内，如出现质量问题，乙方应按甲方的选择进行换货或退货直至达到甲方要求，并按合同总价的</w:t>
      </w:r>
      <w:r>
        <w:rPr>
          <w:rFonts w:hint="eastAsia" w:ascii="宋体" w:hAnsi="宋体" w:cs="宋体"/>
          <w:color w:val="auto"/>
          <w:sz w:val="22"/>
          <w:highlight w:val="none"/>
          <w:u w:val="single"/>
        </w:rPr>
        <w:t>5 %</w:t>
      </w:r>
      <w:r>
        <w:rPr>
          <w:rFonts w:hint="eastAsia" w:ascii="宋体" w:hAnsi="宋体" w:cs="宋体"/>
          <w:color w:val="auto"/>
          <w:sz w:val="22"/>
          <w:highlight w:val="none"/>
        </w:rPr>
        <w:t>向甲方支付违约金；终验通过且投入使用2至3个月内，如出现质量问题，乙方应按甲方的要求进行换货，并按合同总价的</w:t>
      </w:r>
      <w:r>
        <w:rPr>
          <w:rFonts w:hint="eastAsia" w:ascii="宋体" w:hAnsi="宋体" w:cs="宋体"/>
          <w:color w:val="auto"/>
          <w:sz w:val="22"/>
          <w:highlight w:val="none"/>
          <w:u w:val="single"/>
        </w:rPr>
        <w:t>10 %</w:t>
      </w:r>
      <w:r>
        <w:rPr>
          <w:rFonts w:hint="eastAsia" w:ascii="宋体" w:hAnsi="宋体" w:cs="宋体"/>
          <w:color w:val="auto"/>
          <w:sz w:val="22"/>
          <w:highlight w:val="none"/>
        </w:rPr>
        <w:t>向甲方支付违约金。终验通过不免除乙方对货物质量问题按本合同约定承担责任。</w:t>
      </w:r>
      <w:bookmarkStart w:id="62" w:name="_Toc15780"/>
      <w:bookmarkStart w:id="63" w:name="_Toc9757"/>
      <w:bookmarkStart w:id="64" w:name="_Toc13552"/>
      <w:bookmarkStart w:id="65" w:name="_Toc8526"/>
      <w:bookmarkStart w:id="66" w:name="_Toc27865"/>
    </w:p>
    <w:p w14:paraId="3591EDB4">
      <w:pPr>
        <w:tabs>
          <w:tab w:val="left" w:pos="320"/>
          <w:tab w:val="left" w:pos="480"/>
          <w:tab w:val="left" w:pos="846"/>
        </w:tabs>
        <w:spacing w:line="520" w:lineRule="exact"/>
        <w:rPr>
          <w:rStyle w:val="12"/>
          <w:rFonts w:ascii="宋体" w:hAnsi="宋体" w:eastAsia="宋体" w:cs="宋体"/>
          <w:color w:val="auto"/>
          <w:sz w:val="22"/>
          <w:szCs w:val="22"/>
          <w:highlight w:val="none"/>
        </w:rPr>
      </w:pPr>
      <w:r>
        <w:rPr>
          <w:rStyle w:val="12"/>
          <w:rFonts w:hint="eastAsia" w:ascii="宋体" w:hAnsi="宋体" w:eastAsia="宋体" w:cs="宋体"/>
          <w:color w:val="auto"/>
          <w:sz w:val="22"/>
          <w:szCs w:val="22"/>
          <w:highlight w:val="none"/>
        </w:rPr>
        <w:t>七、质保期及售后服务</w:t>
      </w:r>
    </w:p>
    <w:bookmarkEnd w:id="62"/>
    <w:bookmarkEnd w:id="63"/>
    <w:bookmarkEnd w:id="64"/>
    <w:bookmarkEnd w:id="65"/>
    <w:bookmarkEnd w:id="66"/>
    <w:p w14:paraId="55F5D6D2">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（一）乙方提供的货物质保期限为36个月，从货物安装调试完成且经甲方终验合格之日起算。</w:t>
      </w:r>
    </w:p>
    <w:p w14:paraId="4835EE9B">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（二）在质保期内，乙方应定期对货物提供运维服务，包括但不限于对货物的全面检查和保养。</w:t>
      </w:r>
    </w:p>
    <w:p w14:paraId="2B3DB031">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（三）乙方对质保期内出现问题的服务响应时间不超过2小时，解决问题的时间不超过48小时。对问题较大、超过72小时暂不能解决问题的，乙方应在    日内免费提供替代货物，确保甲方的正常运行不受影响。每超过1日，乙方应按合同价的千分之一支付违约金。</w:t>
      </w:r>
    </w:p>
    <w:p w14:paraId="384EA7BF">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7DE8B23C">
      <w:pPr>
        <w:pStyle w:val="4"/>
        <w:spacing w:line="520" w:lineRule="exact"/>
        <w:rPr>
          <w:rFonts w:ascii="宋体" w:hAnsi="宋体" w:cs="宋体"/>
          <w:color w:val="auto"/>
          <w:sz w:val="22"/>
          <w:szCs w:val="22"/>
          <w:highlight w:val="none"/>
        </w:rPr>
      </w:pPr>
      <w:r>
        <w:rPr>
          <w:rFonts w:hint="eastAsia" w:ascii="宋体" w:hAnsi="宋体" w:cs="宋体"/>
          <w:color w:val="auto"/>
          <w:sz w:val="22"/>
          <w:szCs w:val="22"/>
          <w:highlight w:val="none"/>
        </w:rPr>
        <w:t>（五）质保期届满前，乙方应对货物及系统进行全面测试和全面保养维护。质保期外，乙方仍应按甲方要求提供维护，且只收取材料费。</w:t>
      </w:r>
    </w:p>
    <w:p w14:paraId="6CEEF4B0">
      <w:pPr>
        <w:tabs>
          <w:tab w:val="left" w:pos="320"/>
          <w:tab w:val="left" w:pos="480"/>
          <w:tab w:val="left" w:pos="846"/>
        </w:tabs>
        <w:spacing w:line="520" w:lineRule="exact"/>
        <w:rPr>
          <w:rStyle w:val="12"/>
          <w:rFonts w:ascii="宋体" w:hAnsi="宋体" w:eastAsia="宋体" w:cs="宋体"/>
          <w:color w:val="auto"/>
          <w:sz w:val="22"/>
          <w:szCs w:val="22"/>
          <w:highlight w:val="none"/>
        </w:rPr>
      </w:pPr>
      <w:bookmarkStart w:id="67" w:name="_Toc628"/>
      <w:bookmarkStart w:id="68" w:name="_Toc7405"/>
      <w:bookmarkStart w:id="69" w:name="_Toc22298"/>
      <w:bookmarkStart w:id="70" w:name="_Toc31591"/>
      <w:bookmarkStart w:id="71" w:name="_Toc28619"/>
      <w:r>
        <w:rPr>
          <w:rStyle w:val="12"/>
          <w:rFonts w:hint="eastAsia" w:ascii="宋体" w:hAnsi="宋体" w:eastAsia="宋体" w:cs="宋体"/>
          <w:color w:val="auto"/>
          <w:sz w:val="22"/>
          <w:szCs w:val="22"/>
          <w:highlight w:val="none"/>
        </w:rPr>
        <w:t>八、技术与服务</w:t>
      </w:r>
    </w:p>
    <w:bookmarkEnd w:id="67"/>
    <w:bookmarkEnd w:id="68"/>
    <w:bookmarkEnd w:id="69"/>
    <w:bookmarkEnd w:id="70"/>
    <w:bookmarkEnd w:id="71"/>
    <w:p w14:paraId="307A2249">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（一）乙方应在交付货物同时向甲方交付以下技术资料：</w:t>
      </w:r>
    </w:p>
    <w:p w14:paraId="1C175306">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1、产品目录；2、产品合格证、使用说明书（中文）；3、进口货物，须提供原产地证明书、设备商检证明和报关单等进口凭证；4、操作手册和安装、调试、维修手册或服务指南；5、制造厂家的检验测试报告或产品出厂检测报告；6、质量保证书、保修单；7、发票；8、其它资料。</w:t>
      </w:r>
    </w:p>
    <w:p w14:paraId="41C5B22E">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（二）乙方以招标文件、投标文件、澄清表（函）、合同和随货物的相关文件为准向甲方进行服务承诺。</w:t>
      </w:r>
    </w:p>
    <w:p w14:paraId="04741A08">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（三）乙方应向甲方提供下列所有服务（如果有的话）：</w:t>
      </w:r>
    </w:p>
    <w:p w14:paraId="1C8FDB19">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1、实施或监督所供货物的现场组装和/或试运行；如若本项目有隐蔽工程，须甲方使用单位签字确认后方可进行下一步工作。</w:t>
      </w:r>
    </w:p>
    <w:p w14:paraId="065A159C">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2、提供货物组装和/或维修所需的工具；</w:t>
      </w:r>
    </w:p>
    <w:p w14:paraId="1426D8F3">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3、为所供货物的每一适当的单台设备提供详细的操作和维护手册；</w:t>
      </w:r>
    </w:p>
    <w:p w14:paraId="4B28F227">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4、在双方商定的一定期限内对所供货物实施运行或监督或维护或修理，但前提条件是该服务并不能免除乙方在合同质保期内所承担的义务；</w:t>
      </w:r>
    </w:p>
    <w:p w14:paraId="5FCFB027">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5、乙方和/或制造厂家在项目现场就所供货物进行组装、试运行、运行、维护和/或修理、软硬件升级。</w:t>
      </w:r>
    </w:p>
    <w:p w14:paraId="6FD02575">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6、如果乙方或制造商提供的伴随服务的费用未含在货物的合同价中，双方应事先就其费用达成书面协议，但其费用单价不应超过乙方向其他人提供类似服务所收取的现行单价。否则，仍按本合同价款执行。</w:t>
      </w:r>
    </w:p>
    <w:p w14:paraId="27BDC2F8">
      <w:pPr>
        <w:pStyle w:val="4"/>
        <w:spacing w:line="520" w:lineRule="exact"/>
        <w:ind w:firstLine="440" w:firstLineChars="200"/>
        <w:rPr>
          <w:rFonts w:ascii="宋体" w:hAnsi="宋体" w:cs="宋体"/>
          <w:color w:val="auto"/>
          <w:sz w:val="18"/>
          <w:szCs w:val="16"/>
          <w:highlight w:val="none"/>
        </w:rPr>
      </w:pPr>
      <w:r>
        <w:rPr>
          <w:rFonts w:hint="eastAsia" w:ascii="宋体" w:hAnsi="宋体" w:cs="宋体"/>
          <w:color w:val="auto"/>
          <w:sz w:val="22"/>
          <w:szCs w:val="22"/>
          <w:highlight w:val="none"/>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40FEFC69">
      <w:pPr>
        <w:tabs>
          <w:tab w:val="left" w:pos="320"/>
          <w:tab w:val="left" w:pos="480"/>
          <w:tab w:val="left" w:pos="846"/>
        </w:tabs>
        <w:spacing w:line="520" w:lineRule="exact"/>
        <w:rPr>
          <w:rStyle w:val="12"/>
          <w:rFonts w:ascii="宋体" w:hAnsi="宋体" w:eastAsia="宋体" w:cs="宋体"/>
          <w:color w:val="auto"/>
          <w:sz w:val="22"/>
          <w:szCs w:val="22"/>
          <w:highlight w:val="none"/>
        </w:rPr>
      </w:pPr>
      <w:bookmarkStart w:id="72" w:name="_Toc13467"/>
      <w:bookmarkStart w:id="73" w:name="_Toc27484"/>
      <w:bookmarkStart w:id="74" w:name="_Toc3128"/>
      <w:bookmarkStart w:id="75" w:name="_Toc14495"/>
      <w:bookmarkStart w:id="76" w:name="_Toc25817"/>
      <w:r>
        <w:rPr>
          <w:rStyle w:val="12"/>
          <w:rFonts w:hint="eastAsia" w:ascii="宋体" w:hAnsi="宋体" w:eastAsia="宋体" w:cs="宋体"/>
          <w:color w:val="auto"/>
          <w:sz w:val="22"/>
          <w:szCs w:val="22"/>
          <w:highlight w:val="none"/>
        </w:rPr>
        <w:t>九、验收</w:t>
      </w:r>
      <w:bookmarkEnd w:id="72"/>
      <w:bookmarkEnd w:id="73"/>
      <w:bookmarkEnd w:id="74"/>
    </w:p>
    <w:bookmarkEnd w:id="75"/>
    <w:bookmarkEnd w:id="76"/>
    <w:p w14:paraId="4C52758E">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6E56BDA7">
      <w:pPr>
        <w:spacing w:line="52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（二）初验：货物通过试运行测试后进入试运行，试运行时间不得少于     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7A6CFFA8">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cs="宋体"/>
          <w:color w:val="auto"/>
          <w:sz w:val="22"/>
          <w:highlight w:val="none"/>
        </w:rPr>
        <w:t>本合同文本、招投标文件和国内相应的标准、规范</w:t>
      </w:r>
      <w:bookmarkEnd w:id="77"/>
      <w:bookmarkStart w:id="78" w:name="_Toc337393761"/>
      <w:r>
        <w:rPr>
          <w:rFonts w:hint="eastAsia" w:ascii="宋体" w:hAnsi="宋体" w:cs="宋体"/>
          <w:color w:val="auto"/>
          <w:sz w:val="22"/>
          <w:highlight w:val="none"/>
        </w:rPr>
        <w:t>。</w:t>
      </w:r>
      <w:bookmarkEnd w:id="78"/>
      <w:bookmarkStart w:id="79" w:name="OLE_LINK5"/>
      <w:bookmarkStart w:id="80" w:name="OLE_LINK6"/>
      <w:r>
        <w:rPr>
          <w:rFonts w:hint="eastAsia" w:ascii="宋体" w:hAnsi="宋体" w:cs="宋体"/>
          <w:color w:val="auto"/>
          <w:sz w:val="22"/>
          <w:highlight w:val="none"/>
        </w:rPr>
        <w:t>验收合格后，甲方填写终验验收单</w:t>
      </w:r>
      <w:bookmarkEnd w:id="79"/>
      <w:bookmarkEnd w:id="80"/>
      <w:r>
        <w:rPr>
          <w:rFonts w:hint="eastAsia" w:ascii="宋体" w:hAnsi="宋体" w:cs="宋体"/>
          <w:color w:val="auto"/>
          <w:sz w:val="22"/>
          <w:highlight w:val="none"/>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 %向甲方支付违约金，违约金不足弥补甲方损失的，由乙方负责赔偿。验收的相关费用由乙方承担。</w:t>
      </w:r>
    </w:p>
    <w:p w14:paraId="53FB6434">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（四）项目终验合格且正式交付甲方之前，货物毁损、灭失的法律风险由乙方承担。</w:t>
      </w:r>
    </w:p>
    <w:p w14:paraId="653E8E11">
      <w:pPr>
        <w:tabs>
          <w:tab w:val="left" w:pos="320"/>
          <w:tab w:val="left" w:pos="480"/>
          <w:tab w:val="left" w:pos="846"/>
        </w:tabs>
        <w:spacing w:line="520" w:lineRule="exact"/>
        <w:rPr>
          <w:rStyle w:val="12"/>
          <w:rFonts w:ascii="宋体" w:hAnsi="宋体" w:eastAsia="宋体" w:cs="宋体"/>
          <w:color w:val="auto"/>
          <w:sz w:val="22"/>
          <w:szCs w:val="22"/>
          <w:highlight w:val="none"/>
        </w:rPr>
      </w:pPr>
      <w:bookmarkStart w:id="81" w:name="_Toc5522"/>
      <w:bookmarkStart w:id="82" w:name="_Toc6380"/>
      <w:bookmarkStart w:id="83" w:name="_Toc27411"/>
      <w:bookmarkStart w:id="84" w:name="_Toc9050"/>
      <w:bookmarkStart w:id="85" w:name="_Toc1430"/>
      <w:r>
        <w:rPr>
          <w:rStyle w:val="12"/>
          <w:rFonts w:hint="eastAsia" w:ascii="宋体" w:hAnsi="宋体" w:eastAsia="宋体" w:cs="宋体"/>
          <w:color w:val="auto"/>
          <w:sz w:val="22"/>
          <w:szCs w:val="22"/>
          <w:highlight w:val="none"/>
        </w:rPr>
        <w:t>十、违约责任</w:t>
      </w:r>
    </w:p>
    <w:bookmarkEnd w:id="81"/>
    <w:bookmarkEnd w:id="82"/>
    <w:bookmarkEnd w:id="83"/>
    <w:bookmarkEnd w:id="84"/>
    <w:bookmarkEnd w:id="85"/>
    <w:p w14:paraId="2E2817B8">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（一）除本合同约定的违约责任之外，双方按《政府采购法》、《民法典》、《产品质量法》等相关法律法规规定执行。</w:t>
      </w:r>
    </w:p>
    <w:p w14:paraId="79E031BE">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15D385FE">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3ECAC441">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 %的违约金，违约金不足以弥补甲方损失的，乙方还应赔偿甲方的全部损失。</w:t>
      </w:r>
    </w:p>
    <w:p w14:paraId="50EE62AA">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9462"/>
      <w:bookmarkStart w:id="87" w:name="_Toc3011"/>
      <w:bookmarkStart w:id="88" w:name="_Toc25987"/>
      <w:bookmarkStart w:id="89" w:name="_Toc28511"/>
      <w:bookmarkStart w:id="90" w:name="_Toc4469"/>
    </w:p>
    <w:p w14:paraId="72C768E3">
      <w:pPr>
        <w:spacing w:line="520" w:lineRule="exact"/>
        <w:ind w:firstLine="387" w:firstLineChars="175"/>
        <w:rPr>
          <w:rStyle w:val="12"/>
          <w:rFonts w:ascii="宋体" w:hAnsi="宋体" w:eastAsia="宋体" w:cs="宋体"/>
          <w:b w:val="0"/>
          <w:color w:val="auto"/>
          <w:sz w:val="22"/>
          <w:szCs w:val="22"/>
          <w:highlight w:val="none"/>
        </w:rPr>
      </w:pPr>
      <w:r>
        <w:rPr>
          <w:rStyle w:val="12"/>
          <w:rFonts w:hint="eastAsia" w:ascii="宋体" w:hAnsi="宋体" w:eastAsia="宋体" w:cs="宋体"/>
          <w:color w:val="auto"/>
          <w:sz w:val="22"/>
          <w:szCs w:val="16"/>
          <w:highlight w:val="none"/>
        </w:rPr>
        <w:t>十一、</w:t>
      </w:r>
      <w:r>
        <w:rPr>
          <w:rStyle w:val="12"/>
          <w:rFonts w:hint="eastAsia" w:ascii="宋体" w:hAnsi="宋体" w:eastAsia="宋体" w:cs="宋体"/>
          <w:color w:val="auto"/>
          <w:sz w:val="22"/>
          <w:szCs w:val="22"/>
          <w:highlight w:val="none"/>
        </w:rPr>
        <w:t>保密条款</w:t>
      </w:r>
    </w:p>
    <w:p w14:paraId="2FED54EE">
      <w:pPr>
        <w:adjustRightInd w:val="0"/>
        <w:snapToGrid w:val="0"/>
        <w:spacing w:line="520" w:lineRule="exact"/>
        <w:ind w:firstLine="547" w:firstLineChars="249"/>
        <w:rPr>
          <w:rFonts w:ascii="宋体" w:hAnsi="宋体" w:cs="宋体"/>
          <w:color w:val="auto"/>
          <w:sz w:val="22"/>
          <w:highlight w:val="none"/>
        </w:rPr>
      </w:pPr>
      <w:r>
        <w:rPr>
          <w:rFonts w:hint="eastAsia" w:ascii="宋体" w:hAnsi="宋体" w:cs="宋体"/>
          <w:color w:val="auto"/>
          <w:sz w:val="22"/>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2C42F2C4">
      <w:pPr>
        <w:tabs>
          <w:tab w:val="left" w:pos="320"/>
          <w:tab w:val="left" w:pos="480"/>
          <w:tab w:val="left" w:pos="846"/>
        </w:tabs>
        <w:spacing w:line="520" w:lineRule="exact"/>
        <w:ind w:left="562"/>
        <w:rPr>
          <w:rStyle w:val="12"/>
          <w:rFonts w:ascii="宋体" w:hAnsi="宋体" w:eastAsia="宋体" w:cs="宋体"/>
          <w:color w:val="auto"/>
          <w:sz w:val="22"/>
          <w:szCs w:val="22"/>
          <w:highlight w:val="none"/>
        </w:rPr>
      </w:pPr>
      <w:r>
        <w:rPr>
          <w:rStyle w:val="12"/>
          <w:rFonts w:hint="eastAsia" w:ascii="宋体" w:hAnsi="宋体" w:eastAsia="宋体" w:cs="宋体"/>
          <w:color w:val="auto"/>
          <w:sz w:val="22"/>
          <w:szCs w:val="22"/>
          <w:highlight w:val="none"/>
        </w:rPr>
        <w:t>十二、合同争议解决的方式</w:t>
      </w:r>
    </w:p>
    <w:bookmarkEnd w:id="86"/>
    <w:bookmarkEnd w:id="87"/>
    <w:bookmarkEnd w:id="88"/>
    <w:bookmarkEnd w:id="89"/>
    <w:bookmarkEnd w:id="90"/>
    <w:p w14:paraId="2599A7CB">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本合同在履行过程中发生的争议，由甲、乙双方协商解决，协商不成的，提交甲方所在地有管辖权的人民法院裁决。</w:t>
      </w:r>
    </w:p>
    <w:p w14:paraId="4BBA88D5">
      <w:pPr>
        <w:tabs>
          <w:tab w:val="left" w:pos="320"/>
          <w:tab w:val="left" w:pos="480"/>
          <w:tab w:val="left" w:pos="846"/>
        </w:tabs>
        <w:spacing w:line="520" w:lineRule="exact"/>
        <w:ind w:left="562"/>
        <w:rPr>
          <w:rStyle w:val="12"/>
          <w:rFonts w:ascii="宋体" w:hAnsi="宋体" w:eastAsia="宋体" w:cs="宋体"/>
          <w:color w:val="auto"/>
          <w:sz w:val="22"/>
          <w:szCs w:val="22"/>
          <w:highlight w:val="none"/>
        </w:rPr>
      </w:pPr>
      <w:bookmarkStart w:id="91" w:name="_Toc27709"/>
      <w:bookmarkStart w:id="92" w:name="_Toc31635"/>
      <w:bookmarkStart w:id="93" w:name="_Toc7322"/>
      <w:bookmarkStart w:id="94" w:name="_Toc31037"/>
      <w:bookmarkStart w:id="95" w:name="_Toc10769"/>
      <w:r>
        <w:rPr>
          <w:rStyle w:val="12"/>
          <w:rFonts w:hint="eastAsia" w:ascii="宋体" w:hAnsi="宋体" w:eastAsia="宋体" w:cs="宋体"/>
          <w:color w:val="auto"/>
          <w:sz w:val="22"/>
          <w:szCs w:val="22"/>
          <w:highlight w:val="none"/>
        </w:rPr>
        <w:t>十三、其他事项</w:t>
      </w:r>
    </w:p>
    <w:bookmarkEnd w:id="91"/>
    <w:bookmarkEnd w:id="92"/>
    <w:bookmarkEnd w:id="93"/>
    <w:bookmarkEnd w:id="94"/>
    <w:bookmarkEnd w:id="95"/>
    <w:p w14:paraId="480C7A8B">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（一）招标文件、投标文件、澄清表（函）、中标通知书、合同附件均成为合同不可分割的部分。</w:t>
      </w:r>
    </w:p>
    <w:p w14:paraId="2D44226B">
      <w:pPr>
        <w:spacing w:line="520" w:lineRule="exact"/>
        <w:ind w:firstLine="385" w:firstLineChars="175"/>
        <w:rPr>
          <w:rFonts w:ascii="宋体" w:hAnsi="宋体" w:cs="宋体"/>
          <w:color w:val="auto"/>
          <w:sz w:val="22"/>
          <w:highlight w:val="none"/>
        </w:rPr>
      </w:pPr>
      <w:r>
        <w:rPr>
          <w:rFonts w:hint="eastAsia" w:ascii="宋体" w:hAnsi="宋体" w:cs="宋体"/>
          <w:color w:val="auto"/>
          <w:sz w:val="22"/>
          <w:highlight w:val="none"/>
        </w:rPr>
        <w:t>（二）合同未尽事宜，由甲、乙双方协商并签订书面协议予以约定。</w:t>
      </w:r>
    </w:p>
    <w:p w14:paraId="690A94AE">
      <w:pPr>
        <w:spacing w:line="520" w:lineRule="exact"/>
        <w:ind w:firstLine="385" w:firstLineChars="175"/>
        <w:rPr>
          <w:rFonts w:ascii="宋体" w:hAnsi="宋体" w:cs="宋体"/>
          <w:color w:val="auto"/>
          <w:sz w:val="22"/>
          <w:highlight w:val="none"/>
        </w:rPr>
      </w:pPr>
    </w:p>
    <w:p w14:paraId="2878767B">
      <w:pPr>
        <w:spacing w:line="520" w:lineRule="exact"/>
        <w:ind w:firstLine="385" w:firstLineChars="175"/>
        <w:rPr>
          <w:rFonts w:ascii="宋体" w:hAnsi="宋体" w:cs="宋体"/>
          <w:color w:val="auto"/>
          <w:sz w:val="22"/>
          <w:highlight w:val="none"/>
        </w:rPr>
      </w:pPr>
    </w:p>
    <w:p w14:paraId="19C44676">
      <w:pPr>
        <w:tabs>
          <w:tab w:val="left" w:pos="320"/>
          <w:tab w:val="left" w:pos="480"/>
          <w:tab w:val="left" w:pos="846"/>
        </w:tabs>
        <w:spacing w:line="520" w:lineRule="exact"/>
        <w:ind w:left="562"/>
        <w:rPr>
          <w:rStyle w:val="12"/>
          <w:rFonts w:ascii="宋体" w:hAnsi="宋体" w:eastAsia="宋体" w:cs="宋体"/>
          <w:color w:val="auto"/>
          <w:sz w:val="22"/>
          <w:szCs w:val="22"/>
          <w:highlight w:val="none"/>
        </w:rPr>
      </w:pPr>
      <w:bookmarkStart w:id="96" w:name="_Toc2128"/>
      <w:bookmarkStart w:id="97" w:name="_Toc24532"/>
      <w:bookmarkStart w:id="98" w:name="_Toc29072"/>
      <w:bookmarkStart w:id="99" w:name="_Toc26214"/>
      <w:bookmarkStart w:id="100" w:name="_Toc26525"/>
      <w:r>
        <w:rPr>
          <w:rStyle w:val="12"/>
          <w:rFonts w:hint="eastAsia" w:ascii="宋体" w:hAnsi="宋体" w:eastAsia="宋体" w:cs="宋体"/>
          <w:color w:val="auto"/>
          <w:sz w:val="22"/>
          <w:szCs w:val="22"/>
          <w:highlight w:val="none"/>
        </w:rPr>
        <w:t>十四、合同生效</w:t>
      </w:r>
    </w:p>
    <w:bookmarkEnd w:id="96"/>
    <w:bookmarkEnd w:id="97"/>
    <w:bookmarkEnd w:id="98"/>
    <w:bookmarkEnd w:id="99"/>
    <w:bookmarkEnd w:id="100"/>
    <w:p w14:paraId="5E91D718">
      <w:pPr>
        <w:pStyle w:val="4"/>
        <w:spacing w:line="520" w:lineRule="exact"/>
        <w:rPr>
          <w:rFonts w:ascii="宋体" w:hAnsi="宋体" w:cs="宋体"/>
          <w:color w:val="auto"/>
          <w:sz w:val="18"/>
          <w:szCs w:val="16"/>
          <w:highlight w:val="none"/>
        </w:rPr>
      </w:pPr>
      <w:r>
        <w:rPr>
          <w:rFonts w:hint="eastAsia" w:ascii="宋体" w:hAnsi="宋体" w:cs="宋体"/>
          <w:color w:val="auto"/>
          <w:sz w:val="22"/>
          <w:szCs w:val="22"/>
          <w:highlight w:val="none"/>
        </w:rPr>
        <w:t>本合同一式玖份，甲方陆份，乙方贰份、鉴证方壹份，甲、乙双方签字盖章后生效。（合同的服务承诺则长期有效）。</w:t>
      </w:r>
    </w:p>
    <w:p w14:paraId="541D075B">
      <w:pPr>
        <w:spacing w:line="520" w:lineRule="exact"/>
        <w:ind w:firstLine="385" w:firstLineChars="175"/>
        <w:rPr>
          <w:rFonts w:ascii="宋体" w:hAnsi="宋体" w:cs="宋体"/>
          <w:color w:val="auto"/>
          <w:sz w:val="22"/>
          <w:highlight w:val="none"/>
        </w:rPr>
      </w:pPr>
    </w:p>
    <w:tbl>
      <w:tblPr>
        <w:tblStyle w:val="8"/>
        <w:tblW w:w="9363" w:type="dxa"/>
        <w:jc w:val="center"/>
        <w:tblLayout w:type="fixed"/>
        <w:tblCellMar>
          <w:top w:w="0" w:type="dxa"/>
          <w:left w:w="108" w:type="dxa"/>
          <w:bottom w:w="0" w:type="dxa"/>
          <w:right w:w="108" w:type="dxa"/>
        </w:tblCellMar>
      </w:tblPr>
      <w:tblGrid>
        <w:gridCol w:w="3780"/>
        <w:gridCol w:w="2837"/>
        <w:gridCol w:w="2746"/>
      </w:tblGrid>
      <w:tr w14:paraId="1B7D5A67">
        <w:tblPrEx>
          <w:tblCellMar>
            <w:top w:w="0" w:type="dxa"/>
            <w:left w:w="108" w:type="dxa"/>
            <w:bottom w:w="0" w:type="dxa"/>
            <w:right w:w="108" w:type="dxa"/>
          </w:tblCellMar>
        </w:tblPrEx>
        <w:trPr>
          <w:jc w:val="center"/>
        </w:trPr>
        <w:tc>
          <w:tcPr>
            <w:tcW w:w="3780" w:type="dxa"/>
            <w:vAlign w:val="center"/>
          </w:tcPr>
          <w:p w14:paraId="44CF510C">
            <w:pPr>
              <w:spacing w:line="520" w:lineRule="exact"/>
              <w:rPr>
                <w:rFonts w:ascii="宋体" w:hAnsi="宋体" w:cs="宋体"/>
                <w:color w:val="auto"/>
                <w:szCs w:val="20"/>
                <w:highlight w:val="none"/>
              </w:rPr>
            </w:pPr>
            <w:r>
              <w:rPr>
                <w:rFonts w:hint="eastAsia" w:ascii="宋体" w:hAnsi="宋体" w:cs="宋体"/>
                <w:b/>
                <w:bCs/>
                <w:color w:val="auto"/>
                <w:szCs w:val="20"/>
                <w:highlight w:val="none"/>
              </w:rPr>
              <w:t>甲方：西安外国语大学（盖章）</w:t>
            </w:r>
          </w:p>
        </w:tc>
        <w:tc>
          <w:tcPr>
            <w:tcW w:w="2837" w:type="dxa"/>
            <w:vAlign w:val="center"/>
          </w:tcPr>
          <w:p w14:paraId="2E448034">
            <w:pPr>
              <w:spacing w:line="520" w:lineRule="exact"/>
              <w:rPr>
                <w:rFonts w:ascii="宋体" w:hAnsi="宋体" w:cs="宋体"/>
                <w:color w:val="auto"/>
                <w:szCs w:val="20"/>
                <w:highlight w:val="none"/>
              </w:rPr>
            </w:pPr>
            <w:r>
              <w:rPr>
                <w:rFonts w:hint="eastAsia" w:ascii="宋体" w:hAnsi="宋体" w:cs="宋体"/>
                <w:b/>
                <w:bCs/>
                <w:color w:val="auto"/>
                <w:szCs w:val="20"/>
                <w:highlight w:val="none"/>
              </w:rPr>
              <w:t>乙方：XXXXXXXX（盖章）</w:t>
            </w:r>
          </w:p>
        </w:tc>
        <w:tc>
          <w:tcPr>
            <w:tcW w:w="2746" w:type="dxa"/>
            <w:vMerge w:val="restart"/>
          </w:tcPr>
          <w:p w14:paraId="466D97AA">
            <w:pPr>
              <w:spacing w:line="520" w:lineRule="exact"/>
              <w:rPr>
                <w:rFonts w:ascii="宋体" w:hAnsi="宋体" w:cs="宋体"/>
                <w:color w:val="auto"/>
                <w:szCs w:val="20"/>
                <w:highlight w:val="none"/>
              </w:rPr>
            </w:pPr>
            <w:r>
              <w:rPr>
                <w:rFonts w:hint="eastAsia" w:ascii="宋体" w:hAnsi="宋体" w:cs="宋体"/>
                <w:b/>
                <w:bCs/>
                <w:color w:val="auto"/>
                <w:szCs w:val="20"/>
                <w:highlight w:val="none"/>
              </w:rPr>
              <w:t>鉴证方：XXXXXXXX（盖章）</w:t>
            </w:r>
          </w:p>
        </w:tc>
      </w:tr>
      <w:tr w14:paraId="23D3F0C7">
        <w:tblPrEx>
          <w:tblCellMar>
            <w:top w:w="0" w:type="dxa"/>
            <w:left w:w="108" w:type="dxa"/>
            <w:bottom w:w="0" w:type="dxa"/>
            <w:right w:w="108" w:type="dxa"/>
          </w:tblCellMar>
        </w:tblPrEx>
        <w:trPr>
          <w:jc w:val="center"/>
        </w:trPr>
        <w:tc>
          <w:tcPr>
            <w:tcW w:w="3780" w:type="dxa"/>
            <w:vAlign w:val="center"/>
          </w:tcPr>
          <w:p w14:paraId="475BDB2E">
            <w:pPr>
              <w:spacing w:line="520" w:lineRule="exact"/>
              <w:rPr>
                <w:rFonts w:ascii="宋体" w:hAnsi="宋体" w:cs="宋体"/>
                <w:color w:val="auto"/>
                <w:szCs w:val="20"/>
                <w:highlight w:val="none"/>
              </w:rPr>
            </w:pPr>
            <w:r>
              <w:rPr>
                <w:rFonts w:hint="eastAsia" w:ascii="宋体" w:hAnsi="宋体" w:cs="宋体"/>
                <w:b/>
                <w:bCs/>
                <w:color w:val="auto"/>
                <w:szCs w:val="20"/>
                <w:highlight w:val="none"/>
              </w:rPr>
              <w:t>法人或委托代理人：</w:t>
            </w:r>
          </w:p>
        </w:tc>
        <w:tc>
          <w:tcPr>
            <w:tcW w:w="2837" w:type="dxa"/>
            <w:vAlign w:val="center"/>
          </w:tcPr>
          <w:p w14:paraId="1F2D6AA1">
            <w:pPr>
              <w:spacing w:line="520" w:lineRule="exact"/>
              <w:rPr>
                <w:rFonts w:ascii="宋体" w:hAnsi="宋体" w:cs="宋体"/>
                <w:color w:val="auto"/>
                <w:szCs w:val="20"/>
                <w:highlight w:val="none"/>
              </w:rPr>
            </w:pPr>
            <w:r>
              <w:rPr>
                <w:rFonts w:hint="eastAsia" w:ascii="宋体" w:hAnsi="宋体" w:cs="宋体"/>
                <w:b/>
                <w:bCs/>
                <w:color w:val="auto"/>
                <w:szCs w:val="20"/>
                <w:highlight w:val="none"/>
              </w:rPr>
              <w:t>法人或委托代理人：</w:t>
            </w:r>
          </w:p>
        </w:tc>
        <w:tc>
          <w:tcPr>
            <w:tcW w:w="2746" w:type="dxa"/>
            <w:vMerge w:val="continue"/>
            <w:vAlign w:val="center"/>
          </w:tcPr>
          <w:p w14:paraId="57C8BD54">
            <w:pPr>
              <w:spacing w:line="520" w:lineRule="exact"/>
              <w:rPr>
                <w:rFonts w:ascii="宋体" w:hAnsi="宋体" w:cs="宋体"/>
                <w:color w:val="auto"/>
                <w:szCs w:val="20"/>
                <w:highlight w:val="none"/>
              </w:rPr>
            </w:pPr>
          </w:p>
        </w:tc>
      </w:tr>
      <w:tr w14:paraId="5E91E9F2">
        <w:tblPrEx>
          <w:tblCellMar>
            <w:top w:w="0" w:type="dxa"/>
            <w:left w:w="108" w:type="dxa"/>
            <w:bottom w:w="0" w:type="dxa"/>
            <w:right w:w="108" w:type="dxa"/>
          </w:tblCellMar>
        </w:tblPrEx>
        <w:trPr>
          <w:jc w:val="center"/>
        </w:trPr>
        <w:tc>
          <w:tcPr>
            <w:tcW w:w="3780" w:type="dxa"/>
            <w:vAlign w:val="center"/>
          </w:tcPr>
          <w:p w14:paraId="0C3503D7">
            <w:pPr>
              <w:spacing w:line="520" w:lineRule="exact"/>
              <w:rPr>
                <w:rFonts w:ascii="宋体" w:hAnsi="宋体" w:cs="宋体"/>
                <w:color w:val="auto"/>
                <w:szCs w:val="20"/>
                <w:highlight w:val="none"/>
              </w:rPr>
            </w:pPr>
            <w:r>
              <w:rPr>
                <w:rFonts w:hint="eastAsia" w:ascii="宋体" w:hAnsi="宋体" w:cs="宋体"/>
                <w:b/>
                <w:bCs/>
                <w:color w:val="auto"/>
                <w:szCs w:val="20"/>
                <w:highlight w:val="none"/>
              </w:rPr>
              <w:t>户名：西安外国语大学</w:t>
            </w:r>
          </w:p>
        </w:tc>
        <w:tc>
          <w:tcPr>
            <w:tcW w:w="2837" w:type="dxa"/>
            <w:vAlign w:val="center"/>
          </w:tcPr>
          <w:p w14:paraId="25DECCBD">
            <w:pPr>
              <w:spacing w:line="520" w:lineRule="exact"/>
              <w:rPr>
                <w:rFonts w:ascii="宋体" w:hAnsi="宋体" w:cs="宋体"/>
                <w:color w:val="auto"/>
                <w:szCs w:val="20"/>
                <w:highlight w:val="none"/>
              </w:rPr>
            </w:pPr>
            <w:r>
              <w:rPr>
                <w:rFonts w:hint="eastAsia" w:ascii="宋体" w:hAnsi="宋体" w:cs="宋体"/>
                <w:b/>
                <w:bCs/>
                <w:color w:val="auto"/>
                <w:szCs w:val="20"/>
                <w:highlight w:val="none"/>
              </w:rPr>
              <w:t>户名：</w:t>
            </w:r>
          </w:p>
        </w:tc>
        <w:tc>
          <w:tcPr>
            <w:tcW w:w="2746" w:type="dxa"/>
            <w:vMerge w:val="continue"/>
            <w:vAlign w:val="center"/>
          </w:tcPr>
          <w:p w14:paraId="0E7409EF">
            <w:pPr>
              <w:spacing w:line="520" w:lineRule="exact"/>
              <w:rPr>
                <w:rFonts w:ascii="宋体" w:hAnsi="宋体" w:cs="宋体"/>
                <w:color w:val="auto"/>
                <w:szCs w:val="20"/>
                <w:highlight w:val="none"/>
              </w:rPr>
            </w:pPr>
          </w:p>
        </w:tc>
      </w:tr>
      <w:tr w14:paraId="16EBB96F">
        <w:tblPrEx>
          <w:tblCellMar>
            <w:top w:w="0" w:type="dxa"/>
            <w:left w:w="108" w:type="dxa"/>
            <w:bottom w:w="0" w:type="dxa"/>
            <w:right w:w="108" w:type="dxa"/>
          </w:tblCellMar>
        </w:tblPrEx>
        <w:trPr>
          <w:jc w:val="center"/>
        </w:trPr>
        <w:tc>
          <w:tcPr>
            <w:tcW w:w="3780" w:type="dxa"/>
            <w:vAlign w:val="center"/>
          </w:tcPr>
          <w:p w14:paraId="4917019E">
            <w:pPr>
              <w:spacing w:line="520" w:lineRule="exact"/>
              <w:rPr>
                <w:rFonts w:ascii="宋体" w:hAnsi="宋体" w:cs="宋体"/>
                <w:color w:val="auto"/>
                <w:szCs w:val="20"/>
                <w:highlight w:val="none"/>
              </w:rPr>
            </w:pPr>
            <w:r>
              <w:rPr>
                <w:rFonts w:hint="eastAsia" w:ascii="宋体" w:hAnsi="宋体" w:cs="宋体"/>
                <w:b/>
                <w:bCs/>
                <w:color w:val="auto"/>
                <w:szCs w:val="20"/>
                <w:highlight w:val="none"/>
              </w:rPr>
              <w:t>开户行：</w:t>
            </w:r>
          </w:p>
        </w:tc>
        <w:tc>
          <w:tcPr>
            <w:tcW w:w="2837" w:type="dxa"/>
            <w:vAlign w:val="center"/>
          </w:tcPr>
          <w:p w14:paraId="72D53422">
            <w:pPr>
              <w:spacing w:line="520" w:lineRule="exact"/>
              <w:rPr>
                <w:rFonts w:ascii="宋体" w:hAnsi="宋体" w:cs="宋体"/>
                <w:color w:val="auto"/>
                <w:szCs w:val="20"/>
                <w:highlight w:val="none"/>
              </w:rPr>
            </w:pPr>
            <w:r>
              <w:rPr>
                <w:rFonts w:hint="eastAsia" w:ascii="宋体" w:hAnsi="宋体" w:cs="宋体"/>
                <w:b/>
                <w:bCs/>
                <w:color w:val="auto"/>
                <w:szCs w:val="20"/>
                <w:highlight w:val="none"/>
              </w:rPr>
              <w:t>开户行：</w:t>
            </w:r>
          </w:p>
        </w:tc>
        <w:tc>
          <w:tcPr>
            <w:tcW w:w="2746" w:type="dxa"/>
            <w:vAlign w:val="center"/>
          </w:tcPr>
          <w:p w14:paraId="4ED53867">
            <w:pPr>
              <w:spacing w:line="520" w:lineRule="exact"/>
              <w:rPr>
                <w:rFonts w:ascii="宋体" w:hAnsi="宋体" w:cs="宋体"/>
                <w:color w:val="auto"/>
                <w:szCs w:val="20"/>
                <w:highlight w:val="none"/>
              </w:rPr>
            </w:pPr>
            <w:r>
              <w:rPr>
                <w:rFonts w:hint="eastAsia" w:ascii="宋体" w:hAnsi="宋体" w:cs="宋体"/>
                <w:b/>
                <w:bCs/>
                <w:color w:val="auto"/>
                <w:szCs w:val="20"/>
                <w:highlight w:val="none"/>
              </w:rPr>
              <w:t>代表签字：</w:t>
            </w:r>
          </w:p>
        </w:tc>
      </w:tr>
      <w:tr w14:paraId="777F76BD">
        <w:tblPrEx>
          <w:tblCellMar>
            <w:top w:w="0" w:type="dxa"/>
            <w:left w:w="108" w:type="dxa"/>
            <w:bottom w:w="0" w:type="dxa"/>
            <w:right w:w="108" w:type="dxa"/>
          </w:tblCellMar>
        </w:tblPrEx>
        <w:trPr>
          <w:jc w:val="center"/>
        </w:trPr>
        <w:tc>
          <w:tcPr>
            <w:tcW w:w="3780" w:type="dxa"/>
            <w:vAlign w:val="center"/>
          </w:tcPr>
          <w:p w14:paraId="0B77FE8A">
            <w:pPr>
              <w:spacing w:line="520" w:lineRule="exact"/>
              <w:rPr>
                <w:rFonts w:ascii="宋体" w:hAnsi="宋体" w:cs="宋体"/>
                <w:color w:val="auto"/>
                <w:szCs w:val="20"/>
                <w:highlight w:val="none"/>
              </w:rPr>
            </w:pPr>
            <w:r>
              <w:rPr>
                <w:rFonts w:hint="eastAsia" w:ascii="宋体" w:hAnsi="宋体" w:cs="宋体"/>
                <w:b/>
                <w:bCs/>
                <w:color w:val="auto"/>
                <w:szCs w:val="20"/>
                <w:highlight w:val="none"/>
              </w:rPr>
              <w:t>账号：</w:t>
            </w:r>
          </w:p>
        </w:tc>
        <w:tc>
          <w:tcPr>
            <w:tcW w:w="2837" w:type="dxa"/>
            <w:vAlign w:val="center"/>
          </w:tcPr>
          <w:p w14:paraId="5518397F">
            <w:pPr>
              <w:spacing w:line="520" w:lineRule="exact"/>
              <w:rPr>
                <w:rFonts w:ascii="宋体" w:hAnsi="宋体" w:cs="宋体"/>
                <w:color w:val="auto"/>
                <w:szCs w:val="20"/>
                <w:highlight w:val="none"/>
              </w:rPr>
            </w:pPr>
            <w:r>
              <w:rPr>
                <w:rFonts w:hint="eastAsia" w:ascii="宋体" w:hAnsi="宋体" w:cs="宋体"/>
                <w:b/>
                <w:bCs/>
                <w:color w:val="auto"/>
                <w:szCs w:val="20"/>
                <w:highlight w:val="none"/>
              </w:rPr>
              <w:t>账号：</w:t>
            </w:r>
          </w:p>
        </w:tc>
        <w:tc>
          <w:tcPr>
            <w:tcW w:w="2746" w:type="dxa"/>
            <w:vAlign w:val="center"/>
          </w:tcPr>
          <w:p w14:paraId="50CDBB93">
            <w:pPr>
              <w:spacing w:line="520" w:lineRule="exact"/>
              <w:rPr>
                <w:rFonts w:ascii="宋体" w:hAnsi="宋体" w:cs="宋体"/>
                <w:color w:val="auto"/>
                <w:szCs w:val="20"/>
                <w:highlight w:val="none"/>
              </w:rPr>
            </w:pPr>
          </w:p>
        </w:tc>
      </w:tr>
      <w:tr w14:paraId="244AECE9">
        <w:tblPrEx>
          <w:tblCellMar>
            <w:top w:w="0" w:type="dxa"/>
            <w:left w:w="108" w:type="dxa"/>
            <w:bottom w:w="0" w:type="dxa"/>
            <w:right w:w="108" w:type="dxa"/>
          </w:tblCellMar>
        </w:tblPrEx>
        <w:trPr>
          <w:jc w:val="center"/>
        </w:trPr>
        <w:tc>
          <w:tcPr>
            <w:tcW w:w="3780" w:type="dxa"/>
            <w:vAlign w:val="center"/>
          </w:tcPr>
          <w:p w14:paraId="52A5284B">
            <w:pPr>
              <w:spacing w:line="520" w:lineRule="exact"/>
              <w:rPr>
                <w:rFonts w:ascii="宋体" w:hAnsi="宋体" w:cs="宋体"/>
                <w:color w:val="auto"/>
                <w:szCs w:val="20"/>
                <w:highlight w:val="none"/>
              </w:rPr>
            </w:pPr>
            <w:r>
              <w:rPr>
                <w:rFonts w:hint="eastAsia" w:ascii="宋体" w:hAnsi="宋体" w:cs="宋体"/>
                <w:b/>
                <w:bCs/>
                <w:color w:val="auto"/>
                <w:szCs w:val="20"/>
                <w:highlight w:val="none"/>
              </w:rPr>
              <w:t>电话：</w:t>
            </w:r>
          </w:p>
        </w:tc>
        <w:tc>
          <w:tcPr>
            <w:tcW w:w="2837" w:type="dxa"/>
            <w:vAlign w:val="center"/>
          </w:tcPr>
          <w:p w14:paraId="7003B76A">
            <w:pPr>
              <w:spacing w:line="520" w:lineRule="exact"/>
              <w:rPr>
                <w:rFonts w:ascii="宋体" w:hAnsi="宋体" w:cs="宋体"/>
                <w:color w:val="auto"/>
                <w:szCs w:val="20"/>
                <w:highlight w:val="none"/>
              </w:rPr>
            </w:pPr>
            <w:r>
              <w:rPr>
                <w:rFonts w:hint="eastAsia" w:ascii="宋体" w:hAnsi="宋体" w:cs="宋体"/>
                <w:b/>
                <w:bCs/>
                <w:color w:val="auto"/>
                <w:szCs w:val="20"/>
                <w:highlight w:val="none"/>
              </w:rPr>
              <w:t>电话:</w:t>
            </w:r>
          </w:p>
        </w:tc>
        <w:tc>
          <w:tcPr>
            <w:tcW w:w="2746" w:type="dxa"/>
            <w:vAlign w:val="center"/>
          </w:tcPr>
          <w:p w14:paraId="354A9A64">
            <w:pPr>
              <w:spacing w:line="520" w:lineRule="exact"/>
              <w:rPr>
                <w:rFonts w:ascii="宋体" w:hAnsi="宋体" w:cs="宋体"/>
                <w:color w:val="auto"/>
                <w:szCs w:val="20"/>
                <w:highlight w:val="none"/>
              </w:rPr>
            </w:pPr>
            <w:r>
              <w:rPr>
                <w:rFonts w:hint="eastAsia" w:ascii="宋体" w:hAnsi="宋体" w:cs="宋体"/>
                <w:b/>
                <w:bCs/>
                <w:color w:val="auto"/>
                <w:szCs w:val="20"/>
                <w:highlight w:val="none"/>
              </w:rPr>
              <w:t>电话：</w:t>
            </w:r>
          </w:p>
        </w:tc>
      </w:tr>
      <w:tr w14:paraId="340C0183">
        <w:tblPrEx>
          <w:tblCellMar>
            <w:top w:w="0" w:type="dxa"/>
            <w:left w:w="108" w:type="dxa"/>
            <w:bottom w:w="0" w:type="dxa"/>
            <w:right w:w="108" w:type="dxa"/>
          </w:tblCellMar>
        </w:tblPrEx>
        <w:trPr>
          <w:jc w:val="center"/>
        </w:trPr>
        <w:tc>
          <w:tcPr>
            <w:tcW w:w="3780" w:type="dxa"/>
            <w:vAlign w:val="center"/>
          </w:tcPr>
          <w:p w14:paraId="7D6641BA">
            <w:pPr>
              <w:spacing w:line="520" w:lineRule="exact"/>
              <w:rPr>
                <w:rFonts w:ascii="宋体" w:hAnsi="宋体" w:cs="宋体"/>
                <w:color w:val="auto"/>
                <w:szCs w:val="20"/>
                <w:highlight w:val="none"/>
              </w:rPr>
            </w:pPr>
            <w:r>
              <w:rPr>
                <w:rFonts w:hint="eastAsia" w:ascii="宋体" w:hAnsi="宋体" w:cs="宋体"/>
                <w:b/>
                <w:bCs/>
                <w:color w:val="auto"/>
                <w:szCs w:val="20"/>
                <w:highlight w:val="none"/>
              </w:rPr>
              <w:t>地址：西安市长安区文苑南路</w:t>
            </w:r>
          </w:p>
        </w:tc>
        <w:tc>
          <w:tcPr>
            <w:tcW w:w="2837" w:type="dxa"/>
            <w:vAlign w:val="center"/>
          </w:tcPr>
          <w:p w14:paraId="1A7C0CFB">
            <w:pPr>
              <w:spacing w:line="520" w:lineRule="exact"/>
              <w:rPr>
                <w:rFonts w:ascii="宋体" w:hAnsi="宋体" w:cs="宋体"/>
                <w:color w:val="auto"/>
                <w:szCs w:val="20"/>
                <w:highlight w:val="none"/>
              </w:rPr>
            </w:pPr>
            <w:r>
              <w:rPr>
                <w:rFonts w:hint="eastAsia" w:ascii="宋体" w:hAnsi="宋体" w:cs="宋体"/>
                <w:b/>
                <w:bCs/>
                <w:color w:val="auto"/>
                <w:szCs w:val="20"/>
                <w:highlight w:val="none"/>
              </w:rPr>
              <w:t>地址：</w:t>
            </w:r>
          </w:p>
        </w:tc>
        <w:tc>
          <w:tcPr>
            <w:tcW w:w="2746" w:type="dxa"/>
            <w:vAlign w:val="center"/>
          </w:tcPr>
          <w:p w14:paraId="7519D2B3">
            <w:pPr>
              <w:spacing w:line="520" w:lineRule="exact"/>
              <w:rPr>
                <w:rFonts w:ascii="宋体" w:hAnsi="宋体" w:cs="宋体"/>
                <w:color w:val="auto"/>
                <w:szCs w:val="20"/>
                <w:highlight w:val="none"/>
              </w:rPr>
            </w:pPr>
            <w:r>
              <w:rPr>
                <w:rFonts w:hint="eastAsia" w:ascii="宋体" w:hAnsi="宋体" w:cs="宋体"/>
                <w:b/>
                <w:bCs/>
                <w:color w:val="auto"/>
                <w:szCs w:val="20"/>
                <w:highlight w:val="none"/>
              </w:rPr>
              <w:t>地址：</w:t>
            </w:r>
          </w:p>
        </w:tc>
      </w:tr>
      <w:tr w14:paraId="4E471DB8">
        <w:tblPrEx>
          <w:tblCellMar>
            <w:top w:w="0" w:type="dxa"/>
            <w:left w:w="108" w:type="dxa"/>
            <w:bottom w:w="0" w:type="dxa"/>
            <w:right w:w="108" w:type="dxa"/>
          </w:tblCellMar>
        </w:tblPrEx>
        <w:trPr>
          <w:jc w:val="center"/>
        </w:trPr>
        <w:tc>
          <w:tcPr>
            <w:tcW w:w="3780" w:type="dxa"/>
            <w:vAlign w:val="center"/>
          </w:tcPr>
          <w:p w14:paraId="46AD7156">
            <w:pPr>
              <w:spacing w:line="520" w:lineRule="exact"/>
              <w:rPr>
                <w:rFonts w:ascii="宋体" w:hAnsi="宋体" w:cs="宋体"/>
                <w:color w:val="auto"/>
                <w:szCs w:val="20"/>
                <w:highlight w:val="none"/>
              </w:rPr>
            </w:pPr>
            <w:r>
              <w:rPr>
                <w:rFonts w:hint="eastAsia" w:ascii="宋体" w:hAnsi="宋体" w:cs="宋体"/>
                <w:b/>
                <w:bCs/>
                <w:color w:val="auto"/>
                <w:szCs w:val="20"/>
                <w:highlight w:val="none"/>
              </w:rPr>
              <w:t>日期:     年   月   日</w:t>
            </w:r>
          </w:p>
        </w:tc>
        <w:tc>
          <w:tcPr>
            <w:tcW w:w="2837" w:type="dxa"/>
            <w:vAlign w:val="center"/>
          </w:tcPr>
          <w:p w14:paraId="0977AC29">
            <w:pPr>
              <w:spacing w:line="520" w:lineRule="exact"/>
              <w:rPr>
                <w:rFonts w:ascii="宋体" w:hAnsi="宋体" w:cs="宋体"/>
                <w:color w:val="auto"/>
                <w:szCs w:val="20"/>
                <w:highlight w:val="none"/>
              </w:rPr>
            </w:pPr>
            <w:r>
              <w:rPr>
                <w:rFonts w:hint="eastAsia" w:ascii="宋体" w:hAnsi="宋体" w:cs="宋体"/>
                <w:b/>
                <w:bCs/>
                <w:color w:val="auto"/>
                <w:szCs w:val="20"/>
                <w:highlight w:val="none"/>
              </w:rPr>
              <w:t>日期:     年  月   日</w:t>
            </w:r>
          </w:p>
        </w:tc>
        <w:tc>
          <w:tcPr>
            <w:tcW w:w="2746" w:type="dxa"/>
            <w:vAlign w:val="center"/>
          </w:tcPr>
          <w:p w14:paraId="450A706A">
            <w:pPr>
              <w:spacing w:line="520" w:lineRule="exact"/>
              <w:rPr>
                <w:rFonts w:ascii="宋体" w:hAnsi="宋体" w:cs="宋体"/>
                <w:color w:val="auto"/>
                <w:szCs w:val="20"/>
                <w:highlight w:val="none"/>
              </w:rPr>
            </w:pPr>
            <w:r>
              <w:rPr>
                <w:rFonts w:hint="eastAsia" w:ascii="宋体" w:hAnsi="宋体" w:cs="宋体"/>
                <w:b/>
                <w:bCs/>
                <w:color w:val="auto"/>
                <w:szCs w:val="20"/>
                <w:highlight w:val="none"/>
              </w:rPr>
              <w:t>日期:  年  月   日</w:t>
            </w:r>
          </w:p>
        </w:tc>
      </w:tr>
    </w:tbl>
    <w:p w14:paraId="6CDBAC2E">
      <w:pPr>
        <w:tabs>
          <w:tab w:val="left" w:pos="320"/>
          <w:tab w:val="left" w:pos="480"/>
          <w:tab w:val="left" w:pos="846"/>
        </w:tabs>
        <w:spacing w:line="520" w:lineRule="exact"/>
        <w:ind w:left="420" w:leftChars="200"/>
        <w:rPr>
          <w:rStyle w:val="12"/>
          <w:rFonts w:ascii="宋体" w:hAnsi="宋体" w:eastAsia="宋体" w:cs="宋体"/>
          <w:color w:val="auto"/>
          <w:sz w:val="24"/>
          <w:highlight w:val="none"/>
        </w:rPr>
      </w:pPr>
      <w:bookmarkStart w:id="101" w:name="_Toc30979"/>
    </w:p>
    <w:p w14:paraId="2EF29515">
      <w:pPr>
        <w:tabs>
          <w:tab w:val="left" w:pos="320"/>
          <w:tab w:val="left" w:pos="480"/>
          <w:tab w:val="left" w:pos="846"/>
        </w:tabs>
        <w:spacing w:line="520" w:lineRule="exact"/>
        <w:ind w:left="420" w:leftChars="200"/>
        <w:rPr>
          <w:rStyle w:val="12"/>
          <w:rFonts w:ascii="宋体" w:hAnsi="宋体" w:eastAsia="宋体" w:cs="宋体"/>
          <w:color w:val="auto"/>
          <w:sz w:val="24"/>
          <w:highlight w:val="none"/>
        </w:rPr>
      </w:pPr>
    </w:p>
    <w:p w14:paraId="34819E9F">
      <w:pPr>
        <w:tabs>
          <w:tab w:val="left" w:pos="320"/>
          <w:tab w:val="left" w:pos="480"/>
          <w:tab w:val="left" w:pos="846"/>
        </w:tabs>
        <w:spacing w:line="520" w:lineRule="exact"/>
        <w:ind w:left="420" w:leftChars="200"/>
        <w:rPr>
          <w:rFonts w:ascii="宋体" w:hAnsi="宋体" w:cs="宋体"/>
          <w:color w:val="auto"/>
          <w:sz w:val="18"/>
          <w:szCs w:val="20"/>
          <w:highlight w:val="none"/>
        </w:rPr>
      </w:pPr>
      <w:r>
        <w:rPr>
          <w:rStyle w:val="12"/>
          <w:rFonts w:hint="eastAsia" w:ascii="宋体" w:hAnsi="宋体" w:eastAsia="宋体" w:cs="宋体"/>
          <w:color w:val="auto"/>
          <w:sz w:val="24"/>
          <w:highlight w:val="none"/>
        </w:rPr>
        <w:t>附件：</w:t>
      </w:r>
      <w:bookmarkEnd w:id="101"/>
      <w:r>
        <w:rPr>
          <w:rStyle w:val="12"/>
          <w:rFonts w:hint="eastAsia" w:ascii="宋体" w:hAnsi="宋体" w:eastAsia="宋体" w:cs="宋体"/>
          <w:color w:val="auto"/>
          <w:sz w:val="24"/>
          <w:highlight w:val="none"/>
        </w:rPr>
        <w:t>****</w:t>
      </w:r>
    </w:p>
    <w:p w14:paraId="7E158A78">
      <w:pPr>
        <w:pStyle w:val="13"/>
        <w:rPr>
          <w:rFonts w:hint="default" w:ascii="宋体" w:hAnsi="宋体" w:eastAsia="宋体" w:cs="宋体"/>
          <w:color w:val="auto"/>
          <w:highlight w:val="none"/>
        </w:rPr>
      </w:pPr>
    </w:p>
    <w:p w14:paraId="2DCA17A4">
      <w:bookmarkStart w:id="102" w:name="_GoBack"/>
      <w:bookmarkEnd w:id="102"/>
    </w:p>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97E79">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91E41">
                          <w:pPr>
                            <w:pStyle w:val="6"/>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E591E41">
                    <w:pPr>
                      <w:pStyle w:val="6"/>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5E05E">
    <w:pPr>
      <w:pStyle w:val="7"/>
      <w:pBdr>
        <w:bottom w:val="none" w:color="auto" w:sz="0" w:space="0"/>
      </w:pBdr>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A5315F"/>
    <w:rsid w:val="69AE0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3">
    <w:name w:val="heading 2"/>
    <w:basedOn w:val="1"/>
    <w:next w:val="1"/>
    <w:link w:val="12"/>
    <w:qFormat/>
    <w:uiPriority w:val="99"/>
    <w:pPr>
      <w:keepNext/>
      <w:keepLines/>
      <w:spacing w:line="413" w:lineRule="auto"/>
      <w:outlineLvl w:val="1"/>
    </w:pPr>
    <w:rPr>
      <w:rFonts w:ascii="Arial" w:hAnsi="Arial" w:eastAsia="黑体"/>
      <w:b/>
      <w:kern w:val="0"/>
      <w:sz w:val="32"/>
      <w:szCs w:val="20"/>
    </w:rPr>
  </w:style>
  <w:style w:type="paragraph" w:styleId="2">
    <w:name w:val="heading 4"/>
    <w:basedOn w:val="1"/>
    <w:next w:val="1"/>
    <w:qFormat/>
    <w:uiPriority w:val="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Plain Text"/>
    <w:basedOn w:val="1"/>
    <w:qFormat/>
    <w:uiPriority w:val="99"/>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1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11">
    <w:name w:val="标题 2 字符"/>
    <w:basedOn w:val="9"/>
    <w:link w:val="3"/>
    <w:qFormat/>
    <w:uiPriority w:val="99"/>
    <w:rPr>
      <w:rFonts w:ascii="Arial" w:hAnsi="Arial" w:eastAsia="黑体"/>
      <w:b/>
      <w:kern w:val="0"/>
      <w:sz w:val="32"/>
      <w:szCs w:val="20"/>
    </w:rPr>
  </w:style>
  <w:style w:type="character" w:customStyle="1" w:styleId="12">
    <w:name w:val="标题 2 Char"/>
    <w:basedOn w:val="9"/>
    <w:link w:val="3"/>
    <w:qFormat/>
    <w:uiPriority w:val="99"/>
    <w:rPr>
      <w:rFonts w:ascii="Arial" w:hAnsi="Arial" w:eastAsia="黑体"/>
      <w:b/>
      <w:kern w:val="0"/>
      <w:sz w:val="32"/>
      <w:szCs w:val="20"/>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4416</Words>
  <Characters>4491</Characters>
  <Lines>0</Lines>
  <Paragraphs>0</Paragraphs>
  <TotalTime>0</TotalTime>
  <ScaleCrop>false</ScaleCrop>
  <LinksUpToDate>false</LinksUpToDate>
  <CharactersWithSpaces>4631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2026-06-17T08:21:00Z</dcterms:created>
  <dc:creator>Administrator</dc:creator>
  <cp:lastModifiedBy>Administrator</cp:lastModifiedBy>
  <dcterms:modified xsi:type="dcterms:W3CDTF">2026-07-03T08:13:52Z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E47B3AD639C7496EA3C84C50B22CD34B_12</vt:lpwstr>
  </property>
</Properties>
</file>