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版本号：SXKK2026-CS-01020260514001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三原县清河北岸历史文化街改造项目-监理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SXKK2026-CS-010</w:t>
      </w:r>
      <w:r>
        <w:br/>
      </w:r>
      <w:r>
        <w:br/>
      </w:r>
      <w:r>
        <w:br/>
      </w:r>
    </w:p>
    <w:p>
      <w:pPr>
        <w:pStyle w:val="null3"/>
        <w:jc w:val="center"/>
        <w:outlineLvl w:val="2"/>
      </w:pPr>
      <w:r>
        <w:rPr>
          <w:rFonts w:ascii="仿宋_GB2312" w:hAnsi="仿宋_GB2312" w:cs="仿宋_GB2312" w:eastAsia="仿宋_GB2312"/>
          <w:sz w:val="28"/>
          <w:b/>
        </w:rPr>
        <w:t>三原县住房和城乡建设局</w:t>
      </w:r>
    </w:p>
    <w:p>
      <w:pPr>
        <w:pStyle w:val="null3"/>
        <w:jc w:val="center"/>
        <w:outlineLvl w:val="2"/>
      </w:pPr>
      <w:r>
        <w:rPr>
          <w:rFonts w:ascii="仿宋_GB2312" w:hAnsi="仿宋_GB2312" w:cs="仿宋_GB2312" w:eastAsia="仿宋_GB2312"/>
          <w:sz w:val="28"/>
          <w:b/>
        </w:rPr>
        <w:t>陕西夸克工程造价咨询有限公司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陕西夸克工程造价咨询有限公司</w:t>
      </w:r>
      <w:r>
        <w:rPr>
          <w:rFonts w:ascii="仿宋_GB2312" w:hAnsi="仿宋_GB2312" w:cs="仿宋_GB2312" w:eastAsia="仿宋_GB2312"/>
        </w:rPr>
        <w:t>（以下简称“代理机构”）受</w:t>
      </w:r>
      <w:r>
        <w:rPr>
          <w:rFonts w:ascii="仿宋_GB2312" w:hAnsi="仿宋_GB2312" w:cs="仿宋_GB2312" w:eastAsia="仿宋_GB2312"/>
        </w:rPr>
        <w:t>三原县住房和城乡建设局</w:t>
      </w:r>
      <w:r>
        <w:rPr>
          <w:rFonts w:ascii="仿宋_GB2312" w:hAnsi="仿宋_GB2312" w:cs="仿宋_GB2312" w:eastAsia="仿宋_GB2312"/>
        </w:rPr>
        <w:t>委托，拟对</w:t>
      </w:r>
      <w:r>
        <w:rPr>
          <w:rFonts w:ascii="仿宋_GB2312" w:hAnsi="仿宋_GB2312" w:cs="仿宋_GB2312" w:eastAsia="仿宋_GB2312"/>
        </w:rPr>
        <w:t>三原县清河北岸历史文化街改造项目-监理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SXKK2026-CS-010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三原县清河北岸历史文化街改造项目-监理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三原县清河北岸边坡治理项目，项目选址位于西起新龙桥，东至城北活动广场，全长800米，建设清河北岸桥头驿站、滨河室外露台、沿街建筑风貌提升、清河北岸护坡、绿化生态治理。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采购包1（三原县清河北岸历史文化街改造项目-监理）：属于专门面向中小企业采购。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2、公司资质：供应商须具备建设行政主管部门核发工程监理综合资质或市政公用工程专业、房屋建筑工程专业监理乙级及以上资质</w:t>
      </w:r>
    </w:p>
    <w:p>
      <w:pPr>
        <w:pStyle w:val="null3"/>
      </w:pPr>
      <w:r>
        <w:rPr>
          <w:rFonts w:ascii="仿宋_GB2312" w:hAnsi="仿宋_GB2312" w:cs="仿宋_GB2312" w:eastAsia="仿宋_GB2312"/>
        </w:rPr>
        <w:t>3、人员资质：拟派往本项目的总监理工程师必须为本企业注册的监理工程师，具备市政公用工程专业、房屋建筑工程专业注册监理工程师资格，提供供应商至开标前半年内任意一个月为其缴纳的社会保险的证明材料（五险一金提供一项即可），且未担任其它在建工程的总监理工程师，无不良信用记录</w:t>
      </w:r>
    </w:p>
    <w:p>
      <w:pPr>
        <w:pStyle w:val="null3"/>
      </w:pPr>
      <w:r>
        <w:rPr>
          <w:rFonts w:ascii="仿宋_GB2312" w:hAnsi="仿宋_GB2312" w:cs="仿宋_GB2312" w:eastAsia="仿宋_GB2312"/>
        </w:rPr>
        <w:t>4、财务状况报告：提供2024年度或2025年度经审计的财务报告（成立时间至提交响应文件截止时间不足一年的可提供成立后任意时段的资产负债表），或其开标前三个月内银行出具的资信证明，（以上两种形式的资料提供任何一种即可）</w:t>
      </w:r>
    </w:p>
    <w:p>
      <w:pPr>
        <w:pStyle w:val="null3"/>
      </w:pPr>
      <w:r>
        <w:rPr>
          <w:rFonts w:ascii="仿宋_GB2312" w:hAnsi="仿宋_GB2312" w:cs="仿宋_GB2312" w:eastAsia="仿宋_GB2312"/>
        </w:rPr>
        <w:t>5、税收缴纳证明：提供开标截止时间前6个月内任意1个月的完税证明，完税证明上应有代收机构或税务机关的公章或业务专用章。依法免税或新成立的供应商应提供相关文件证明；</w:t>
      </w:r>
    </w:p>
    <w:p>
      <w:pPr>
        <w:pStyle w:val="null3"/>
      </w:pPr>
      <w:r>
        <w:rPr>
          <w:rFonts w:ascii="仿宋_GB2312" w:hAnsi="仿宋_GB2312" w:cs="仿宋_GB2312" w:eastAsia="仿宋_GB2312"/>
        </w:rPr>
        <w:t>6、社会保障资金缴纳证明：提供开标截止时间前6个月内任意1个月的社会保障资金缴存单据或社保机构开具的社会保险参保缴费情况证明，单据或证明上应有社保机构或代收机构的公章或业务专用章。依法不需要缴纳社会保障资金或新成立的供应商应提供相关文件证明；</w:t>
      </w:r>
    </w:p>
    <w:p>
      <w:pPr>
        <w:pStyle w:val="null3"/>
      </w:pPr>
      <w:r>
        <w:rPr>
          <w:rFonts w:ascii="仿宋_GB2312" w:hAnsi="仿宋_GB2312" w:cs="仿宋_GB2312" w:eastAsia="仿宋_GB2312"/>
        </w:rPr>
        <w:t>7、信用中国：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8、非联合体声明：本项目不接受联合体投标，单位负责人为同一人或者存在直接控股、管理关系的不同投标人，不得参加同一合同项下的政府采购活动（提供非联合体投标声明，包括控股管理声明）。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三原县住房和城乡建设局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三原县住房和城乡建设局经办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029-32282929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陕西夸克工程造价咨询有限公司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陕西省西安市未央区萧家北巷文景尚品 12 楼 1218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邬经理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13325304067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 ，由成交供应商支付采购代理服务费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三原县住房和城乡建设局</w:t>
      </w:r>
      <w:r>
        <w:rPr>
          <w:rFonts w:ascii="仿宋_GB2312" w:hAnsi="仿宋_GB2312" w:cs="仿宋_GB2312" w:eastAsia="仿宋_GB2312"/>
        </w:rPr>
        <w:t>和</w:t>
      </w:r>
      <w:r>
        <w:rPr>
          <w:rFonts w:ascii="仿宋_GB2312" w:hAnsi="仿宋_GB2312" w:cs="仿宋_GB2312" w:eastAsia="仿宋_GB2312"/>
        </w:rPr>
        <w:t>陕西夸克工程造价咨询有限公司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陕西夸克工程造价咨询有限公司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陕西夸克工程造价咨询有限公司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陕西夸克工程造价咨询有限公司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联系人：邬经理</w:t>
      </w:r>
    </w:p>
    <w:p>
      <w:pPr>
        <w:pStyle w:val="null3"/>
      </w:pPr>
      <w:r>
        <w:rPr>
          <w:rFonts w:ascii="仿宋_GB2312" w:hAnsi="仿宋_GB2312" w:cs="仿宋_GB2312" w:eastAsia="仿宋_GB2312"/>
        </w:rPr>
        <w:t>联系电话：13325304067</w:t>
      </w:r>
    </w:p>
    <w:p>
      <w:pPr>
        <w:pStyle w:val="null3"/>
      </w:pPr>
      <w:r>
        <w:rPr>
          <w:rFonts w:ascii="仿宋_GB2312" w:hAnsi="仿宋_GB2312" w:cs="仿宋_GB2312" w:eastAsia="仿宋_GB2312"/>
        </w:rPr>
        <w:t>地址：陕西省西安市未央区萧家北巷文景尚品 12 楼 1218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三原县清河北岸边坡治理项目，项目选址位于西起新龙桥，东至城北活动广场，全长800米，建设清河北岸桥头驿站、滨河室外露台、沿街建筑风貌提升、清河北岸护坡、绿化生态治理。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559,000.00</w:t>
      </w:r>
    </w:p>
    <w:p>
      <w:pPr>
        <w:pStyle w:val="null3"/>
      </w:pPr>
      <w:r>
        <w:rPr>
          <w:rFonts w:ascii="仿宋_GB2312" w:hAnsi="仿宋_GB2312" w:cs="仿宋_GB2312" w:eastAsia="仿宋_GB2312"/>
        </w:rPr>
        <w:t>采购包最高限价（元）: 559,000.00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三原县清河北岸历史文化街改造项目-监理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标的名称：三原县清河北岸历史文化街改造项目-监理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2"/>
            </w:pPr>
            <w:r>
              <w:rPr>
                <w:rFonts w:ascii="仿宋_GB2312" w:hAnsi="仿宋_GB2312" w:cs="仿宋_GB2312" w:eastAsia="仿宋_GB2312"/>
                <w:sz w:val="24"/>
                <w:b/>
                <w:color w:val="000000"/>
              </w:rPr>
              <w:t>一、总体技术要求</w:t>
            </w:r>
          </w:p>
          <w:p>
            <w:pPr>
              <w:pStyle w:val="null3"/>
              <w:ind w:left="12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监理单位须严格遵循国家、陕西省及咸阳市现行工程建设法律、法规、规范、标准及设计文件，全面履行监理职责。</w:t>
            </w:r>
          </w:p>
          <w:p>
            <w:pPr>
              <w:pStyle w:val="null3"/>
              <w:ind w:left="12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监理服务覆盖施工准备、施工过程、竣工验收、缺陷责任期全阶段，对工程质量、进度、投资、安全、环保、合同、信息进行全过程管控。</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监理机构与人员须满足项目专业需求，持证上岗、到岗履职，不得擅自更换。</w:t>
            </w:r>
          </w:p>
          <w:p>
            <w:pPr>
              <w:pStyle w:val="null3"/>
              <w:jc w:val="left"/>
              <w:outlineLvl w:val="2"/>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、施工质量监理技术要求</w:t>
            </w:r>
          </w:p>
          <w:p>
            <w:pPr>
              <w:pStyle w:val="null3"/>
              <w:ind w:left="12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施工方案审查：审核施工组织设计、专项方案（边坡支护、临水作业、风貌提升、绿化生态），提出书面意见。</w:t>
            </w:r>
          </w:p>
          <w:p>
            <w:pPr>
              <w:pStyle w:val="null3"/>
              <w:ind w:left="12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材料设备管控：核查进场材料、构配件、设备合格证与检测报告，见证取样送检，不合格严禁使用。</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工序质量控制：</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护坡工程：基底处理、锚杆</w:t>
            </w:r>
            <w:r>
              <w:rPr>
                <w:rFonts w:ascii="仿宋_GB2312" w:hAnsi="仿宋_GB2312" w:cs="仿宋_GB2312" w:eastAsia="仿宋_GB2312"/>
                <w:sz w:val="24"/>
                <w:color w:val="000000"/>
              </w:rPr>
              <w:t>/</w:t>
            </w:r>
            <w:r>
              <w:rPr>
                <w:rFonts w:ascii="仿宋_GB2312" w:hAnsi="仿宋_GB2312" w:cs="仿宋_GB2312" w:eastAsia="仿宋_GB2312"/>
                <w:sz w:val="24"/>
                <w:color w:val="000000"/>
              </w:rPr>
              <w:t>锚索、混凝土喷射、排水系统全程旁站。</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建筑风貌提升：外立面改造、结构加固、装饰装修按图验收。</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驿站与露台：结构、防水、装修、机电安装严格验收。</w:t>
            </w:r>
          </w:p>
          <w:p>
            <w:pPr>
              <w:pStyle w:val="null3"/>
              <w:ind w:left="-360"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绿化生态：种植土、苗木规格、栽植、养护符合设计与规范。</w:t>
            </w:r>
          </w:p>
          <w:p>
            <w:pPr>
              <w:pStyle w:val="null3"/>
              <w:ind w:left="-360"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隐蔽工程：隐蔽前必须验收，未验收不得覆盖。</w:t>
            </w:r>
          </w:p>
          <w:p>
            <w:pPr>
              <w:pStyle w:val="null3"/>
              <w:ind w:left="-360"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分部分项验收：按规范组织验收，合格后方可进入下一工序。</w:t>
            </w:r>
          </w:p>
          <w:p>
            <w:pPr>
              <w:pStyle w:val="null3"/>
              <w:jc w:val="left"/>
              <w:outlineLvl w:val="2"/>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、进度监理技术要求</w:t>
            </w:r>
          </w:p>
          <w:p>
            <w:pPr>
              <w:pStyle w:val="null3"/>
              <w:ind w:left="12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审核总进度计划、月计划、周计划，对比实际进度，预警偏差并提出纠偏措施。</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关键节点（开工、护坡完成、驿站完工、绿化完成、竣工）严格管控。</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协调施工、设计、勘察、建设单位，解决影响进度问题。</w:t>
            </w:r>
          </w:p>
          <w:p>
            <w:pPr>
              <w:pStyle w:val="null3"/>
              <w:jc w:val="left"/>
              <w:outlineLvl w:val="2"/>
            </w:pP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、投资控制技术要求</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复核工程量清单与预算，审核工程变更、现场签证，控制造价风险。</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审核进度款支付申请，据实计量，防止超付。</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参与竣工结算审核，提供监理计量资料。</w:t>
            </w:r>
          </w:p>
          <w:p>
            <w:pPr>
              <w:pStyle w:val="null3"/>
              <w:jc w:val="left"/>
              <w:outlineLvl w:val="2"/>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、安全生产与文明施工监理要求</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审查安全专项方案、应急预案、特种作业人员证件。</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巡查临水、高边坡、临时用电、机械作业安全，制止违规作业。</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督促落实扬尘治理、围挡、保洁、材料堆放等文明施工要求。</w:t>
            </w:r>
          </w:p>
          <w:p>
            <w:pPr>
              <w:pStyle w:val="null3"/>
              <w:jc w:val="left"/>
              <w:outlineLvl w:val="2"/>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、合同与信息管理要求</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监督合同履行，处理工期、质量、价款等争议。</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建立监理日志、旁站记录、验收记录、会议纪要、月报等完整资料。</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及时向建设单位报送监理周报、月报、专题报告。</w:t>
            </w:r>
          </w:p>
          <w:p>
            <w:pPr>
              <w:pStyle w:val="null3"/>
              <w:jc w:val="left"/>
              <w:outlineLvl w:val="2"/>
            </w:pPr>
            <w:r>
              <w:rPr>
                <w:rFonts w:ascii="仿宋_GB2312" w:hAnsi="仿宋_GB2312" w:cs="仿宋_GB2312" w:eastAsia="仿宋_GB2312"/>
                <w:sz w:val="24"/>
                <w:b/>
                <w:color w:val="000000"/>
              </w:rPr>
              <w:t>七</w:t>
            </w:r>
            <w:r>
              <w:rPr>
                <w:rFonts w:ascii="仿宋_GB2312" w:hAnsi="仿宋_GB2312" w:cs="仿宋_GB2312" w:eastAsia="仿宋_GB2312"/>
                <w:sz w:val="24"/>
                <w:b/>
                <w:color w:val="000000"/>
              </w:rPr>
              <w:t>、验收与缺陷责任期监理要求</w:t>
            </w:r>
          </w:p>
          <w:p>
            <w:pPr>
              <w:pStyle w:val="null3"/>
              <w:ind w:left="-360"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组织竣工预验收，出具</w:t>
            </w:r>
            <w:r>
              <w:rPr>
                <w:rFonts w:ascii="仿宋_GB2312" w:hAnsi="仿宋_GB2312" w:cs="仿宋_GB2312" w:eastAsia="仿宋_GB2312"/>
                <w:sz w:val="24"/>
                <w:b/>
                <w:color w:val="000000"/>
              </w:rPr>
              <w:t>工程质量评估报告</w:t>
            </w:r>
            <w:r>
              <w:rPr>
                <w:rFonts w:ascii="仿宋_GB2312" w:hAnsi="仿宋_GB2312" w:cs="仿宋_GB2312" w:eastAsia="仿宋_GB2312"/>
                <w:sz w:val="24"/>
                <w:color w:val="000000"/>
              </w:rPr>
              <w:t>。</w:t>
            </w:r>
          </w:p>
          <w:p>
            <w:pPr>
              <w:pStyle w:val="null3"/>
              <w:ind w:left="-360"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配合竣工验收，督促整改问题。</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缺陷责任期内监督维修，核查质量与效果，签署验收意见。</w:t>
            </w:r>
          </w:p>
          <w:p>
            <w:pPr>
              <w:pStyle w:val="null3"/>
              <w:jc w:val="left"/>
              <w:outlineLvl w:val="2"/>
            </w:pPr>
            <w:r>
              <w:rPr>
                <w:rFonts w:ascii="仿宋_GB2312" w:hAnsi="仿宋_GB2312" w:cs="仿宋_GB2312" w:eastAsia="仿宋_GB2312"/>
                <w:sz w:val="24"/>
                <w:b/>
                <w:color w:val="000000"/>
              </w:rPr>
              <w:t>八</w:t>
            </w:r>
            <w:r>
              <w:rPr>
                <w:rFonts w:ascii="仿宋_GB2312" w:hAnsi="仿宋_GB2312" w:cs="仿宋_GB2312" w:eastAsia="仿宋_GB2312"/>
                <w:sz w:val="24"/>
                <w:b/>
                <w:color w:val="000000"/>
              </w:rPr>
              <w:t>、执行标准（现行有效版本）</w:t>
            </w:r>
          </w:p>
          <w:p>
            <w:pPr>
              <w:pStyle w:val="null3"/>
              <w:ind w:left="-360" w:firstLine="480"/>
              <w:jc w:val="left"/>
            </w:pPr>
            <w:r>
              <w:rPr>
                <w:rFonts w:ascii="仿宋_GB2312" w:hAnsi="仿宋_GB2312" w:cs="仿宋_GB2312" w:eastAsia="仿宋_GB2312"/>
                <w:sz w:val="24"/>
                <w:color w:val="000000"/>
              </w:rPr>
              <w:t>《建设工程监理规范》（</w:t>
            </w:r>
            <w:r>
              <w:rPr>
                <w:rFonts w:ascii="仿宋_GB2312" w:hAnsi="仿宋_GB2312" w:cs="仿宋_GB2312" w:eastAsia="仿宋_GB2312"/>
                <w:sz w:val="24"/>
                <w:color w:val="000000"/>
              </w:rPr>
              <w:t>GB/T 50319</w:t>
            </w:r>
            <w:r>
              <w:rPr>
                <w:rFonts w:ascii="仿宋_GB2312" w:hAnsi="仿宋_GB2312" w:cs="仿宋_GB2312" w:eastAsia="仿宋_GB2312"/>
                <w:sz w:val="24"/>
                <w:color w:val="000000"/>
              </w:rPr>
              <w:t>）</w:t>
            </w:r>
          </w:p>
          <w:p>
            <w:pPr>
              <w:pStyle w:val="null3"/>
              <w:ind w:left="-360" w:firstLine="480"/>
              <w:jc w:val="left"/>
            </w:pPr>
            <w:r>
              <w:rPr>
                <w:rFonts w:ascii="仿宋_GB2312" w:hAnsi="仿宋_GB2312" w:cs="仿宋_GB2312" w:eastAsia="仿宋_GB2312"/>
                <w:sz w:val="24"/>
                <w:color w:val="000000"/>
              </w:rPr>
              <w:t>《市政工程施工质量验收统一标准》（</w:t>
            </w:r>
            <w:r>
              <w:rPr>
                <w:rFonts w:ascii="仿宋_GB2312" w:hAnsi="仿宋_GB2312" w:cs="仿宋_GB2312" w:eastAsia="仿宋_GB2312"/>
                <w:sz w:val="24"/>
                <w:color w:val="000000"/>
              </w:rPr>
              <w:t>GB 50268</w:t>
            </w:r>
            <w:r>
              <w:rPr>
                <w:rFonts w:ascii="仿宋_GB2312" w:hAnsi="仿宋_GB2312" w:cs="仿宋_GB2312" w:eastAsia="仿宋_GB2312"/>
                <w:sz w:val="24"/>
                <w:color w:val="000000"/>
              </w:rPr>
              <w:t>）</w:t>
            </w:r>
          </w:p>
          <w:p>
            <w:pPr>
              <w:pStyle w:val="null3"/>
              <w:ind w:left="-360" w:firstLine="480"/>
              <w:jc w:val="left"/>
            </w:pPr>
            <w:r>
              <w:rPr>
                <w:rFonts w:ascii="仿宋_GB2312" w:hAnsi="仿宋_GB2312" w:cs="仿宋_GB2312" w:eastAsia="仿宋_GB2312"/>
                <w:sz w:val="24"/>
                <w:color w:val="000000"/>
              </w:rPr>
              <w:t>《建筑工程施工质量验收统一标准》（</w:t>
            </w:r>
            <w:r>
              <w:rPr>
                <w:rFonts w:ascii="仿宋_GB2312" w:hAnsi="仿宋_GB2312" w:cs="仿宋_GB2312" w:eastAsia="仿宋_GB2312"/>
                <w:sz w:val="24"/>
                <w:color w:val="000000"/>
              </w:rPr>
              <w:t>GB 50300</w:t>
            </w:r>
            <w:r>
              <w:rPr>
                <w:rFonts w:ascii="仿宋_GB2312" w:hAnsi="仿宋_GB2312" w:cs="仿宋_GB2312" w:eastAsia="仿宋_GB2312"/>
                <w:sz w:val="24"/>
                <w:color w:val="000000"/>
              </w:rPr>
              <w:t>）</w:t>
            </w:r>
          </w:p>
          <w:p>
            <w:pPr>
              <w:pStyle w:val="null3"/>
              <w:ind w:left="-360" w:firstLine="480"/>
              <w:jc w:val="left"/>
            </w:pPr>
            <w:r>
              <w:rPr>
                <w:rFonts w:ascii="仿宋_GB2312" w:hAnsi="仿宋_GB2312" w:cs="仿宋_GB2312" w:eastAsia="仿宋_GB2312"/>
                <w:sz w:val="24"/>
                <w:color w:val="000000"/>
              </w:rPr>
              <w:t>《边坡工程技术规范》（</w:t>
            </w:r>
            <w:r>
              <w:rPr>
                <w:rFonts w:ascii="仿宋_GB2312" w:hAnsi="仿宋_GB2312" w:cs="仿宋_GB2312" w:eastAsia="仿宋_GB2312"/>
                <w:sz w:val="24"/>
                <w:color w:val="000000"/>
              </w:rPr>
              <w:t>GB 50330</w:t>
            </w:r>
            <w:r>
              <w:rPr>
                <w:rFonts w:ascii="仿宋_GB2312" w:hAnsi="仿宋_GB2312" w:cs="仿宋_GB2312" w:eastAsia="仿宋_GB2312"/>
                <w:sz w:val="24"/>
                <w:color w:val="000000"/>
              </w:rPr>
              <w:t>）</w:t>
            </w:r>
          </w:p>
          <w:p>
            <w:pPr>
              <w:pStyle w:val="null3"/>
              <w:ind w:left="-360" w:firstLine="480"/>
              <w:jc w:val="left"/>
            </w:pPr>
            <w:r>
              <w:rPr>
                <w:rFonts w:ascii="仿宋_GB2312" w:hAnsi="仿宋_GB2312" w:cs="仿宋_GB2312" w:eastAsia="仿宋_GB2312"/>
                <w:sz w:val="24"/>
                <w:color w:val="000000"/>
              </w:rPr>
              <w:t>《园林绿化工程施工及验收规范》（</w:t>
            </w:r>
            <w:r>
              <w:rPr>
                <w:rFonts w:ascii="仿宋_GB2312" w:hAnsi="仿宋_GB2312" w:cs="仿宋_GB2312" w:eastAsia="仿宋_GB2312"/>
                <w:sz w:val="24"/>
                <w:color w:val="000000"/>
              </w:rPr>
              <w:t>CJJ 82</w:t>
            </w:r>
            <w:r>
              <w:rPr>
                <w:rFonts w:ascii="仿宋_GB2312" w:hAnsi="仿宋_GB2312" w:cs="仿宋_GB2312" w:eastAsia="仿宋_GB2312"/>
                <w:sz w:val="24"/>
                <w:color w:val="000000"/>
              </w:rPr>
              <w:t>）</w:t>
            </w:r>
          </w:p>
          <w:p>
            <w:pPr>
              <w:pStyle w:val="null3"/>
              <w:ind w:left="-360" w:firstLine="480"/>
              <w:jc w:val="left"/>
            </w:pPr>
            <w:r>
              <w:rPr>
                <w:rFonts w:ascii="仿宋_GB2312" w:hAnsi="仿宋_GB2312" w:cs="仿宋_GB2312" w:eastAsia="仿宋_GB2312"/>
                <w:sz w:val="24"/>
                <w:color w:val="000000"/>
              </w:rPr>
              <w:t>《建设工程安全生产管理条例》</w:t>
            </w:r>
          </w:p>
          <w:p>
            <w:pPr>
              <w:pStyle w:val="null3"/>
              <w:ind w:left="-360" w:firstLine="480"/>
              <w:jc w:val="left"/>
            </w:pPr>
            <w:r>
              <w:rPr>
                <w:rFonts w:ascii="仿宋_GB2312" w:hAnsi="仿宋_GB2312" w:cs="仿宋_GB2312" w:eastAsia="仿宋_GB2312"/>
                <w:sz w:val="24"/>
                <w:color w:val="000000"/>
              </w:rPr>
              <w:t>三行审投</w:t>
            </w:r>
            <w:r>
              <w:rPr>
                <w:rFonts w:ascii="仿宋_GB2312" w:hAnsi="仿宋_GB2312" w:cs="仿宋_GB2312" w:eastAsia="仿宋_GB2312"/>
                <w:sz w:val="24"/>
                <w:color w:val="000000"/>
              </w:rPr>
              <w:t xml:space="preserve"> (2025) 382 </w:t>
            </w:r>
            <w:r>
              <w:rPr>
                <w:rFonts w:ascii="仿宋_GB2312" w:hAnsi="仿宋_GB2312" w:cs="仿宋_GB2312" w:eastAsia="仿宋_GB2312"/>
                <w:sz w:val="24"/>
                <w:color w:val="000000"/>
              </w:rPr>
              <w:t>号及本项目施工图纸、设计变更</w:t>
            </w:r>
          </w:p>
          <w:p>
            <w:pPr>
              <w:pStyle w:val="null3"/>
              <w:ind w:left="-360" w:firstLine="480"/>
              <w:jc w:val="left"/>
            </w:pPr>
            <w:r>
              <w:rPr>
                <w:rFonts w:ascii="仿宋_GB2312" w:hAnsi="仿宋_GB2312" w:cs="仿宋_GB2312" w:eastAsia="仿宋_GB2312"/>
                <w:sz w:val="24"/>
                <w:color w:val="000000"/>
              </w:rPr>
              <w:t>陕西省、咸阳市、三原县相关地方标准与管理规定</w:t>
            </w:r>
          </w:p>
          <w:p>
            <w:pPr>
              <w:pStyle w:val="null3"/>
              <w:jc w:val="left"/>
              <w:outlineLvl w:val="2"/>
            </w:pPr>
            <w:r>
              <w:rPr>
                <w:rFonts w:ascii="仿宋_GB2312" w:hAnsi="仿宋_GB2312" w:cs="仿宋_GB2312" w:eastAsia="仿宋_GB2312"/>
                <w:sz w:val="24"/>
                <w:b/>
                <w:color w:val="000000"/>
              </w:rPr>
              <w:t>九</w:t>
            </w:r>
            <w:r>
              <w:rPr>
                <w:rFonts w:ascii="仿宋_GB2312" w:hAnsi="仿宋_GB2312" w:cs="仿宋_GB2312" w:eastAsia="仿宋_GB2312"/>
                <w:sz w:val="24"/>
                <w:b/>
                <w:color w:val="000000"/>
              </w:rPr>
              <w:t>、服务与交付要求</w:t>
            </w:r>
          </w:p>
          <w:p>
            <w:pPr>
              <w:pStyle w:val="null3"/>
              <w:ind w:left="12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监理服务期限</w:t>
            </w:r>
            <w:r>
              <w:rPr>
                <w:rFonts w:ascii="仿宋_GB2312" w:hAnsi="仿宋_GB2312" w:cs="仿宋_GB2312" w:eastAsia="仿宋_GB2312"/>
                <w:sz w:val="24"/>
                <w:color w:val="000000"/>
              </w:rPr>
              <w:t>：</w:t>
            </w:r>
            <w:r>
              <w:rPr>
                <w:rFonts w:ascii="仿宋_GB2312" w:hAnsi="仿宋_GB2312" w:cs="仿宋_GB2312" w:eastAsia="仿宋_GB2312"/>
                <w:sz w:val="24"/>
                <w:color w:val="000000"/>
              </w:rPr>
              <w:t>365</w:t>
            </w:r>
            <w:r>
              <w:rPr>
                <w:rFonts w:ascii="仿宋_GB2312" w:hAnsi="仿宋_GB2312" w:cs="仿宋_GB2312" w:eastAsia="仿宋_GB2312"/>
                <w:sz w:val="24"/>
                <w:color w:val="000000"/>
              </w:rPr>
              <w:t>天实际监理工期与实际工程工期同步</w:t>
            </w:r>
            <w:r>
              <w:rPr>
                <w:rFonts w:ascii="仿宋_GB2312" w:hAnsi="仿宋_GB2312" w:cs="仿宋_GB2312" w:eastAsia="仿宋_GB2312"/>
                <w:sz w:val="24"/>
                <w:color w:val="000000"/>
              </w:rPr>
              <w:t>,</w:t>
            </w:r>
            <w:r>
              <w:rPr>
                <w:rFonts w:ascii="仿宋_GB2312" w:hAnsi="仿宋_GB2312" w:cs="仿宋_GB2312" w:eastAsia="仿宋_GB2312"/>
                <w:sz w:val="24"/>
                <w:color w:val="000000"/>
              </w:rPr>
              <w:t>具体监理进场时间以采购人通知时间为准，完成委托监理以工程缺陷责任期满为止。</w:t>
            </w:r>
            <w:r>
              <w:rPr>
                <w:rFonts w:ascii="仿宋_GB2312" w:hAnsi="仿宋_GB2312" w:cs="仿宋_GB2312" w:eastAsia="仿宋_GB2312"/>
                <w:sz w:val="24"/>
                <w:color w:val="000000"/>
              </w:rPr>
              <w:t>。</w:t>
            </w:r>
          </w:p>
          <w:p>
            <w:pPr>
              <w:pStyle w:val="null3"/>
              <w:ind w:left="12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按期提交监理规划、监理细则、日志、旁站记录、验收资料、质量评估报告、监理总结。</w:t>
            </w:r>
          </w:p>
          <w:p>
            <w:pPr>
              <w:pStyle w:val="null3"/>
              <w:ind w:left="-360"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响应建设单位指令，关键工序</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小时内到场监理。</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供应商根据项目情况及招标文件要求实际配备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供应商根据项目情况及招标文件要求实际配备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365天实际监理工期与实际工程工期同步,具体监理进场时间以采购人通知时间为准，完成委托监理以工程缺陷责任期满为止。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符合项目要求及甲方要求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按施工进度比例支付，但不超过合同总价的80%，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工程竣工验收后付清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在履行过程中发生的与之有关的任何争议，双方友好协商解决，协商不成的，由采购人所在地仲裁机构裁决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公司资质</w:t>
            </w:r>
          </w:p>
        </w:tc>
        <w:tc>
          <w:tcPr>
            <w:tcW w:type="dxa" w:w="3322"/>
          </w:tcPr>
          <w:p>
            <w:pPr>
              <w:pStyle w:val="null3"/>
            </w:pPr>
            <w:r>
              <w:rPr>
                <w:rFonts w:ascii="仿宋_GB2312" w:hAnsi="仿宋_GB2312" w:cs="仿宋_GB2312" w:eastAsia="仿宋_GB2312"/>
              </w:rPr>
              <w:t>供应商须具备建设行政主管部门核发工程监理综合资质或市政公用工程专业、房屋建筑工程专业监理乙级及以上资质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拟派往本项目的总监理工程师必须为本企业注册的监理工程师，具备市政公用工程专业、房屋建筑工程专业注册监理工程师资格，提供供应商至开标前半年内任意一个月为其缴纳的社会保险的证明材料（五险一金提供一项即可），且未担任其它在建工程的总监理工程师，无不良信用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其开标前三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提供开标截止时间前6个月内任意1个月的完税证明，完税证明上应有代收机构或税务机关的公章或业务专用章。依法免税或新成立的供应商应提供相关文件证明；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6个月内任意1个月的社会保障资金缴存单据或社保机构开具的社会保险参保缴费情况证明，单据或证明上应有社保机构或代收机构的公章或业务专用章。依法不需要缴纳社会保障资金或新成立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本项目不接受联合体投标，单位负责人为同一人或者存在直接控股、管理关系的不同投标人，不得参加同一合同项下的政府采购活动（提供非联合体投标声明，包括控股管理声明）。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限价</w:t>
            </w:r>
          </w:p>
        </w:tc>
        <w:tc>
          <w:tcPr>
            <w:tcW w:type="dxa" w:w="3322"/>
          </w:tcPr>
          <w:p>
            <w:pPr>
              <w:pStyle w:val="null3"/>
            </w:pPr>
            <w:r>
              <w:rPr>
                <w:rFonts w:ascii="仿宋_GB2312" w:hAnsi="仿宋_GB2312" w:cs="仿宋_GB2312" w:eastAsia="仿宋_GB2312"/>
              </w:rPr>
              <w:t>磋商报价不超过采购预算/限价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服务内容及服务邀请应答表 商务应答表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w:t>
            </w:r>
          </w:p>
        </w:tc>
        <w:tc>
          <w:tcPr>
            <w:tcW w:type="dxa" w:w="3322"/>
          </w:tcPr>
          <w:p>
            <w:pPr>
              <w:pStyle w:val="null3"/>
            </w:pPr>
            <w:r>
              <w:rPr>
                <w:rFonts w:ascii="仿宋_GB2312" w:hAnsi="仿宋_GB2312" w:cs="仿宋_GB2312" w:eastAsia="仿宋_GB2312"/>
              </w:rPr>
              <w:t>对磋商文件技术要求作出明确响应，对不得偏离的要求是否作了实质性响应</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总监理工程师及监理部人员</w:t>
            </w:r>
          </w:p>
        </w:tc>
        <w:tc>
          <w:tcPr>
            <w:tcW w:type="dxa" w:w="2492"/>
          </w:tcPr>
          <w:p>
            <w:pPr>
              <w:pStyle w:val="null3"/>
            </w:pPr>
            <w:r>
              <w:rPr>
                <w:rFonts w:ascii="仿宋_GB2312" w:hAnsi="仿宋_GB2312" w:cs="仿宋_GB2312" w:eastAsia="仿宋_GB2312"/>
              </w:rPr>
              <w:t>（1）具备高级及以上工程师职称证书得4分，中级工程师职称证书得2分，其余不得分； （2）具备本科学历及以上学历得3分，专科学历得2分，其余不得分； （3）作为总监理工程师近3年承接过类似项目监理业绩，提供1项符合要求的业绩得3分。（提供监理中标通知书或监理合同复印件等证明材料，并加盖单位公章，须体现总监理工程师姓名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提供质量控制方案</w:t>
            </w:r>
          </w:p>
        </w:tc>
        <w:tc>
          <w:tcPr>
            <w:tcW w:type="dxa" w:w="2492"/>
          </w:tcPr>
          <w:p>
            <w:pPr>
              <w:pStyle w:val="null3"/>
            </w:pPr>
            <w:r>
              <w:rPr>
                <w:rFonts w:ascii="仿宋_GB2312" w:hAnsi="仿宋_GB2312" w:cs="仿宋_GB2312" w:eastAsia="仿宋_GB2312"/>
              </w:rPr>
              <w:t>针对本项目提供质量控制方案，内容包括但不限于①监理质量控制目标②质量控制体系③过程质量控制④质量验收流程⑤质量保障措施等内容，方案内容详细完整、针对性强、可行性高，符合项目实际要求。总分10分， 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造价控制方案</w:t>
            </w:r>
          </w:p>
        </w:tc>
        <w:tc>
          <w:tcPr>
            <w:tcW w:type="dxa" w:w="2492"/>
          </w:tcPr>
          <w:p>
            <w:pPr>
              <w:pStyle w:val="null3"/>
            </w:pPr>
            <w:r>
              <w:rPr>
                <w:rFonts w:ascii="仿宋_GB2312" w:hAnsi="仿宋_GB2312" w:cs="仿宋_GB2312" w:eastAsia="仿宋_GB2312"/>
              </w:rPr>
              <w:t>针对本项目提供造价控制方案，内容包括但不限于①造价控制目标②造价控原则③造价控制计划④造价风险分析⑤造价控制措施等内容，方案内容详细完整、针对性强、可行性高，符合项目实际要求。总分10分，每项满分2分，缺项不得分 , 每项内容存在缺陷，扣1分。缺陷是指内容不合理、虽有内容但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文明施工、安全生产监督管理方案</w:t>
            </w:r>
          </w:p>
        </w:tc>
        <w:tc>
          <w:tcPr>
            <w:tcW w:type="dxa" w:w="2492"/>
          </w:tcPr>
          <w:p>
            <w:pPr>
              <w:pStyle w:val="null3"/>
            </w:pPr>
            <w:r>
              <w:rPr>
                <w:rFonts w:ascii="仿宋_GB2312" w:hAnsi="仿宋_GB2312" w:cs="仿宋_GB2312" w:eastAsia="仿宋_GB2312"/>
              </w:rPr>
              <w:t>针对本项目提供文明施工、安全生产监督管理方案，内容包括但不限于①责任体系构建②制度规范管控③现场措施监理④动态检查整改⑤应急联动处置措施等内容，方案内容详细完整、针对性强、可行性高，符合项目实际 要求。总分5分，每项满分1分，缺项不得分,每项内容存在缺陷，扣0.5分。缺陷是指内容不合理、虽有内容但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提供信息资料管理方案</w:t>
            </w:r>
          </w:p>
        </w:tc>
        <w:tc>
          <w:tcPr>
            <w:tcW w:type="dxa" w:w="2492"/>
          </w:tcPr>
          <w:p>
            <w:pPr>
              <w:pStyle w:val="null3"/>
            </w:pPr>
            <w:r>
              <w:rPr>
                <w:rFonts w:ascii="仿宋_GB2312" w:hAnsi="仿宋_GB2312" w:cs="仿宋_GB2312" w:eastAsia="仿宋_GB2312"/>
              </w:rPr>
              <w:t>针对本项目提供信息资料管理方案，内容包括但不限于①信息资料管理目标②信息资料管理原则③信息资料管理方法④资料归档与移交方案⑤资料管理监督与改进等内容，方案内容详细完整、针对性强、可行性高，符合项目实际要求。总分5分，每项满分1分，缺项不得分,每项内容存在缺陷，扣0.5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监理程序及工作制度</w:t>
            </w:r>
          </w:p>
        </w:tc>
        <w:tc>
          <w:tcPr>
            <w:tcW w:type="dxa" w:w="2492"/>
          </w:tcPr>
          <w:p>
            <w:pPr>
              <w:pStyle w:val="null3"/>
            </w:pPr>
            <w:r>
              <w:rPr>
                <w:rFonts w:ascii="仿宋_GB2312" w:hAnsi="仿宋_GB2312" w:cs="仿宋_GB2312" w:eastAsia="仿宋_GB2312"/>
              </w:rPr>
              <w:t>针对本项目提供监理程序及工作制度，内容包括但不限于①前期准备与规划程序②施工过程动态监理程序③协调与沟通工作制度④验收与交付监理程序⑤监理内部考核与责任制度等内容，方案内容详细完整、针对性强、可行性高，符合项目实际要求。总分10分，每项满分2分，缺项不得分,每项内容存在缺陷，扣1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提供旁站计划及措施</w:t>
            </w:r>
          </w:p>
        </w:tc>
        <w:tc>
          <w:tcPr>
            <w:tcW w:type="dxa" w:w="2492"/>
          </w:tcPr>
          <w:p>
            <w:pPr>
              <w:pStyle w:val="null3"/>
            </w:pPr>
            <w:r>
              <w:rPr>
                <w:rFonts w:ascii="仿宋_GB2312" w:hAnsi="仿宋_GB2312" w:cs="仿宋_GB2312" w:eastAsia="仿宋_GB2312"/>
              </w:rPr>
              <w:t>针对本项目提供旁站计划及措施，内容包括但不限于①旁站范围与计划编制②旁站人员资质与培训③全过程监督与记录规范④问题处理与联动机制⑤旁站成果分析与改进等内容，方案内容详细完整、针对性强、可行性高，符合项目实际要求。总分10分，每项满分2分，缺项不得分,每项内容存在缺陷，扣1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提供质保期内的监理服务措施</w:t>
            </w:r>
          </w:p>
        </w:tc>
        <w:tc>
          <w:tcPr>
            <w:tcW w:type="dxa" w:w="2492"/>
          </w:tcPr>
          <w:p>
            <w:pPr>
              <w:pStyle w:val="null3"/>
            </w:pPr>
            <w:r>
              <w:rPr>
                <w:rFonts w:ascii="仿宋_GB2312" w:hAnsi="仿宋_GB2312" w:cs="仿宋_GB2312" w:eastAsia="仿宋_GB2312"/>
              </w:rPr>
              <w:t>针对本项目提供质保期内的监理服务措施，内容包括但不限于①工程质量检查②缺陷整改追踪③变更管理④编写监理报告和记录⑤监督检查制度以及审查缺陷的修复方案等内容，方案内容详细完整、针对性强、可行性高，符合项目实际要求。总分5分，每项满分1分，缺项不得分,每项内容存在缺陷，扣0.5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近三年内至开标前（有类似项目业绩的，每份计2分，计满10分为止。注：业绩以中标通知书或合同为准，时间以中标通知书发出时间或合同签订时间为准。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进度控制方案</w:t>
            </w:r>
          </w:p>
        </w:tc>
        <w:tc>
          <w:tcPr>
            <w:tcW w:type="dxa" w:w="2492"/>
          </w:tcPr>
          <w:p>
            <w:pPr>
              <w:pStyle w:val="null3"/>
            </w:pPr>
            <w:r>
              <w:rPr>
                <w:rFonts w:ascii="仿宋_GB2312" w:hAnsi="仿宋_GB2312" w:cs="仿宋_GB2312" w:eastAsia="仿宋_GB2312"/>
              </w:rPr>
              <w:t>针对本项目提供进度控制方案，内容包括但不限于①进度控制目标②进度控制原则③进度控制计划④分级管理原则⑤监控计划等内容，方案内容详细完整、针对性强、可行性高，符合项目实际要求。总分10分，每项满分2分，缺项不得分 , 每项内容存在缺陷，扣1分。缺陷是指内容不合理、虽有内容但 不完善、内容表述前后不一致、套 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提供合同、信息管理及协调方案</w:t>
            </w:r>
          </w:p>
        </w:tc>
        <w:tc>
          <w:tcPr>
            <w:tcW w:type="dxa" w:w="2492"/>
          </w:tcPr>
          <w:p>
            <w:pPr>
              <w:pStyle w:val="null3"/>
            </w:pPr>
            <w:r>
              <w:rPr>
                <w:rFonts w:ascii="仿宋_GB2312" w:hAnsi="仿宋_GB2312" w:cs="仿宋_GB2312" w:eastAsia="仿宋_GB2312"/>
              </w:rPr>
              <w:t>针对本项目提供合同、信息管理及协调方案，内容包括但不限于①合同全周期管控②信息标准化管理③多方协同协调机制④信息沟通与反馈⑤文档档案管理等内容，方案内容详细完整、针对性强、可行性高，符合项目实际要求。总分5分，每项满分1分，缺项不得分,每项内容存在缺陷，扣0.5分。缺陷是指内容不合理、虽有内容但 不完善、内容表述前后不一致、套用其他项目方案或与项目需求不匹 配及其他不利于项目实施的任意一种情形。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印发《政府采购竞争性磋商采购方式管理暂行办法》的通知财库〔2014〕214号的有关规定：综合评分法中的价格分统一采用低价优先法计算，即满足磋商文件要求且最后报价最低的供应商的价格为磋商基准价，其价格分为满分。其他供应商的价格分统一按照下列公式计算： 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