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版本号：SXJTZB-ZC-CS2026042620260601001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粉巷院区院内电缆改造项目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SXJTZB-ZC-CS20260426</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粉巷院区院内电缆改造项目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SXJTZB-ZC-CS20260426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粉巷院区院内电缆改造项目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西安市第一医院粉巷院区拟新增核磁共振室1座，室内配置核磁共振主机、冷水机组两类用电设备，需引入2回路低压电源，电源拟由院区 0.4kV 配电室 P5 低压配电柜接引。本项目属于工程类项目，需踏勘现场，预算为27万元，限价为26.8万元。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采购包1（粉巷院区院内电缆改造项目）：属于专门面向中小企业采购。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报告复印件；或在响应文件递交截止时间前六个月内其开户银行出具的资信证明（附《基本存款账户信息》或《银行开户许可证》）；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3、税收缴纳证明：提供已缴纳的2025年5月至今任意一个月的纳税证明或完税证明，纳税证明或完税证明上应有代收机构或税务机关的公章或业务专用章。依法免税的供应商应提供相关文件证明；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会保障资金缴纳证明：提供已缴纳的2025年5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5、具备履行合同所必需的设备和专业技术能力的证明材料：供应商须提供具有履行合同所必需的设备和专业技术能力的承诺；</w:t>
      </w:r>
    </w:p>
    <w:p>
      <w:pPr>
        <w:pStyle w:val="null3"/>
      </w:pPr>
      <w:r>
        <w:rPr>
          <w:rFonts w:ascii="仿宋_GB2312" w:hAnsi="仿宋_GB2312" w:cs="仿宋_GB2312" w:eastAsia="仿宋_GB2312"/>
        </w:rPr>
        <w:t>6、书面声明：出具参加本次政府采购活动前三年内在经营活动中没有重大违法记录的书面声明；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磋商的提供法定代表人身份证明及身份证，委托代理人参加磋商的提供法定代表人授权委托书及法定代表人、委托代理人身份证；并提供被授权人在本单位缴纳的连续近3个月（不含磋商当月）的社保记录；</w:t>
      </w:r>
    </w:p>
    <w:p>
      <w:pPr>
        <w:pStyle w:val="null3"/>
      </w:pPr>
      <w:r>
        <w:rPr>
          <w:rFonts w:ascii="仿宋_GB2312" w:hAnsi="仿宋_GB2312" w:cs="仿宋_GB2312" w:eastAsia="仿宋_GB2312"/>
        </w:rPr>
        <w:t>8、企业资质要求：供应商应具备建设行政主管部门核发的电力工程施工总承包三级及以上资质；同时具备承装（修、试）电力设施许可证（承装类、承修类、承试类）五级及以上资质或新证三级及以上，并具备有效的安全生产许可证；</w:t>
      </w:r>
    </w:p>
    <w:p>
      <w:pPr>
        <w:pStyle w:val="null3"/>
      </w:pPr>
      <w:r>
        <w:rPr>
          <w:rFonts w:ascii="仿宋_GB2312" w:hAnsi="仿宋_GB2312" w:cs="仿宋_GB2312" w:eastAsia="仿宋_GB2312"/>
        </w:rPr>
        <w:t>9、拟派项目经理资质和专业要求：具有机电工程专业二级及以上注册建造师执业资格，同时具有合法有效的安全生产考核合格证书（B证），在本单位注册，并提供无在建工程承诺书和磋商截止时间前12个月内连续三个月份在本单位缴纳社保证明材料；</w:t>
      </w:r>
    </w:p>
    <w:p>
      <w:pPr>
        <w:pStyle w:val="null3"/>
      </w:pPr>
      <w:r>
        <w:rPr>
          <w:rFonts w:ascii="仿宋_GB2312" w:hAnsi="仿宋_GB2312" w:cs="仿宋_GB2312" w:eastAsia="仿宋_GB2312"/>
        </w:rPr>
        <w:t>10、本项目不接受联合体磋商：本项目不接受联合体磋商（提供书面声明材料）；</w:t>
      </w:r>
    </w:p>
    <w:p>
      <w:pPr>
        <w:pStyle w:val="null3"/>
      </w:pPr>
      <w:r>
        <w:rPr>
          <w:rFonts w:ascii="仿宋_GB2312" w:hAnsi="仿宋_GB2312" w:cs="仿宋_GB2312" w:eastAsia="仿宋_GB2312"/>
        </w:rPr>
        <w:t>11、承诺书：①供应商与其他投标单位无交叉控股股东、无交叉兼任高级管理人员及涉嫌联合围标、串标行为，无采购单位和招标代理机构职工在该单位兼职的情况，不向采购单位和代理机构相关人员输送利益等行贿行为，一旦成交必须坚守诚信、认真履约（提供承诺书）；②本项目不接受西安市第一医院职工及其亲属投资开办企业参与本单位的采购活动（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西安市未央区凤城五路与明光路十字天朗经开中心25楼12501室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张荷、廖丽、段冬梅、曾小旦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成交供应商在领取成交通知书前，须向采购代理机构支付成交服务费。服务费交纳信息： 公司名称：陕西嘉唐建设项目管理有限公司 账 号: 112011580000141313 开 户 行：西安银行股份有限公司含光门支行。 公司邮箱：shanxijiatang@163.com</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踏勘时间：2026-06-10 16:00:00</w:t>
            </w:r>
          </w:p>
          <w:p>
            <w:pPr>
              <w:pStyle w:val="null3"/>
              <w:ind w:firstLine="975"/>
            </w:pPr>
            <w:r>
              <w:rPr>
                <w:rFonts w:ascii="仿宋_GB2312" w:hAnsi="仿宋_GB2312" w:cs="仿宋_GB2312" w:eastAsia="仿宋_GB2312"/>
              </w:rPr>
              <w:t>踏勘地点：西安市第一医院（粉巷院区）后勤楼一楼院内</w:t>
            </w:r>
          </w:p>
          <w:p>
            <w:pPr>
              <w:pStyle w:val="null3"/>
              <w:ind w:firstLine="975"/>
            </w:pPr>
            <w:r>
              <w:rPr>
                <w:rFonts w:ascii="仿宋_GB2312" w:hAnsi="仿宋_GB2312" w:cs="仿宋_GB2312" w:eastAsia="仿宋_GB2312"/>
              </w:rPr>
              <w:t>联系人：胡老师</w:t>
            </w:r>
          </w:p>
          <w:p>
            <w:pPr>
              <w:pStyle w:val="null3"/>
              <w:ind w:firstLine="975"/>
            </w:pPr>
            <w:r>
              <w:rPr>
                <w:rFonts w:ascii="仿宋_GB2312" w:hAnsi="仿宋_GB2312" w:cs="仿宋_GB2312" w:eastAsia="仿宋_GB2312"/>
              </w:rPr>
              <w:t>联系电话号码：18729280284</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按照采购文件要求验收。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联系人：张荷、廖丽、段冬梅</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地址：西安市未央区凤城五路与明光路十字天朗经开中心25楼12501室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268,000.00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粉巷院区院内电缆改造项目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标的名称：粉巷院区院内电缆改造项目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项目概况</w:t>
                  </w:r>
                </w:p>
                <w:p>
                  <w:pPr>
                    <w:pStyle w:val="null3"/>
                    <w:ind w:firstLine="480"/>
                    <w:jc w:val="left"/>
                  </w:pPr>
                  <w:r>
                    <w:rPr>
                      <w:rFonts w:ascii="仿宋_GB2312" w:hAnsi="仿宋_GB2312" w:cs="仿宋_GB2312" w:eastAsia="仿宋_GB2312"/>
                      <w:sz w:val="24"/>
                    </w:rPr>
                    <w:t>西安市第一医院粉巷院区拟新增核磁共振室</w:t>
                  </w:r>
                  <w:r>
                    <w:rPr>
                      <w:rFonts w:ascii="仿宋_GB2312" w:hAnsi="仿宋_GB2312" w:cs="仿宋_GB2312" w:eastAsia="仿宋_GB2312"/>
                      <w:sz w:val="24"/>
                    </w:rPr>
                    <w:t>1座，室内配置核磁共振主机、冷</w:t>
                  </w:r>
                  <w:r>
                    <w:rPr>
                      <w:rFonts w:ascii="仿宋_GB2312" w:hAnsi="仿宋_GB2312" w:cs="仿宋_GB2312" w:eastAsia="仿宋_GB2312"/>
                      <w:sz w:val="24"/>
                    </w:rPr>
                    <w:t>水</w:t>
                  </w:r>
                  <w:r>
                    <w:rPr>
                      <w:rFonts w:ascii="仿宋_GB2312" w:hAnsi="仿宋_GB2312" w:cs="仿宋_GB2312" w:eastAsia="仿宋_GB2312"/>
                      <w:sz w:val="24"/>
                    </w:rPr>
                    <w:t>机组两类用电设备，需引入</w:t>
                  </w:r>
                  <w:r>
                    <w:rPr>
                      <w:rFonts w:ascii="仿宋_GB2312" w:hAnsi="仿宋_GB2312" w:cs="仿宋_GB2312" w:eastAsia="仿宋_GB2312"/>
                      <w:sz w:val="24"/>
                    </w:rPr>
                    <w:t>2回路低压电源，电源拟由院区 0.4kV 配电室 P5 低压配电柜接引</w:t>
                  </w:r>
                  <w:r>
                    <w:rPr>
                      <w:rFonts w:ascii="仿宋_GB2312" w:hAnsi="仿宋_GB2312" w:cs="仿宋_GB2312" w:eastAsia="仿宋_GB2312"/>
                      <w:sz w:val="24"/>
                    </w:rPr>
                    <w:t>。</w:t>
                  </w:r>
                  <w:r>
                    <w:rPr>
                      <w:rFonts w:ascii="仿宋_GB2312" w:hAnsi="仿宋_GB2312" w:cs="仿宋_GB2312" w:eastAsia="仿宋_GB2312"/>
                      <w:sz w:val="24"/>
                    </w:rPr>
                    <w:t>本项目属于工程类项目</w:t>
                  </w:r>
                  <w:r>
                    <w:rPr>
                      <w:rFonts w:ascii="仿宋_GB2312" w:hAnsi="仿宋_GB2312" w:cs="仿宋_GB2312" w:eastAsia="仿宋_GB2312"/>
                      <w:sz w:val="24"/>
                    </w:rPr>
                    <w:t>，</w:t>
                  </w:r>
                  <w:r>
                    <w:rPr>
                      <w:rFonts w:ascii="仿宋_GB2312" w:hAnsi="仿宋_GB2312" w:cs="仿宋_GB2312" w:eastAsia="仿宋_GB2312"/>
                      <w:sz w:val="24"/>
                    </w:rPr>
                    <w:t>需踏勘现场</w:t>
                  </w:r>
                  <w:r>
                    <w:rPr>
                      <w:rFonts w:ascii="仿宋_GB2312" w:hAnsi="仿宋_GB2312" w:cs="仿宋_GB2312" w:eastAsia="仿宋_GB2312"/>
                      <w:sz w:val="24"/>
                    </w:rPr>
                    <w:t>，</w:t>
                  </w:r>
                  <w:r>
                    <w:rPr>
                      <w:rFonts w:ascii="仿宋_GB2312" w:hAnsi="仿宋_GB2312" w:cs="仿宋_GB2312" w:eastAsia="仿宋_GB2312"/>
                      <w:sz w:val="24"/>
                    </w:rPr>
                    <w:t>预算为</w:t>
                  </w:r>
                  <w:r>
                    <w:rPr>
                      <w:rFonts w:ascii="仿宋_GB2312" w:hAnsi="仿宋_GB2312" w:cs="仿宋_GB2312" w:eastAsia="仿宋_GB2312"/>
                      <w:sz w:val="24"/>
                    </w:rPr>
                    <w:t>27万元，限价为26.8万元</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具体要求</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施工</w:t>
                  </w:r>
                  <w:r>
                    <w:rPr>
                      <w:rFonts w:ascii="仿宋_GB2312" w:hAnsi="仿宋_GB2312" w:cs="仿宋_GB2312" w:eastAsia="仿宋_GB2312"/>
                      <w:sz w:val="24"/>
                    </w:rPr>
                    <w:t>技术规范与标准</w:t>
                  </w:r>
                </w:p>
                <w:p>
                  <w:pPr>
                    <w:pStyle w:val="null3"/>
                    <w:jc w:val="left"/>
                  </w:pPr>
                  <w:r>
                    <w:rPr>
                      <w:rFonts w:ascii="仿宋_GB2312" w:hAnsi="仿宋_GB2312" w:cs="仿宋_GB2312" w:eastAsia="仿宋_GB2312"/>
                      <w:sz w:val="24"/>
                    </w:rPr>
                    <w:t>符合国家及行业现行标准。</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工程量清单</w:t>
                  </w:r>
                </w:p>
                <w:tbl>
                  <w:tblPr>
                    <w:tblBorders>
                      <w:top w:val="none" w:color="000000" w:sz="4"/>
                      <w:left w:val="none" w:color="000000" w:sz="4"/>
                      <w:bottom w:val="none" w:color="000000" w:sz="4"/>
                      <w:right w:val="none" w:color="000000" w:sz="4"/>
                      <w:insideH w:val="none"/>
                      <w:insideV w:val="none"/>
                    </w:tblBorders>
                  </w:tblPr>
                  <w:tblGrid>
                    <w:gridCol w:w="126"/>
                    <w:gridCol w:w="597"/>
                    <w:gridCol w:w="999"/>
                    <w:gridCol w:w="131"/>
                    <w:gridCol w:w="157"/>
                    <w:gridCol w:w="326"/>
                  </w:tblGrid>
                  <w:tr>
                    <w:tc>
                      <w:tcPr>
                        <w:tcW w:type="dxa" w:w="126"/>
                        <w:vMerge w:val="restart"/>
                        <w:tcBorders>
                          <w:top w:val="single" w:color="000000" w:sz="4"/>
                          <w:left w:val="single" w:color="000000" w:sz="4"/>
                          <w:bottom w:val="single" w:color="000000" w:sz="4"/>
                          <w:right w:val="non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序号</w:t>
                        </w:r>
                      </w:p>
                    </w:tc>
                    <w:tc>
                      <w:tcPr>
                        <w:tcW w:type="dxa" w:w="597"/>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项目</w:t>
                        </w:r>
                        <w:r>
                          <w:rPr>
                            <w:rFonts w:ascii="仿宋_GB2312" w:hAnsi="仿宋_GB2312" w:cs="仿宋_GB2312" w:eastAsia="仿宋_GB2312"/>
                            <w:sz w:val="22"/>
                            <w:b/>
                            <w:color w:val="000000"/>
                          </w:rPr>
                          <w:t>名称</w:t>
                        </w:r>
                      </w:p>
                    </w:tc>
                    <w:tc>
                      <w:tcPr>
                        <w:tcW w:type="dxa" w:w="999"/>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规格型号</w:t>
                        </w:r>
                      </w:p>
                    </w:tc>
                    <w:tc>
                      <w:tcPr>
                        <w:tcW w:type="dxa" w:w="131"/>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单位</w:t>
                        </w:r>
                      </w:p>
                    </w:tc>
                    <w:tc>
                      <w:tcPr>
                        <w:tcW w:type="dxa" w:w="157"/>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工程量</w:t>
                        </w:r>
                      </w:p>
                    </w:tc>
                    <w:tc>
                      <w:tcPr>
                        <w:tcW w:type="dxa" w:w="326"/>
                        <w:vMerge w:val="restart"/>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b/>
                            <w:color w:val="000000"/>
                          </w:rPr>
                          <w:t>备注</w:t>
                        </w:r>
                      </w:p>
                    </w:tc>
                  </w:tr>
                  <w:tr>
                    <w:tc>
                      <w:tcPr>
                        <w:tcW w:type="dxa" w:w="126"/>
                        <w:vMerge/>
                        <w:tcBorders>
                          <w:top w:val="single" w:color="000000" w:sz="4"/>
                          <w:left w:val="single" w:color="000000" w:sz="4"/>
                          <w:bottom w:val="single" w:color="000000" w:sz="4"/>
                          <w:right w:val="none" w:color="000000" w:sz="4"/>
                        </w:tcBorders>
                      </w:tcPr>
                      <w:p/>
                    </w:tc>
                    <w:tc>
                      <w:tcPr>
                        <w:tcW w:type="dxa" w:w="597"/>
                        <w:vMerge/>
                        <w:tcBorders>
                          <w:top w:val="single" w:color="000000" w:sz="4"/>
                          <w:left w:val="single" w:color="000000" w:sz="4"/>
                          <w:bottom w:val="single" w:color="000000" w:sz="4"/>
                          <w:right w:val="single" w:color="000000" w:sz="4"/>
                        </w:tcBorders>
                      </w:tcPr>
                      <w:p/>
                    </w:tc>
                    <w:tc>
                      <w:tcPr>
                        <w:tcW w:type="dxa" w:w="999"/>
                        <w:vMerge/>
                        <w:tcBorders>
                          <w:top w:val="single" w:color="000000" w:sz="4"/>
                          <w:left w:val="none" w:color="000000" w:sz="4"/>
                          <w:bottom w:val="single" w:color="000000" w:sz="4"/>
                          <w:right w:val="single" w:color="000000" w:sz="4"/>
                        </w:tcBorders>
                      </w:tcPr>
                      <w:p/>
                    </w:tc>
                    <w:tc>
                      <w:tcPr>
                        <w:tcW w:type="dxa" w:w="131"/>
                        <w:vMerge/>
                        <w:tcBorders>
                          <w:top w:val="single" w:color="000000" w:sz="4"/>
                          <w:left w:val="none" w:color="000000" w:sz="4"/>
                          <w:bottom w:val="single" w:color="000000" w:sz="4"/>
                          <w:right w:val="single" w:color="000000" w:sz="4"/>
                        </w:tcBorders>
                      </w:tcPr>
                      <w:p/>
                    </w:tc>
                    <w:tc>
                      <w:tcPr>
                        <w:tcW w:type="dxa" w:w="157"/>
                        <w:vMerge/>
                        <w:tcBorders>
                          <w:top w:val="single" w:color="000000" w:sz="4"/>
                          <w:left w:val="none" w:color="000000" w:sz="4"/>
                          <w:bottom w:val="single" w:color="000000" w:sz="4"/>
                          <w:right w:val="single" w:color="000000" w:sz="4"/>
                        </w:tcBorders>
                      </w:tcPr>
                      <w:p/>
                    </w:tc>
                    <w:tc>
                      <w:tcPr>
                        <w:tcW w:type="dxa" w:w="326"/>
                        <w:vMerge/>
                        <w:tcBorders>
                          <w:top w:val="single" w:color="000000" w:sz="4"/>
                          <w:left w:val="none" w:color="000000" w:sz="4"/>
                          <w:bottom w:val="single" w:color="000000" w:sz="4"/>
                          <w:right w:val="single" w:color="000000" w:sz="4"/>
                        </w:tcBorders>
                      </w:tcP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混凝土路面开挖及恢复</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米</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41</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大理石路面开挖及恢复</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米</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26</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3</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电缆沟开挖回填</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米</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82</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4</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电缆保护管</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PE160</w:t>
                        </w: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米</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180</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5</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手孔井</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座</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6</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垃圾清运</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项</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7</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电力电缆</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WDZC-YJY23-0.6/1kV-4*120+1*70</w:t>
                        </w: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米</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115</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8</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电力电缆</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WDZC-YJY23-0.6/1kV-4*70+1*35</w:t>
                        </w: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米</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115</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9</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电力电缆终端头</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WDZC-YJY23-0.6/1kV-4*120+1*70</w:t>
                        </w: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套</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10</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电力电缆终端头</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WDZC-YJY23-0.6/1kV-4*70+1*35</w:t>
                        </w: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套</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11</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户外动力配电柜（箱）</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XL-21（XM）后附配置表</w:t>
                        </w: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台</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包括电器元件</w:t>
                        </w: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12</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户外动力配电柜基础</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座</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2</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13</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系统调试</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项</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r>
                    <w:tc>
                      <w:tcPr>
                        <w:tcW w:type="dxa" w:w="12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14</w:t>
                        </w:r>
                      </w:p>
                    </w:tc>
                    <w:tc>
                      <w:tcPr>
                        <w:tcW w:type="dxa" w:w="59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2"/>
                            <w:color w:val="000000"/>
                          </w:rPr>
                          <w:t>电缆敷设接线测试</w:t>
                        </w:r>
                      </w:p>
                    </w:tc>
                    <w:tc>
                      <w:tcPr>
                        <w:tcW w:type="dxa" w:w="99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31"/>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项</w:t>
                        </w:r>
                      </w:p>
                    </w:tc>
                    <w:tc>
                      <w:tcPr>
                        <w:tcW w:type="dxa" w:w="15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2"/>
                            <w:color w:val="000000"/>
                          </w:rPr>
                          <w:t>1</w:t>
                        </w:r>
                      </w:p>
                    </w:tc>
                    <w:tc>
                      <w:tcPr>
                        <w:tcW w:type="dxa" w:w="32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p>
                    </w:tc>
                  </w:tr>
                </w:tbl>
                <w:p>
                  <w:pPr>
                    <w:pStyle w:val="null3"/>
                  </w:pPr>
                  <w:r>
                    <w:rPr>
                      <w:rFonts w:ascii="仿宋_GB2312" w:hAnsi="仿宋_GB2312" w:cs="仿宋_GB2312" w:eastAsia="仿宋_GB2312"/>
                      <w:sz w:val="24"/>
                      <w:color w:val="000000"/>
                    </w:rPr>
                    <w:t>注</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rPr>
                    <w:t>本项目为交钥匙工程</w:t>
                  </w:r>
                  <w:r>
                    <w:rPr>
                      <w:rFonts w:ascii="仿宋_GB2312" w:hAnsi="仿宋_GB2312" w:cs="仿宋_GB2312" w:eastAsia="仿宋_GB2312"/>
                      <w:sz w:val="24"/>
                    </w:rPr>
                    <w:t>，</w:t>
                  </w:r>
                  <w:r>
                    <w:rPr>
                      <w:rFonts w:ascii="仿宋_GB2312" w:hAnsi="仿宋_GB2312" w:cs="仿宋_GB2312" w:eastAsia="仿宋_GB2312"/>
                      <w:sz w:val="24"/>
                    </w:rPr>
                    <w:t>供应商的磋商报价包括</w:t>
                  </w:r>
                  <w:r>
                    <w:rPr>
                      <w:rFonts w:ascii="仿宋_GB2312" w:hAnsi="仿宋_GB2312" w:cs="仿宋_GB2312" w:eastAsia="仿宋_GB2312"/>
                      <w:sz w:val="24"/>
                    </w:rPr>
                    <w:t>设计费</w:t>
                  </w:r>
                  <w:r>
                    <w:rPr>
                      <w:rFonts w:ascii="仿宋_GB2312" w:hAnsi="仿宋_GB2312" w:cs="仿宋_GB2312" w:eastAsia="仿宋_GB2312"/>
                      <w:sz w:val="24"/>
                    </w:rPr>
                    <w:t>、</w:t>
                  </w:r>
                  <w:r>
                    <w:rPr>
                      <w:rFonts w:ascii="仿宋_GB2312" w:hAnsi="仿宋_GB2312" w:cs="仿宋_GB2312" w:eastAsia="仿宋_GB2312"/>
                      <w:sz w:val="24"/>
                    </w:rPr>
                    <w:t>施工机械使用费、人工费、材料与设备费、维护费、其他（运杂费、质检费、安装费、缺陷修复费、保险费，以及合同明示或暗示的风险、责任和义务等），以及管理费、税金、利润等所有费用，并符合建设工程计价规则。</w:t>
                  </w:r>
                </w:p>
                <w:tbl>
                  <w:tblPr>
                    <w:tblBorders>
                      <w:top w:val="none" w:color="000000" w:sz="4"/>
                      <w:left w:val="none" w:color="000000" w:sz="4"/>
                      <w:bottom w:val="none" w:color="000000" w:sz="4"/>
                      <w:right w:val="none" w:color="000000" w:sz="4"/>
                      <w:insideH w:val="none"/>
                      <w:insideV w:val="none"/>
                    </w:tblBorders>
                  </w:tblPr>
                  <w:tblGrid>
                    <w:gridCol w:w="76"/>
                    <w:gridCol w:w="205"/>
                    <w:gridCol w:w="205"/>
                    <w:gridCol w:w="205"/>
                    <w:gridCol w:w="205"/>
                    <w:gridCol w:w="205"/>
                    <w:gridCol w:w="205"/>
                    <w:gridCol w:w="205"/>
                    <w:gridCol w:w="205"/>
                    <w:gridCol w:w="205"/>
                    <w:gridCol w:w="205"/>
                    <w:gridCol w:w="205"/>
                  </w:tblGrid>
                  <w:tr>
                    <w:tc>
                      <w:tcPr>
                        <w:tcW w:type="dxa" w:w="2331"/>
                        <w:gridSpan w:val="1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动力柜及照明箱配置表</w:t>
                        </w:r>
                      </w:p>
                    </w:tc>
                  </w:tr>
                  <w:tr>
                    <w:tc>
                      <w:tcPr>
                        <w:tcW w:type="dxa" w:w="281"/>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动力柜</w:t>
                        </w:r>
                        <w:r>
                          <w:rPr>
                            <w:rFonts w:ascii="仿宋_GB2312" w:hAnsi="仿宋_GB2312" w:cs="仿宋_GB2312" w:eastAsia="仿宋_GB2312"/>
                            <w:sz w:val="22"/>
                            <w:color w:val="000000"/>
                          </w:rPr>
                          <w:t>1</w:t>
                        </w:r>
                      </w:p>
                    </w:tc>
                    <w:tc>
                      <w:tcPr>
                        <w:tcW w:type="dxa" w:w="41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1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1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1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序号</w:t>
                        </w:r>
                      </w:p>
                    </w:tc>
                    <w:tc>
                      <w:tcPr>
                        <w:tcW w:type="dxa" w:w="4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元件名称</w:t>
                        </w:r>
                      </w:p>
                    </w:tc>
                    <w:tc>
                      <w:tcPr>
                        <w:tcW w:type="dxa" w:w="4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型号规格</w:t>
                        </w:r>
                      </w:p>
                    </w:tc>
                    <w:tc>
                      <w:tcPr>
                        <w:tcW w:type="dxa" w:w="4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单位</w:t>
                        </w:r>
                      </w:p>
                    </w:tc>
                    <w:tc>
                      <w:tcPr>
                        <w:tcW w:type="dxa" w:w="4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数量</w:t>
                        </w:r>
                      </w:p>
                    </w:tc>
                    <w:tc>
                      <w:tcPr>
                        <w:tcW w:type="dxa" w:w="4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备注</w:t>
                        </w:r>
                      </w:p>
                    </w:tc>
                  </w:tr>
                  <w:tr>
                    <w:tc>
                      <w:tcPr>
                        <w:tcW w:type="dxa" w:w="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交流塑壳断路器</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-400L/3300 250A</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只</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最终结合实际用电设备调整</w:t>
                        </w:r>
                      </w:p>
                    </w:tc>
                  </w:tr>
                  <w:tr>
                    <w:tc>
                      <w:tcPr>
                        <w:tcW w:type="dxa" w:w="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交流塑壳断路器</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-160LS/3300 125</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只</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最终结合实际用电设备调整</w:t>
                        </w:r>
                      </w:p>
                    </w:tc>
                  </w:tr>
                  <w:tr>
                    <w:tc>
                      <w:tcPr>
                        <w:tcW w:type="dxa" w:w="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铜排</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组</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辅料</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套</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柜体</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台</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1"/>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照明箱</w:t>
                        </w:r>
                      </w:p>
                    </w:tc>
                    <w:tc>
                      <w:tcPr>
                        <w:tcW w:type="dxa" w:w="41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1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1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10"/>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序号</w:t>
                        </w:r>
                      </w:p>
                    </w:tc>
                    <w:tc>
                      <w:tcPr>
                        <w:tcW w:type="dxa" w:w="4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元件名称</w:t>
                        </w:r>
                      </w:p>
                    </w:tc>
                    <w:tc>
                      <w:tcPr>
                        <w:tcW w:type="dxa" w:w="4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型号规格</w:t>
                        </w:r>
                      </w:p>
                    </w:tc>
                    <w:tc>
                      <w:tcPr>
                        <w:tcW w:type="dxa" w:w="4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单位</w:t>
                        </w:r>
                      </w:p>
                    </w:tc>
                    <w:tc>
                      <w:tcPr>
                        <w:tcW w:type="dxa" w:w="4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数量</w:t>
                        </w:r>
                      </w:p>
                    </w:tc>
                    <w:tc>
                      <w:tcPr>
                        <w:tcW w:type="dxa" w:w="41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备注</w:t>
                        </w:r>
                      </w:p>
                    </w:tc>
                  </w:tr>
                  <w:tr>
                    <w:tc>
                      <w:tcPr>
                        <w:tcW w:type="dxa" w:w="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交流塑壳断路器</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-63L/3300 63A</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只</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最终结合实际用电设备调整</w:t>
                        </w:r>
                      </w:p>
                    </w:tc>
                  </w:tr>
                  <w:tr>
                    <w:tc>
                      <w:tcPr>
                        <w:tcW w:type="dxa" w:w="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交流塑壳断路器</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-25A 3P</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只</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最终结合实际用电设备调整</w:t>
                        </w:r>
                      </w:p>
                    </w:tc>
                  </w:tr>
                  <w:tr>
                    <w:tc>
                      <w:tcPr>
                        <w:tcW w:type="dxa" w:w="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交流塑壳断路器</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-10A 2P</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只</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最终结合实际用电设备调整</w:t>
                        </w:r>
                      </w:p>
                    </w:tc>
                  </w:tr>
                  <w:tr>
                    <w:tc>
                      <w:tcPr>
                        <w:tcW w:type="dxa" w:w="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交流塑壳断路器</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-32A 1P+N 30MA</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只</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最终结合实际用电设备调整</w:t>
                        </w:r>
                      </w:p>
                    </w:tc>
                  </w:tr>
                  <w:tr>
                    <w:tc>
                      <w:tcPr>
                        <w:tcW w:type="dxa" w:w="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铜排</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组</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辅料</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套</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柜体</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台</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w:t>
                        </w:r>
                      </w:p>
                    </w:tc>
                    <w:tc>
                      <w:tcPr>
                        <w:tcW w:type="dxa" w:w="41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主要施工内容</w:t>
                  </w:r>
                </w:p>
                <w:p>
                  <w:pPr>
                    <w:pStyle w:val="null3"/>
                    <w:jc w:val="left"/>
                  </w:pPr>
                  <w:r>
                    <w:rPr>
                      <w:rFonts w:ascii="仿宋_GB2312" w:hAnsi="仿宋_GB2312" w:cs="仿宋_GB2312" w:eastAsia="仿宋_GB2312"/>
                      <w:sz w:val="24"/>
                    </w:rPr>
                    <w:t>1、新建新增核磁共振室室外</w:t>
                  </w:r>
                  <w:r>
                    <w:rPr>
                      <w:rFonts w:ascii="仿宋_GB2312" w:hAnsi="仿宋_GB2312" w:cs="仿宋_GB2312" w:eastAsia="仿宋_GB2312"/>
                      <w:sz w:val="24"/>
                      <w:color w:val="000000"/>
                    </w:rPr>
                    <w:t>户外动力配电柜（箱）</w:t>
                  </w:r>
                  <w:r>
                    <w:rPr>
                      <w:rFonts w:ascii="仿宋_GB2312" w:hAnsi="仿宋_GB2312" w:cs="仿宋_GB2312" w:eastAsia="仿宋_GB2312"/>
                      <w:sz w:val="24"/>
                    </w:rPr>
                    <w:t>2台，包含配电柜（箱）基础制作、配电柜（箱）安装调试等；</w:t>
                  </w:r>
                </w:p>
                <w:p>
                  <w:pPr>
                    <w:pStyle w:val="null3"/>
                    <w:jc w:val="left"/>
                  </w:pPr>
                  <w:r>
                    <w:rPr>
                      <w:rFonts w:ascii="仿宋_GB2312" w:hAnsi="仿宋_GB2312" w:cs="仿宋_GB2312" w:eastAsia="仿宋_GB2312"/>
                      <w:sz w:val="24"/>
                    </w:rPr>
                    <w:t>2、由原0.4KV配电室P5低压配电柜接入新增核磁共振室室外</w:t>
                  </w:r>
                  <w:r>
                    <w:rPr>
                      <w:rFonts w:ascii="仿宋_GB2312" w:hAnsi="仿宋_GB2312" w:cs="仿宋_GB2312" w:eastAsia="仿宋_GB2312"/>
                      <w:sz w:val="24"/>
                      <w:color w:val="000000"/>
                    </w:rPr>
                    <w:t>户外动力配电柜（箱）</w:t>
                  </w:r>
                  <w:r>
                    <w:rPr>
                      <w:rFonts w:ascii="仿宋_GB2312" w:hAnsi="仿宋_GB2312" w:cs="仿宋_GB2312" w:eastAsia="仿宋_GB2312"/>
                      <w:sz w:val="24"/>
                    </w:rPr>
                    <w:t>的全部线路（包含电缆敷设、电缆终端头制作及电缆检测），包含电缆通道建设（电缆沟开挖回填、排管、手孔井制作）等；</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负责垃圾清运</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工作</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四</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施工图</w:t>
                  </w:r>
                </w:p>
                <w:p>
                  <w:pPr>
                    <w:pStyle w:val="null3"/>
                    <w:jc w:val="both"/>
                  </w:pPr>
                  <w:r>
                    <w:drawing>
                      <wp:inline distT="0" distR="0" distB="0" distL="0">
                        <wp:extent cx="48378" cy="3484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48378" cy="34845"/>
                                </a:xfrm>
                                <a:prstGeom prst="rect">
                                  <a:avLst/>
                                </a:prstGeom>
                              </pic:spPr>
                            </pic:pic>
                          </a:graphicData>
                        </a:graphic>
                      </wp:inline>
                    </w:drawing>
                  </w:r>
                </w:p>
                <w:p>
                  <w:pPr>
                    <w:pStyle w:val="null3"/>
                    <w:jc w:val="left"/>
                  </w:pPr>
                  <w:r>
                    <w:rPr>
                      <w:rFonts w:ascii="仿宋_GB2312" w:hAnsi="仿宋_GB2312" w:cs="仿宋_GB2312" w:eastAsia="仿宋_GB2312"/>
                      <w:sz w:val="24"/>
                      <w:color w:val="000000"/>
                    </w:rPr>
                    <w:t>（五）设备与材料要求</w:t>
                  </w:r>
                </w:p>
                <w:p>
                  <w:pPr>
                    <w:pStyle w:val="null3"/>
                    <w:jc w:val="both"/>
                  </w:pP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供应的</w:t>
                  </w:r>
                  <w:r>
                    <w:rPr>
                      <w:rFonts w:ascii="仿宋_GB2312" w:hAnsi="仿宋_GB2312" w:cs="仿宋_GB2312" w:eastAsia="仿宋_GB2312"/>
                      <w:sz w:val="24"/>
                      <w:shd w:fill="FFFFFF" w:val="clear"/>
                    </w:rPr>
                    <w:t>设备、</w:t>
                  </w:r>
                  <w:r>
                    <w:rPr>
                      <w:rFonts w:ascii="仿宋_GB2312" w:hAnsi="仿宋_GB2312" w:cs="仿宋_GB2312" w:eastAsia="仿宋_GB2312"/>
                      <w:sz w:val="24"/>
                      <w:shd w:fill="FFFFFF" w:val="clear"/>
                    </w:rPr>
                    <w:t>材料应按规定按时、按质、按量供应，必须附有产品合格证或质量检验证书才能用于工程。</w:t>
                  </w:r>
                </w:p>
                <w:p>
                  <w:pPr>
                    <w:pStyle w:val="null3"/>
                    <w:jc w:val="both"/>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.所进场的各种原材料、设备必须有出厂合格证书，使用说明，检测、检验报告和设备验收标准。</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可以随机抽检原材料和设备，并有权对其进行检测（检测的费用由</w:t>
                  </w:r>
                  <w:r>
                    <w:rPr>
                      <w:rFonts w:ascii="仿宋_GB2312" w:hAnsi="仿宋_GB2312" w:cs="仿宋_GB2312" w:eastAsia="仿宋_GB2312"/>
                      <w:sz w:val="24"/>
                      <w:shd w:fill="FFFFFF" w:val="clear"/>
                    </w:rPr>
                    <w:t>中标</w:t>
                  </w:r>
                  <w:r>
                    <w:rPr>
                      <w:rFonts w:ascii="仿宋_GB2312" w:hAnsi="仿宋_GB2312" w:cs="仿宋_GB2312" w:eastAsia="仿宋_GB2312"/>
                      <w:sz w:val="24"/>
                      <w:shd w:fill="FFFFFF" w:val="clear"/>
                    </w:rPr>
                    <w:t>（成交）</w:t>
                  </w:r>
                  <w:r>
                    <w:rPr>
                      <w:rFonts w:ascii="仿宋_GB2312" w:hAnsi="仿宋_GB2312" w:cs="仿宋_GB2312" w:eastAsia="仿宋_GB2312"/>
                      <w:sz w:val="24"/>
                      <w:shd w:fill="FFFFFF" w:val="clear"/>
                    </w:rPr>
                    <w:t>人</w:t>
                  </w:r>
                  <w:r>
                    <w:rPr>
                      <w:rFonts w:ascii="仿宋_GB2312" w:hAnsi="仿宋_GB2312" w:cs="仿宋_GB2312" w:eastAsia="仿宋_GB2312"/>
                      <w:sz w:val="24"/>
                      <w:shd w:fill="FFFFFF" w:val="clear"/>
                    </w:rPr>
                    <w:t>承担），不合格的材料、设备不允许进场使用。</w:t>
                  </w:r>
                </w:p>
                <w:p>
                  <w:pPr>
                    <w:pStyle w:val="null3"/>
                    <w:jc w:val="left"/>
                  </w:pP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因材料质量不合格所造成的损失由</w:t>
                  </w:r>
                  <w:r>
                    <w:rPr>
                      <w:rFonts w:ascii="仿宋_GB2312" w:hAnsi="仿宋_GB2312" w:cs="仿宋_GB2312" w:eastAsia="仿宋_GB2312"/>
                      <w:sz w:val="24"/>
                      <w:shd w:fill="FFFFFF" w:val="clear"/>
                    </w:rPr>
                    <w:t>成交</w:t>
                  </w:r>
                  <w:r>
                    <w:rPr>
                      <w:rFonts w:ascii="仿宋_GB2312" w:hAnsi="仿宋_GB2312" w:cs="仿宋_GB2312" w:eastAsia="仿宋_GB2312"/>
                      <w:sz w:val="24"/>
                      <w:shd w:fill="FFFFFF" w:val="clear"/>
                    </w:rPr>
                    <w:t>人</w:t>
                  </w:r>
                  <w:r>
                    <w:rPr>
                      <w:rFonts w:ascii="仿宋_GB2312" w:hAnsi="仿宋_GB2312" w:cs="仿宋_GB2312" w:eastAsia="仿宋_GB2312"/>
                      <w:sz w:val="24"/>
                      <w:shd w:fill="FFFFFF" w:val="clear"/>
                    </w:rPr>
                    <w:t>负责。</w:t>
                  </w:r>
                </w:p>
                <w:p>
                  <w:pPr>
                    <w:pStyle w:val="null3"/>
                    <w:jc w:val="left"/>
                  </w:pPr>
                  <w:r>
                    <w:rPr>
                      <w:rFonts w:ascii="仿宋_GB2312" w:hAnsi="仿宋_GB2312" w:cs="仿宋_GB2312" w:eastAsia="仿宋_GB2312"/>
                      <w:sz w:val="24"/>
                      <w:color w:val="000000"/>
                    </w:rPr>
                    <w:t>（六）安全环保</w:t>
                  </w:r>
                </w:p>
                <w:p>
                  <w:pPr>
                    <w:pStyle w:val="null3"/>
                    <w:ind w:firstLine="600"/>
                    <w:jc w:val="both"/>
                  </w:pPr>
                  <w:r>
                    <w:rPr>
                      <w:rFonts w:ascii="仿宋_GB2312" w:hAnsi="仿宋_GB2312" w:cs="仿宋_GB2312" w:eastAsia="仿宋_GB2312"/>
                      <w:sz w:val="24"/>
                      <w:shd w:fill="FFFFFF" w:val="clear"/>
                    </w:rPr>
                    <w:t>应当具备《中华人民共和国安全生产法》和有关法律、法规和国家标准或行业标准规定的安全生产条件。安全操作规程、生产安全制度和具体的安全措施。努力实现</w:t>
                  </w:r>
                  <w:r>
                    <w:rPr>
                      <w:rFonts w:ascii="仿宋_GB2312" w:hAnsi="仿宋_GB2312" w:cs="仿宋_GB2312" w:eastAsia="仿宋_GB2312"/>
                      <w:sz w:val="24"/>
                      <w:shd w:fill="FFFFFF" w:val="clear"/>
                    </w:rPr>
                    <w:t>“零职业病、零事故、零污染”的安全环保生产业绩目标。</w:t>
                  </w:r>
                </w:p>
                <w:p>
                  <w:pPr>
                    <w:pStyle w:val="null3"/>
                    <w:jc w:val="left"/>
                  </w:pPr>
                  <w:r>
                    <w:rPr>
                      <w:rFonts w:ascii="仿宋_GB2312" w:hAnsi="仿宋_GB2312" w:cs="仿宋_GB2312" w:eastAsia="仿宋_GB2312"/>
                      <w:sz w:val="24"/>
                      <w:color w:val="000000"/>
                    </w:rPr>
                    <w:t>1.安全要求</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1）人员管理：进场施工作业人员需进行实名登记，并在</w:t>
                  </w:r>
                  <w:r>
                    <w:rPr>
                      <w:rFonts w:ascii="仿宋_GB2312" w:hAnsi="仿宋_GB2312" w:cs="仿宋_GB2312" w:eastAsia="仿宋_GB2312"/>
                      <w:sz w:val="24"/>
                      <w:color w:val="000000"/>
                    </w:rPr>
                    <w:t>总务科</w:t>
                  </w:r>
                  <w:r>
                    <w:rPr>
                      <w:rFonts w:ascii="仿宋_GB2312" w:hAnsi="仿宋_GB2312" w:cs="仿宋_GB2312" w:eastAsia="仿宋_GB2312"/>
                      <w:sz w:val="24"/>
                      <w:color w:val="000000"/>
                    </w:rPr>
                    <w:t>备案。</w:t>
                  </w:r>
                  <w:r>
                    <w:rPr>
                      <w:rFonts w:ascii="仿宋_GB2312" w:hAnsi="仿宋_GB2312" w:cs="仿宋_GB2312" w:eastAsia="仿宋_GB2312"/>
                      <w:sz w:val="24"/>
                      <w:color w:val="000000"/>
                    </w:rPr>
                    <w:t>施工人员持证上岗，配备安全帽、荧光马甲、绝缘手套等安全防护装备。</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2）施工管理：</w:t>
                  </w:r>
                </w:p>
                <w:p>
                  <w:pPr>
                    <w:pStyle w:val="null3"/>
                    <w:jc w:val="left"/>
                  </w:pPr>
                  <w:r>
                    <w:rPr>
                      <w:rFonts w:ascii="仿宋_GB2312" w:hAnsi="仿宋_GB2312" w:cs="仿宋_GB2312" w:eastAsia="仿宋_GB2312"/>
                      <w:sz w:val="24"/>
                      <w:color w:val="000000"/>
                    </w:rPr>
                    <w:t>①室外作业实行全封闭围挡施工，设置临时围挡及警示标志。</w:t>
                  </w:r>
                </w:p>
                <w:p>
                  <w:pPr>
                    <w:pStyle w:val="null3"/>
                    <w:jc w:val="left"/>
                  </w:pPr>
                  <w:r>
                    <w:rPr>
                      <w:rFonts w:ascii="仿宋_GB2312" w:hAnsi="仿宋_GB2312" w:cs="仿宋_GB2312" w:eastAsia="仿宋_GB2312"/>
                      <w:sz w:val="24"/>
                      <w:color w:val="000000"/>
                    </w:rPr>
                    <w:t>②制定应急预案，明确触电、火灾等突发事件的处置流程。</w:t>
                  </w:r>
                </w:p>
                <w:p>
                  <w:pPr>
                    <w:pStyle w:val="null3"/>
                    <w:jc w:val="left"/>
                  </w:pPr>
                  <w:r>
                    <w:rPr>
                      <w:rFonts w:ascii="仿宋_GB2312" w:hAnsi="仿宋_GB2312" w:cs="仿宋_GB2312" w:eastAsia="仿宋_GB2312"/>
                      <w:sz w:val="24"/>
                      <w:color w:val="000000"/>
                    </w:rPr>
                    <w:t>2.环保措施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1）噪声控制：符合《建筑施工场界环境噪声排放标准》，并不得影响</w:t>
                  </w:r>
                  <w:r>
                    <w:rPr>
                      <w:rFonts w:ascii="仿宋_GB2312" w:hAnsi="仿宋_GB2312" w:cs="仿宋_GB2312" w:eastAsia="仿宋_GB2312"/>
                      <w:sz w:val="24"/>
                      <w:color w:val="000000"/>
                    </w:rPr>
                    <w:t>医</w:t>
                  </w:r>
                  <w:r>
                    <w:rPr>
                      <w:rFonts w:ascii="仿宋_GB2312" w:hAnsi="仿宋_GB2312" w:cs="仿宋_GB2312" w:eastAsia="仿宋_GB2312"/>
                      <w:sz w:val="24"/>
                      <w:color w:val="000000"/>
                    </w:rPr>
                    <w:t>院日常工作。</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2）夜间施工：需提前报备</w:t>
                  </w:r>
                  <w:r>
                    <w:rPr>
                      <w:rFonts w:ascii="仿宋_GB2312" w:hAnsi="仿宋_GB2312" w:cs="仿宋_GB2312" w:eastAsia="仿宋_GB2312"/>
                      <w:sz w:val="24"/>
                      <w:color w:val="000000"/>
                    </w:rPr>
                    <w:t>医</w:t>
                  </w:r>
                  <w:r>
                    <w:rPr>
                      <w:rFonts w:ascii="仿宋_GB2312" w:hAnsi="仿宋_GB2312" w:cs="仿宋_GB2312" w:eastAsia="仿宋_GB2312"/>
                      <w:sz w:val="24"/>
                      <w:color w:val="000000"/>
                    </w:rPr>
                    <w:t>院</w:t>
                  </w:r>
                  <w:r>
                    <w:rPr>
                      <w:rFonts w:ascii="仿宋_GB2312" w:hAnsi="仿宋_GB2312" w:cs="仿宋_GB2312" w:eastAsia="仿宋_GB2312"/>
                      <w:sz w:val="24"/>
                      <w:color w:val="000000"/>
                    </w:rPr>
                    <w:t>总务科</w:t>
                  </w:r>
                  <w:r>
                    <w:rPr>
                      <w:rFonts w:ascii="仿宋_GB2312" w:hAnsi="仿宋_GB2312" w:cs="仿宋_GB2312" w:eastAsia="仿宋_GB2312"/>
                      <w:sz w:val="24"/>
                      <w:color w:val="000000"/>
                    </w:rPr>
                    <w:t>并获批准。并采取相应的降噪措施。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3）环境保护：</w:t>
                  </w:r>
                </w:p>
                <w:p>
                  <w:pPr>
                    <w:pStyle w:val="null3"/>
                    <w:jc w:val="both"/>
                  </w:pPr>
                  <w:r>
                    <w:rPr>
                      <w:rFonts w:ascii="仿宋_GB2312" w:hAnsi="仿宋_GB2312" w:cs="仿宋_GB2312" w:eastAsia="仿宋_GB2312"/>
                      <w:sz w:val="24"/>
                      <w:color w:val="000000"/>
                    </w:rPr>
                    <w:t>①</w:t>
                  </w:r>
                  <w:r>
                    <w:rPr>
                      <w:rFonts w:ascii="仿宋_GB2312" w:hAnsi="仿宋_GB2312" w:cs="仿宋_GB2312" w:eastAsia="仿宋_GB2312"/>
                      <w:sz w:val="24"/>
                      <w:shd w:fill="FFFFFF" w:val="clear"/>
                    </w:rPr>
                    <w:t>应对在实施作业过程中可能产生的废水、废液或废弃物全部回收或进行无害化处理，防止对水体、土壤和生态植被环境的污染和损害。</w:t>
                  </w:r>
                </w:p>
                <w:p>
                  <w:pPr>
                    <w:pStyle w:val="null3"/>
                    <w:jc w:val="both"/>
                  </w:pPr>
                  <w:r>
                    <w:rPr>
                      <w:rFonts w:ascii="仿宋_GB2312" w:hAnsi="仿宋_GB2312" w:cs="仿宋_GB2312" w:eastAsia="仿宋_GB2312"/>
                      <w:sz w:val="24"/>
                      <w:color w:val="000000"/>
                    </w:rPr>
                    <w:t>②</w:t>
                  </w:r>
                  <w:r>
                    <w:rPr>
                      <w:rFonts w:ascii="仿宋_GB2312" w:hAnsi="仿宋_GB2312" w:cs="仿宋_GB2312" w:eastAsia="仿宋_GB2312"/>
                      <w:sz w:val="24"/>
                      <w:shd w:fill="FFFFFF" w:val="clear"/>
                    </w:rPr>
                    <w:t>施工完毕，应做到工完料净场地清，恢复现场整洁状态。并消除所造成的环境污染。</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color w:val="333333"/>
                    </w:rPr>
                    <w:t>商务条款</w:t>
                  </w:r>
                </w:p>
                <w:p>
                  <w:pPr>
                    <w:pStyle w:val="null3"/>
                    <w:jc w:val="left"/>
                  </w:pPr>
                  <w:r>
                    <w:rPr>
                      <w:rFonts w:ascii="仿宋_GB2312" w:hAnsi="仿宋_GB2312" w:cs="仿宋_GB2312" w:eastAsia="仿宋_GB2312"/>
                      <w:sz w:val="24"/>
                      <w:color w:val="000000"/>
                    </w:rPr>
                    <w:t>1.计划工期：总工期控制在</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 xml:space="preserve">30 </w:t>
                  </w:r>
                  <w:r>
                    <w:rPr>
                      <w:rFonts w:ascii="仿宋_GB2312" w:hAnsi="仿宋_GB2312" w:cs="仿宋_GB2312" w:eastAsia="仿宋_GB2312"/>
                      <w:sz w:val="24"/>
                      <w:color w:val="000000"/>
                    </w:rPr>
                    <w:t>个日历天内，具体以合同约定为准。</w:t>
                  </w:r>
                </w:p>
                <w:p>
                  <w:pPr>
                    <w:pStyle w:val="null3"/>
                    <w:jc w:val="left"/>
                  </w:pPr>
                  <w:r>
                    <w:rPr>
                      <w:rFonts w:ascii="仿宋_GB2312" w:hAnsi="仿宋_GB2312" w:cs="仿宋_GB2312" w:eastAsia="仿宋_GB2312"/>
                      <w:sz w:val="24"/>
                      <w:color w:val="000000"/>
                    </w:rPr>
                    <w:t>2.质量标准：</w:t>
                  </w:r>
                  <w:r>
                    <w:rPr>
                      <w:rFonts w:ascii="仿宋_GB2312" w:hAnsi="仿宋_GB2312" w:cs="仿宋_GB2312" w:eastAsia="仿宋_GB2312"/>
                      <w:sz w:val="24"/>
                      <w:color w:val="000000"/>
                    </w:rPr>
                    <w:t>工程质量达到</w:t>
                  </w:r>
                  <w:r>
                    <w:rPr>
                      <w:rFonts w:ascii="仿宋_GB2312" w:hAnsi="仿宋_GB2312" w:cs="仿宋_GB2312" w:eastAsia="仿宋_GB2312"/>
                      <w:sz w:val="24"/>
                      <w:color w:val="000000"/>
                    </w:rPr>
                    <w:t>“合格”标准，供应商必须严格按照有关施工和验收规范进行施工，符合施工质量验收标准以及国家、省、市、行业及地方标准等相关规范要求。</w:t>
                  </w:r>
                </w:p>
                <w:p>
                  <w:pPr>
                    <w:pStyle w:val="null3"/>
                    <w:jc w:val="left"/>
                  </w:pPr>
                  <w:r>
                    <w:rPr>
                      <w:rFonts w:ascii="仿宋_GB2312" w:hAnsi="仿宋_GB2312" w:cs="仿宋_GB2312" w:eastAsia="仿宋_GB2312"/>
                      <w:sz w:val="24"/>
                      <w:color w:val="000000"/>
                    </w:rPr>
                    <w:t>3.工程地点：</w:t>
                  </w:r>
                  <w:r>
                    <w:rPr>
                      <w:rFonts w:ascii="仿宋_GB2312" w:hAnsi="仿宋_GB2312" w:cs="仿宋_GB2312" w:eastAsia="仿宋_GB2312"/>
                      <w:sz w:val="24"/>
                      <w:color w:val="000000"/>
                    </w:rPr>
                    <w:t>西安市第一医院</w:t>
                  </w:r>
                  <w:r>
                    <w:rPr>
                      <w:rFonts w:ascii="仿宋_GB2312" w:hAnsi="仿宋_GB2312" w:cs="仿宋_GB2312" w:eastAsia="仿宋_GB2312"/>
                      <w:sz w:val="24"/>
                      <w:color w:val="000000"/>
                    </w:rPr>
                    <w:t>粉巷</w:t>
                  </w:r>
                  <w:r>
                    <w:rPr>
                      <w:rFonts w:ascii="仿宋_GB2312" w:hAnsi="仿宋_GB2312" w:cs="仿宋_GB2312" w:eastAsia="仿宋_GB2312"/>
                      <w:sz w:val="24"/>
                      <w:color w:val="000000"/>
                    </w:rPr>
                    <w:t>院区内</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4.质保期：</w:t>
                  </w:r>
                  <w:r>
                    <w:rPr>
                      <w:rFonts w:ascii="仿宋_GB2312" w:hAnsi="仿宋_GB2312" w:cs="仿宋_GB2312" w:eastAsia="仿宋_GB2312"/>
                      <w:sz w:val="24"/>
                      <w:color w:val="000000"/>
                    </w:rPr>
                    <w:t>自竣工验收合格之日起</w:t>
                  </w:r>
                  <w:r>
                    <w:rPr>
                      <w:rFonts w:ascii="仿宋_GB2312" w:hAnsi="仿宋_GB2312" w:cs="仿宋_GB2312" w:eastAsia="仿宋_GB2312"/>
                      <w:sz w:val="24"/>
                      <w:color w:val="000000"/>
                    </w:rPr>
                    <w:t>2</w:t>
                  </w:r>
                  <w:r>
                    <w:rPr>
                      <w:rFonts w:ascii="仿宋_GB2312" w:hAnsi="仿宋_GB2312" w:cs="仿宋_GB2312" w:eastAsia="仿宋_GB2312"/>
                      <w:sz w:val="24"/>
                      <w:color w:val="000000"/>
                    </w:rPr>
                    <w:t>年。属于保修范围和内容的项目，成交人应在接到维修通知后，</w:t>
                  </w:r>
                  <w:r>
                    <w:rPr>
                      <w:rFonts w:ascii="仿宋_GB2312" w:hAnsi="仿宋_GB2312" w:cs="仿宋_GB2312" w:eastAsia="仿宋_GB2312"/>
                      <w:sz w:val="24"/>
                      <w:color w:val="000000"/>
                    </w:rPr>
                    <w:t>1 天内派人维修。发生紧急抢修事故（如供电设施漏、断电等），成交人应在接到事故通知后 3 小时内到达事故现场并于 6 小时内完成应急维修。</w:t>
                  </w:r>
                </w:p>
                <w:p>
                  <w:pPr>
                    <w:pStyle w:val="null3"/>
                    <w:jc w:val="left"/>
                  </w:pPr>
                  <w:r>
                    <w:rPr>
                      <w:rFonts w:ascii="仿宋_GB2312" w:hAnsi="仿宋_GB2312" w:cs="仿宋_GB2312" w:eastAsia="仿宋_GB2312"/>
                      <w:sz w:val="24"/>
                      <w:color w:val="000000"/>
                    </w:rPr>
                    <w:t>5.投标报价要求</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color w:val="000000"/>
                    </w:rPr>
                    <w:t>供应商应按</w:t>
                  </w:r>
                  <w:r>
                    <w:rPr>
                      <w:rFonts w:ascii="仿宋_GB2312" w:hAnsi="仿宋_GB2312" w:cs="仿宋_GB2312" w:eastAsia="仿宋_GB2312"/>
                      <w:sz w:val="24"/>
                      <w:color w:val="000000"/>
                    </w:rPr>
                    <w:t>采购</w:t>
                  </w:r>
                  <w:r>
                    <w:rPr>
                      <w:rFonts w:ascii="仿宋_GB2312" w:hAnsi="仿宋_GB2312" w:cs="仿宋_GB2312" w:eastAsia="仿宋_GB2312"/>
                      <w:sz w:val="24"/>
                      <w:color w:val="000000"/>
                    </w:rPr>
                    <w:t>文件中</w:t>
                  </w:r>
                  <w:r>
                    <w:rPr>
                      <w:rFonts w:ascii="仿宋_GB2312" w:hAnsi="仿宋_GB2312" w:cs="仿宋_GB2312" w:eastAsia="仿宋_GB2312"/>
                      <w:sz w:val="24"/>
                      <w:color w:val="000000"/>
                    </w:rPr>
                    <w:t>的具体</w:t>
                  </w:r>
                  <w:r>
                    <w:rPr>
                      <w:rFonts w:ascii="仿宋_GB2312" w:hAnsi="仿宋_GB2312" w:cs="仿宋_GB2312" w:eastAsia="仿宋_GB2312"/>
                      <w:sz w:val="24"/>
                      <w:color w:val="000000"/>
                    </w:rPr>
                    <w:t>要求编制响应文件</w:t>
                  </w:r>
                  <w:r>
                    <w:rPr>
                      <w:rFonts w:ascii="仿宋_GB2312" w:hAnsi="仿宋_GB2312" w:cs="仿宋_GB2312" w:eastAsia="仿宋_GB2312"/>
                      <w:sz w:val="24"/>
                      <w:color w:val="000000"/>
                    </w:rPr>
                    <w:t>,并在响应文件中注明材料、设备品牌。如成交人在响应文件中未按要求注明材料、设备品牌，则采购人有权按最有利于采购人的方式指定材料、设备品牌。</w:t>
                  </w:r>
                </w:p>
                <w:p>
                  <w:pPr>
                    <w:pStyle w:val="null3"/>
                    <w:jc w:val="left"/>
                  </w:pPr>
                  <w:r>
                    <w:rPr>
                      <w:rFonts w:ascii="仿宋_GB2312" w:hAnsi="仿宋_GB2312" w:cs="仿宋_GB2312" w:eastAsia="仿宋_GB2312"/>
                      <w:sz w:val="24"/>
                      <w:color w:val="000000"/>
                    </w:rPr>
                    <w:t>6.履约验收</w:t>
                  </w:r>
                </w:p>
                <w:p>
                  <w:pPr>
                    <w:pStyle w:val="null3"/>
                    <w:jc w:val="left"/>
                  </w:pPr>
                  <w:r>
                    <w:rPr>
                      <w:rFonts w:ascii="仿宋_GB2312" w:hAnsi="仿宋_GB2312" w:cs="仿宋_GB2312" w:eastAsia="仿宋_GB2312"/>
                      <w:sz w:val="24"/>
                      <w:color w:val="000000"/>
                    </w:rPr>
                    <w:t>6.1验收内容：本项目所含所有内容。</w:t>
                  </w:r>
                </w:p>
                <w:p>
                  <w:pPr>
                    <w:pStyle w:val="null3"/>
                    <w:jc w:val="left"/>
                  </w:pPr>
                  <w:r>
                    <w:rPr>
                      <w:rFonts w:ascii="仿宋_GB2312" w:hAnsi="仿宋_GB2312" w:cs="仿宋_GB2312" w:eastAsia="仿宋_GB2312"/>
                      <w:sz w:val="24"/>
                      <w:color w:val="000000"/>
                    </w:rPr>
                    <w:t>6.2验收主体：采购人作为验收主体负责监督供应商的履约情况。</w:t>
                  </w:r>
                </w:p>
                <w:p>
                  <w:pPr>
                    <w:pStyle w:val="null3"/>
                    <w:jc w:val="left"/>
                  </w:pPr>
                  <w:r>
                    <w:rPr>
                      <w:rFonts w:ascii="仿宋_GB2312" w:hAnsi="仿宋_GB2312" w:cs="仿宋_GB2312" w:eastAsia="仿宋_GB2312"/>
                      <w:sz w:val="24"/>
                      <w:color w:val="000000"/>
                    </w:rPr>
                    <w:t>6.3验收方法：以本项目采购文件、成交人响应文件、合同等作为验收依据。</w:t>
                  </w:r>
                </w:p>
                <w:p>
                  <w:pPr>
                    <w:pStyle w:val="null3"/>
                    <w:jc w:val="left"/>
                  </w:pPr>
                  <w:r>
                    <w:rPr>
                      <w:rFonts w:ascii="仿宋_GB2312" w:hAnsi="仿宋_GB2312" w:cs="仿宋_GB2312" w:eastAsia="仿宋_GB2312"/>
                      <w:sz w:val="24"/>
                      <w:color w:val="000000"/>
                    </w:rPr>
                    <w:t>6.4验收程序：工程完工后，由供应商先自行验收，确认其安全、质量等性能符合要求并完成通电，所有的电力设施正式投入使用后，由采购人组织正式验收。</w:t>
                  </w:r>
                </w:p>
                <w:p>
                  <w:pPr>
                    <w:pStyle w:val="null3"/>
                    <w:jc w:val="left"/>
                  </w:pPr>
                  <w:r>
                    <w:rPr>
                      <w:rFonts w:ascii="仿宋_GB2312" w:hAnsi="仿宋_GB2312" w:cs="仿宋_GB2312" w:eastAsia="仿宋_GB2312"/>
                      <w:sz w:val="24"/>
                      <w:color w:val="000000"/>
                    </w:rPr>
                    <w:t>6.5技术要求：以国家、省、市、行业及地方标准等相关规范为准。</w:t>
                  </w:r>
                </w:p>
                <w:p>
                  <w:pPr>
                    <w:pStyle w:val="null3"/>
                    <w:jc w:val="left"/>
                  </w:pPr>
                  <w:r>
                    <w:rPr>
                      <w:rFonts w:ascii="仿宋_GB2312" w:hAnsi="仿宋_GB2312" w:cs="仿宋_GB2312" w:eastAsia="仿宋_GB2312"/>
                      <w:sz w:val="24"/>
                      <w:color w:val="000000"/>
                    </w:rPr>
                    <w:t>6.6验收人员：由总务科、使用科室、设备科、核磁供应商等相关人员组成验收小组。</w:t>
                  </w:r>
                </w:p>
                <w:p>
                  <w:pPr>
                    <w:pStyle w:val="null3"/>
                    <w:jc w:val="left"/>
                  </w:pPr>
                  <w:r>
                    <w:rPr>
                      <w:rFonts w:ascii="仿宋_GB2312" w:hAnsi="仿宋_GB2312" w:cs="仿宋_GB2312" w:eastAsia="仿宋_GB2312"/>
                      <w:sz w:val="24"/>
                      <w:color w:val="000000"/>
                    </w:rPr>
                    <w:t>7.付款方式</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.1合同签订后预付合同款的40%。</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.2工程验收合格后，达到付款条件后支付合同款的60%，付款前供应商向采购人提供中标</w:t>
                  </w:r>
                  <w:r>
                    <w:rPr>
                      <w:rFonts w:ascii="仿宋_GB2312" w:hAnsi="仿宋_GB2312" w:cs="仿宋_GB2312" w:eastAsia="仿宋_GB2312"/>
                      <w:sz w:val="24"/>
                    </w:rPr>
                    <w:t>（成交）</w:t>
                  </w:r>
                  <w:r>
                    <w:rPr>
                      <w:rFonts w:ascii="仿宋_GB2312" w:hAnsi="仿宋_GB2312" w:cs="仿宋_GB2312" w:eastAsia="仿宋_GB2312"/>
                      <w:sz w:val="24"/>
                    </w:rPr>
                    <w:t>金额</w:t>
                  </w:r>
                  <w:r>
                    <w:rPr>
                      <w:rFonts w:ascii="仿宋_GB2312" w:hAnsi="仿宋_GB2312" w:cs="仿宋_GB2312" w:eastAsia="仿宋_GB2312"/>
                      <w:sz w:val="24"/>
                    </w:rPr>
                    <w:t>3%的保函。自工程最终验收合格之日起满 2 年若无质量问题，采购人应于 15 个工作日内退还保函。</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.3每次付款前供应商按照支付额度开具增值税发票。</w:t>
                  </w:r>
                </w:p>
                <w:p>
                  <w:pPr>
                    <w:pStyle w:val="null3"/>
                  </w:pPr>
                </w:p>
              </w:tc>
            </w:tr>
          </w:tbl>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1、投标报价要求： （1）供应商应按采购文件中的具体要求编制响应文件,并在响应文件中注明材料、设备品牌。如成交人在响应文件中未按要求注明材料、设备品牌，则采购人有权按最有利于采购人的方式指定材料、设备品牌。 （2）本项目为交钥匙工程，供应商的磋商报价包括设计费、施工机械使用费、人工费、材料与设备费、维护费、其他（运杂费、质检费、安装费、缺陷修复费、保险费，以及合同明示或暗示的风险、责任和义务等），以及管理费、税金、利润等所有费用，并符合建设工程计价规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报告复印件；或在响应文件递交截止时间前六个月内其开户银行出具的资信证明（附《基本存款账户信息》或《银行开户许可证》）；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或在响应文件递交截止时间前六个月内其开户银行出具的资信证明（附《基本存款账户信息》或《银行开户许可证》）；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提供已缴纳的2025年5月至今任意一个月的纳税证明或完税证明，纳税证明或完税证明上应有代收机构或税务机关的公章或业务专用章。依法免税的供应商应提供相关文件证明；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纳的2025年5月至今任意一个月的社会保障资金缴纳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法定代表人授权委托书及法定代表人、委托代理人身份证；并提供被授权人在本单位缴纳的连续近3个月（不含磋商当月）的社保记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备建设行政主管部门核发的电力工程施工总承包三级及以上资质；同时具备承装（修、试）电力设施许可证（承装类、承修类、承试类）五级及以上资质或新证三级及以上，并具备有效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具有机电工程专业二级及以上注册建造师执业资格，同时具有合法有效的安全生产考核合格证书（B证），在本单位注册，并提供无在建工程承诺书和磋商截止时间前12个月内连续三个月份在本单位缴纳社保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①供应商与其他投标单位无交叉控股股东、无交叉兼任高级管理人员及涉嫌联合围标、串标行为，无采购单位和招标代理机构职工在该单位兼职的情况，不向采购单位和代理机构相关人员输送利益等行贿行为，一旦成交必须坚守诚信、认真履约（提供承诺书）；②本项目不接受西安市第一医院职工及其亲属投资开办企业参与本单位的采购活动（提供承诺书）。</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报价函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响应文件的完整性(按要求编制)</w:t>
            </w:r>
          </w:p>
        </w:tc>
        <w:tc>
          <w:tcPr>
            <w:tcW w:type="dxa" w:w="1661"/>
          </w:tcPr>
          <w:p>
            <w:pPr>
              <w:pStyle w:val="null3"/>
            </w:pPr>
            <w:r>
              <w:rPr>
                <w:rFonts w:ascii="仿宋_GB2312" w:hAnsi="仿宋_GB2312" w:cs="仿宋_GB2312" w:eastAsia="仿宋_GB2312"/>
              </w:rPr>
              <w:t>技术方案.docx 中小企业声明函 供应商承诺书.docx 强制优先采购产品承诺函 响应文件封面 项目管理机构组成表 残疾人福利性单位声明函 报价函 标的清单 供应商类似项目业绩一览表 资格证明材料.docx 响应函 报价表.docx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响应文件的有效性(按要求签署盖章)</w:t>
            </w:r>
          </w:p>
        </w:tc>
        <w:tc>
          <w:tcPr>
            <w:tcW w:type="dxa" w:w="1661"/>
          </w:tcPr>
          <w:p>
            <w:pPr>
              <w:pStyle w:val="null3"/>
            </w:pPr>
            <w:r>
              <w:rPr>
                <w:rFonts w:ascii="仿宋_GB2312" w:hAnsi="仿宋_GB2312" w:cs="仿宋_GB2312" w:eastAsia="仿宋_GB2312"/>
              </w:rPr>
              <w:t>技术方案.docx 中小企业声明函 供应商承诺书.docx 强制优先采购产品承诺函 响应文件封面 项目管理机构组成表 残疾人福利性单位声明函 报价函 标的清单 供应商类似项目业绩一览表 资格证明材料.docx 响应函 报价表.docx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响应文件的响应性(实质上响应磋商文件，磋商文件允许偏离的除外)</w:t>
            </w:r>
          </w:p>
        </w:tc>
        <w:tc>
          <w:tcPr>
            <w:tcW w:type="dxa" w:w="1661"/>
          </w:tcPr>
          <w:p>
            <w:pPr>
              <w:pStyle w:val="null3"/>
            </w:pPr>
            <w:r>
              <w:rPr>
                <w:rFonts w:ascii="仿宋_GB2312" w:hAnsi="仿宋_GB2312" w:cs="仿宋_GB2312" w:eastAsia="仿宋_GB2312"/>
              </w:rPr>
              <w:t>技术方案.docx 中小企业声明函 供应商承诺书.docx 强制优先采购产品承诺函 响应文件封面 项目管理机构组成表 残疾人福利性单位声明函 报价函 标的清单 供应商类似项目业绩一览表 资格证明材料.docx 响应函 报价表.docx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磋商报价是否超过最高限价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报价函 标的清单 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一、评审内容：供应商针对本项目编制完善的施工部署， 内容包含：①施工目标②施工准备③施工程序。 二、评审标准：1.每项评审内容全面详细、阐述条理清晰详尽、针对性强符合本项目采购需求，能保障本项目实施得计3分；2.每项评审内容简单计2分；3.每项评审内容有瑕疵计1分；4.评审内容每缺一项扣3分，3项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一、评审内容：供应商针对本项目编制完善的施工进度计划，内容包含：①进度计划②工期保证措施。 二、评审标准： 1.每项评审内容全面详细、阐述条理清晰详尽、针对性强符合本项目采购需求，能保障本项目实施得计3分；2.每项评审内容简单计2分；3.每项评审内容有瑕疵计1分；4.评审内容每缺一项扣3分，2项共计6分。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一、评审内容：供应商针对本项目编制完善的分部分项工程施工方案，内容包含：①分部分项工程施工方法②施工质量通病防治措施③现场平面布置。 二、评审标准： 1.每项评审内容全面详细、阐述条理清晰详尽、针对性强符合本项目采购需求，能保障本项目实施得计3分；2.每项评审内容简单计2分；3.每项评审内容有瑕疵计1分；4.评审内容每缺一项扣3分，3项共计9分。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设备材料</w:t>
            </w:r>
          </w:p>
        </w:tc>
        <w:tc>
          <w:tcPr>
            <w:tcW w:type="dxa" w:w="2492"/>
          </w:tcPr>
          <w:p>
            <w:pPr>
              <w:pStyle w:val="null3"/>
            </w:pPr>
            <w:r>
              <w:rPr>
                <w:rFonts w:ascii="仿宋_GB2312" w:hAnsi="仿宋_GB2312" w:cs="仿宋_GB2312" w:eastAsia="仿宋_GB2312"/>
              </w:rPr>
              <w:t>一、评审内容：根据供应商针对本项目拟投入材料产品选型合理、环保，满足本项目实际要求、国家及行业相关质量规定，附相关证明材料进行评审：拟投的材料清单与方案吻合，清单描述完整清晰（包含但不限于主材规格型号、品牌、参数等），且能针对性满足项目得8分；拟投的材料清单与方案基本吻合，有相应的清单描述，有一定可行性，得5分；拟投的材料清单与方案偏离较大，得3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供应商针对本项目编制完善的质量保证措施，内容包含：①质量目标管理体系②确保质量的技术组织措施。 二、评审标准：1.每项评审内容全面详细、阐述条理清晰详尽、针对性强符合本项目采购需求，能保障本项目实施得计3分；2.每项评审内容简单计2分；3.每项评审内容有瑕疵计1分；4.评审内容每缺一项扣3分，2项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 二、评审标准：1.每项评审内容全面详细、阐述条理清晰详尽、针对性强符合本项目采购需求，能保障本项目实施得计3分；2.每项评审内容简单计2分；3.每项评审内容有瑕疵计1分；4.评审内容每缺一项扣3分，2项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一、评审内容：供应商针对本项目编制主要管理措施，内容包含：①成品保护措施②环境保护措施。 二、评审标准：1.每项评审内容全面详细、阐述条理清晰详尽、针对性强符合本项目采购需求，能保障本项目实施得计3分；2.每项评审内容简单计2分；3.每项评审内容有瑕疵计1分；4.评审内容每缺一项扣3分，2项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一、评审内容：供应商针对本项目编制完整的文明施工措施，内容包含：①文明施工管理目标及技术措施②文明施工现场管理。 二、评审标准：1.每项评审内容全面详细、阐述条理清晰详尽、针对性强符合本项目采购需求，能保障本项目实施得计2分；2.每项评审内容简单计1分；3.每项评审内容有瑕疵计0.5分；4.评审内容每缺一项扣2分，2项共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一、评审内容：供应商针对本项目编制科学的项目管理机构，内容包含： ①管理机构的配备计划②组织机构的岗位职责。 二、评审标准：1.每项评审内容全面详细、阐述条理清晰详尽、针对性强符合本项目采购需求，能保障本项目实施得计2分；2.每项评审内容简单计1分；3.每项评审内容有瑕疵计0.5分；4.评审内容每缺一项扣2分，2项共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一、评审内容：针对本项目提供资源配置计划，内容包括①拟投入的主要施工机械设备计划、主要材料进场计划②劳动力投入计划。 二、评审标准：1.每项评审内容全面详细、阐述条理清晰详尽、针对性强符合本项目采购需求，能保障本项目实施得计2分；2.每项评审内容简单计1分；3.每项评审内容有瑕疵计0.5分；3.评审内容每缺一项扣2分，2项共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验收保修方案</w:t>
            </w:r>
          </w:p>
        </w:tc>
        <w:tc>
          <w:tcPr>
            <w:tcW w:type="dxa" w:w="2492"/>
          </w:tcPr>
          <w:p>
            <w:pPr>
              <w:pStyle w:val="null3"/>
            </w:pPr>
            <w:r>
              <w:rPr>
                <w:rFonts w:ascii="仿宋_GB2312" w:hAnsi="仿宋_GB2312" w:cs="仿宋_GB2312" w:eastAsia="仿宋_GB2312"/>
              </w:rPr>
              <w:t>一、评审内容： 结合本项目的实际情况，供应商应依据国家相关规定提出工程验收维护方案，内容包含：①验收方案②保修责任及保修承诺。 二、评审标准：1.每项评审内容全面详细、阐述条理清晰详尽、针对性强符合本项目采购需求，能保障本项目实施得计2分；2.每项评审内容简单计1分；3.每项评审内容有瑕疵计0.5分；4.评审内容每缺一项扣2分，2项共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提供供应商2023年4月1日 至今的类似项目业绩（以签订时间为准，提供合同复印件并加盖公章），每提供1份业绩合同得1分，最高4分。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30分。其他供应商的价格分按照下列公式计算：磋商报价得分=(磋商基准价/磋商报价)×30。计算结果最多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