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9562">
      <w:pPr>
        <w:spacing w:line="360" w:lineRule="auto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磋商响应报价表</w:t>
      </w:r>
    </w:p>
    <w:p w14:paraId="51EA4A70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D9C9642">
      <w:pPr>
        <w:spacing w:line="360" w:lineRule="auto"/>
        <w:jc w:val="center"/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  <w:t>1.</w:t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  <w:t>报价一览表</w:t>
      </w:r>
    </w:p>
    <w:p w14:paraId="68F5BC27">
      <w:pPr>
        <w:spacing w:line="360" w:lineRule="auto"/>
        <w:jc w:val="center"/>
        <w:rPr>
          <w:rFonts w:hint="eastAsia" w:ascii="仿宋" w:hAnsi="仿宋" w:eastAsia="仿宋" w:cs="仿宋"/>
          <w:b/>
          <w:i w:val="0"/>
          <w:iCs w:val="0"/>
          <w:color w:val="auto"/>
          <w:sz w:val="24"/>
          <w:szCs w:val="24"/>
          <w:highlight w:val="none"/>
        </w:rPr>
      </w:pPr>
    </w:p>
    <w:p w14:paraId="547B4942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</w:p>
    <w:p w14:paraId="0898D0DB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 xml:space="preserve">  </w:t>
      </w:r>
    </w:p>
    <w:p w14:paraId="0CFF32FD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</w:rPr>
        <w:t xml:space="preserve">            </w:t>
      </w:r>
    </w:p>
    <w:tbl>
      <w:tblPr>
        <w:tblStyle w:val="3"/>
        <w:tblW w:w="84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39"/>
        <w:gridCol w:w="6087"/>
      </w:tblGrid>
      <w:tr w14:paraId="0184F1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A3B41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  <w:t>总报价</w:t>
            </w:r>
          </w:p>
          <w:p w14:paraId="3BB47366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  <w:t>(单位：人民币)</w:t>
            </w:r>
          </w:p>
        </w:tc>
        <w:tc>
          <w:tcPr>
            <w:tcW w:w="6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BE253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  <w:t>(大写)：元</w:t>
            </w:r>
          </w:p>
          <w:p w14:paraId="2164B00B">
            <w:pPr>
              <w:spacing w:after="120" w:line="360" w:lineRule="auto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  <w:t>(小写)：¥</w:t>
            </w:r>
          </w:p>
        </w:tc>
      </w:tr>
      <w:tr w14:paraId="5247D0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1" w:hRule="atLeast"/>
          <w:jc w:val="center"/>
        </w:trPr>
        <w:tc>
          <w:tcPr>
            <w:tcW w:w="23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3EB41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highlight w:val="none"/>
              </w:rPr>
              <w:t>期</w:t>
            </w:r>
          </w:p>
        </w:tc>
        <w:tc>
          <w:tcPr>
            <w:tcW w:w="60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8E3929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56F5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  <w:jc w:val="center"/>
        </w:trPr>
        <w:tc>
          <w:tcPr>
            <w:tcW w:w="2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E89C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shd w:val="clear" w:fill="FFFFFF"/>
              </w:rPr>
              <w:t>质保期</w:t>
            </w:r>
          </w:p>
        </w:tc>
        <w:tc>
          <w:tcPr>
            <w:tcW w:w="6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99309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F3773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  <w:jc w:val="center"/>
        </w:trPr>
        <w:tc>
          <w:tcPr>
            <w:tcW w:w="2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5A270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5F41BE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072044B">
      <w:pPr>
        <w:pStyle w:val="2"/>
        <w:spacing w:line="360" w:lineRule="auto"/>
        <w:ind w:firstLine="420" w:firstLineChars="200"/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  <w:t>注：</w:t>
      </w:r>
    </w:p>
    <w:p w14:paraId="58FEF7E1">
      <w:pPr>
        <w:pStyle w:val="2"/>
        <w:spacing w:line="360" w:lineRule="auto"/>
        <w:ind w:firstLine="420" w:firstLineChars="200"/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  <w:t>表内报价内容以元为单位（如有小数，保留小数点后2位）。</w:t>
      </w:r>
    </w:p>
    <w:p w14:paraId="0FCAF50B">
      <w:pPr>
        <w:pStyle w:val="2"/>
        <w:spacing w:line="360" w:lineRule="auto"/>
        <w:ind w:firstLine="420" w:firstLineChars="200"/>
        <w:rPr>
          <w:rFonts w:hint="eastAsia" w:ascii="仿宋" w:hAnsi="仿宋" w:eastAsia="仿宋" w:cs="仿宋"/>
          <w:i w:val="0"/>
          <w:iCs w:val="0"/>
          <w:color w:val="auto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  <w:lang w:val="en-US" w:eastAsia="zh-CN"/>
        </w:rPr>
        <w:t>2.磋商</w:t>
      </w: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  <w:t>总报价大小写不一致时，以大写为准。</w:t>
      </w:r>
    </w:p>
    <w:p w14:paraId="4693BEA6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</w:p>
    <w:p w14:paraId="21EFD92E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highlight w:val="none"/>
        </w:rPr>
      </w:pPr>
    </w:p>
    <w:p w14:paraId="48B85E43">
      <w:pPr>
        <w:spacing w:line="360" w:lineRule="auto"/>
        <w:ind w:firstLine="4080" w:firstLineChars="1700"/>
        <w:rPr>
          <w:rFonts w:hint="default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25A3647E">
      <w:pPr>
        <w:spacing w:line="360" w:lineRule="auto"/>
        <w:ind w:firstLine="2400" w:firstLineChars="1000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法定代表人（负责人）或授权代表：（签字或盖章）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3A5A4CD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 xml:space="preserve">                                        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日　期：　　年　月　日</w:t>
      </w:r>
    </w:p>
    <w:p w14:paraId="6A61749D">
      <w:pPr>
        <w:spacing w:line="360" w:lineRule="auto"/>
        <w:jc w:val="center"/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  <w:t>已标价工程量清单</w:t>
      </w:r>
    </w:p>
    <w:p w14:paraId="2AE51CDE">
      <w:pPr>
        <w:spacing w:line="360" w:lineRule="auto"/>
        <w:jc w:val="center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</w:p>
    <w:p w14:paraId="5BD5CC07">
      <w:pPr>
        <w:pStyle w:val="5"/>
        <w:spacing w:line="360" w:lineRule="auto"/>
        <w:ind w:firstLine="402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highlight w:val="none"/>
          <w:lang w:val="en-US" w:eastAsia="zh-CN"/>
        </w:rPr>
        <w:t>已标价工程量清单说明：</w:t>
      </w:r>
    </w:p>
    <w:p w14:paraId="7C626E90">
      <w:pPr>
        <w:pStyle w:val="5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highlight w:val="none"/>
          <w:lang w:val="en-US" w:eastAsia="zh-CN"/>
        </w:rPr>
        <w:t>投标报价要求： （1）供应商应按采购文件中的具体要求编制响应文件,并在响应文件中注明材料、设备品牌。如成交人在响应文件中未按要求注明材料、设备品牌，则采购人有权按最有利于采购人的方式指定材料、设备品牌。 （2）①本项目为交钥匙工程，供应商的磋商报价包括设计费、施工机械使用费、人工费、材料与设备费、维护费、其他（运杂费、质检费、安装费、缺陷修复费、保险费，以及合同明示或暗示的风险、责任和义务等），以及管理费、税金、利润等所有费用，并符合建设工程计价规则。</w:t>
      </w:r>
    </w:p>
    <w:p w14:paraId="3ECE542E">
      <w:pPr>
        <w:pStyle w:val="5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highlight w:val="none"/>
          <w:lang w:val="en-US" w:eastAsia="zh-CN"/>
        </w:rPr>
      </w:pPr>
    </w:p>
    <w:p w14:paraId="39763A6D">
      <w:pPr>
        <w:pStyle w:val="5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i w:val="0"/>
          <w:iCs w:val="0"/>
          <w:color w:val="auto"/>
          <w:highlight w:val="none"/>
          <w:lang w:val="en-US" w:eastAsia="zh-CN"/>
        </w:rPr>
      </w:pPr>
    </w:p>
    <w:p w14:paraId="452A5D9F">
      <w:pPr>
        <w:spacing w:line="360" w:lineRule="auto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1F0D65EB">
      <w:pPr>
        <w:pStyle w:val="5"/>
        <w:spacing w:line="360" w:lineRule="auto"/>
        <w:rPr>
          <w:rFonts w:hint="eastAsia" w:ascii="仿宋" w:hAnsi="仿宋" w:eastAsia="仿宋" w:cs="仿宋"/>
          <w:sz w:val="20"/>
          <w:szCs w:val="20"/>
        </w:rPr>
        <w:sectPr>
          <w:pgSz w:w="11906" w:h="16838"/>
          <w:pgMar w:top="1440" w:right="1247" w:bottom="1318" w:left="1247" w:header="851" w:footer="992" w:gutter="0"/>
          <w:cols w:space="425" w:num="1"/>
          <w:docGrid w:type="lines" w:linePitch="312" w:charSpace="0"/>
        </w:sectPr>
      </w:pPr>
    </w:p>
    <w:tbl>
      <w:tblPr>
        <w:tblStyle w:val="3"/>
        <w:tblW w:w="547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5"/>
        <w:gridCol w:w="1678"/>
        <w:gridCol w:w="2010"/>
        <w:gridCol w:w="637"/>
        <w:gridCol w:w="625"/>
        <w:gridCol w:w="945"/>
        <w:gridCol w:w="945"/>
        <w:gridCol w:w="945"/>
        <w:gridCol w:w="945"/>
      </w:tblGrid>
      <w:tr w14:paraId="21EB3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2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FF3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8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  <w:t>项目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5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8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B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工程量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A3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D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C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96C1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96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混凝土路面开挖及恢复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273B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B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5377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D7A6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ED2E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FA96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055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C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大理石路面开挖及恢复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231A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B1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A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F8D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56FC5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51825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3331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8F3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1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0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3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电缆沟开挖回填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1AA6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E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8D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D4DC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65BD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D5E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CFF7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06B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1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F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16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电缆保护管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93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PE160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B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3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408B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5707A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E93C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1E97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A72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1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33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手孔井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DFE6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座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6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171EC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99D4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8182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15CC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</w:tr>
      <w:tr w14:paraId="7FC8C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1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0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垃圾清运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5716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2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5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BEFB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DCAC1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74B0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93B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247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A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WDZC-YJY23-0.6/1kV-4*120+1*70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7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C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50762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EE97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3B25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7387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8F2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B6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FE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1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WDZC-YJY23-0.6/1kV-4*70+1*35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D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37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40C7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444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0E74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2CAB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018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5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6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电力电缆终端头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6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WDZC-YJY23-0.6/1kV-4*120+1*70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E1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E706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26E3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BDB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1026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584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1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7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电力电缆终端头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7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WDZC-YJY23-0.6/1kV-4*70+1*35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4D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6B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DBE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A27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FCFD1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DAB9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ECB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7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C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户外动力配电柜（箱）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5E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XL-21（XM）后附配置表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24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E130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1BF8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254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2589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 w:eastAsia="zh-Hans"/>
              </w:rPr>
              <w:t>包括电器元件</w:t>
            </w:r>
          </w:p>
        </w:tc>
      </w:tr>
      <w:tr w14:paraId="4C2BC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D2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D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户外动力配电柜基础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38A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1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座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74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2736E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B0512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B76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D49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166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1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系统调试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BDA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0E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3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3A8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9F9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B10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DD05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34A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</w:trPr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22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34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电缆敷设接线测试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7853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16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FBF62"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375D2"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69CF3"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9E2DA"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</w:tbl>
    <w:p w14:paraId="7C9B90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E6F81"/>
    <w:rsid w:val="053E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spacing w:after="120"/>
      <w:jc w:val="left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2026-06-01T02:35:00Z</dcterms:created>
  <dc:creator>晚风。</dc:creator>
  <cp:lastModifiedBy>晚风。</cp:lastModifiedBy>
  <dcterms:modified xsi:type="dcterms:W3CDTF">2026-06-01T02:36:18Z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20E8A8C27FF342359EB61EA6395D30C4_11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