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版本号：2026-（104）1552-CG-（15）10720260704001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消防设施及适老化改造工程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2026-（104）1552-CG-（15）107</w:t>
      </w:r>
      <w:r>
        <w:br/>
      </w:r>
      <w:r>
        <w:br/>
      </w:r>
      <w:r>
        <w:br/>
      </w:r>
    </w:p>
    <w:p>
      <w:pPr>
        <w:pStyle w:val="null3"/>
        <w:jc w:val="center"/>
        <w:outlineLvl w:val="2"/>
      </w:pPr>
      <w:r>
        <w:rPr>
          <w:rFonts w:ascii="仿宋_GB2312" w:hAnsi="仿宋_GB2312" w:cs="仿宋_GB2312" w:eastAsia="仿宋_GB2312"/>
          <w:sz w:val="28"/>
          <w:b/>
        </w:rPr>
        <w:t>勉县中心敬老院</w:t>
      </w:r>
    </w:p>
    <w:p>
      <w:pPr>
        <w:pStyle w:val="null3"/>
        <w:jc w:val="center"/>
        <w:outlineLvl w:val="2"/>
      </w:pPr>
      <w:r>
        <w:rPr>
          <w:rFonts w:ascii="仿宋_GB2312" w:hAnsi="仿宋_GB2312" w:cs="仿宋_GB2312" w:eastAsia="仿宋_GB2312"/>
          <w:sz w:val="28"/>
          <w:b/>
        </w:rPr>
        <w:t>陕西汇鑫林丰项目管理有限责任公司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陕西汇鑫林丰项目管理有限责任公司</w:t>
      </w:r>
      <w:r>
        <w:rPr>
          <w:rFonts w:ascii="仿宋_GB2312" w:hAnsi="仿宋_GB2312" w:cs="仿宋_GB2312" w:eastAsia="仿宋_GB2312"/>
        </w:rPr>
        <w:t>（以下简称“代理机构”）受</w:t>
      </w:r>
      <w:r>
        <w:rPr>
          <w:rFonts w:ascii="仿宋_GB2312" w:hAnsi="仿宋_GB2312" w:cs="仿宋_GB2312" w:eastAsia="仿宋_GB2312"/>
        </w:rPr>
        <w:t>勉县中心敬老院</w:t>
      </w:r>
      <w:r>
        <w:rPr>
          <w:rFonts w:ascii="仿宋_GB2312" w:hAnsi="仿宋_GB2312" w:cs="仿宋_GB2312" w:eastAsia="仿宋_GB2312"/>
        </w:rPr>
        <w:t>委托，拟对</w:t>
      </w:r>
      <w:r>
        <w:rPr>
          <w:rFonts w:ascii="仿宋_GB2312" w:hAnsi="仿宋_GB2312" w:cs="仿宋_GB2312" w:eastAsia="仿宋_GB2312"/>
        </w:rPr>
        <w:t>消防设施及适老化改造工程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2026-（104）1552-CG-（15）107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消防设施及适老化改造工程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勉县新街子镇杜寨村，主要建设内容为改造面积约11500平方米，新增室内消火栓系统，增设消火栓泵专用配电及火灾报警联动系统，增设消防应急广播系统，安装2.5米x4米户外电子显示屏1个，更换卫生间无障碍扶手40处等，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采购包1（勉县中心敬老院消防设施及适老化改造工程）：属于专门面向中小企业采购。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1、特殊资格要求1：具有独立承担民事责任能力的法人、其他组织或自然人，并出具合法有效的营业执照或事业单位法人证书等国家规定的相关证明，自然人参与的提供其身份证明。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特殊资格要求2：供应商应授权合法的人员参与磋商，其中法定代表人直接参加磋商的，须出具法定代表人身份证明，并与营业执照上信息一致。法定代表人授权代表参与磋商的，须出具法定代表人授权书、授权代表身份证。</w:t>
      </w:r>
    </w:p>
    <w:p>
      <w:pPr>
        <w:pStyle w:val="null3"/>
      </w:pPr>
      <w:r>
        <w:rPr>
          <w:rFonts w:ascii="仿宋_GB2312" w:hAnsi="仿宋_GB2312" w:cs="仿宋_GB2312" w:eastAsia="仿宋_GB2312"/>
        </w:rPr>
        <w:t>3、特殊资格要求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pPr>
      <w:r>
        <w:rPr>
          <w:rFonts w:ascii="仿宋_GB2312" w:hAnsi="仿宋_GB2312" w:cs="仿宋_GB2312" w:eastAsia="仿宋_GB2312"/>
        </w:rPr>
        <w:t>4、特殊资格要求4：供应商须具备建设行政主管部门核发的建筑工程施工总承包三级及以上资质，并具备有效的安全生产许可证；拟派项目经理须具备建筑工程专业二级及以上注册建造师执业资格和有效的安全生产考核合格证书（建安B证），且在本单位注册、无在建工程，提供相关证书及项目经理无在建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勉县中心敬老院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勉县新街子镇杜寨村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勉县中心敬老院经办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15909163869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陕西汇鑫林丰项目管理有限责任公司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陕西省汉中市汉台区东一环路盛世国际写字楼2107号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晏女士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0916-8820189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采购包1：762,700.46元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开户名称：陕西汇鑫林丰项目管理有限责任公司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银行账号：61050165500000000788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代理服务费收费标准：按照《招标代理服务收费管理暂行办法》的通知（计价格[2002]1980号）计取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勉县中心敬老院</w:t>
      </w:r>
      <w:r>
        <w:rPr>
          <w:rFonts w:ascii="仿宋_GB2312" w:hAnsi="仿宋_GB2312" w:cs="仿宋_GB2312" w:eastAsia="仿宋_GB2312"/>
        </w:rPr>
        <w:t>和</w:t>
      </w:r>
      <w:r>
        <w:rPr>
          <w:rFonts w:ascii="仿宋_GB2312" w:hAnsi="仿宋_GB2312" w:cs="仿宋_GB2312" w:eastAsia="仿宋_GB2312"/>
        </w:rPr>
        <w:t>陕西汇鑫林丰项目管理有限责任公司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勉县中心敬老院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陕西汇鑫林丰项目管理有限责任公司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勉县中心敬老院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陕西汇鑫林丰项目管理有限责任公司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参照合同约定与强制性规范执行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陕西汇鑫林丰项目管理有限责任公司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陕西汇鑫林丰项目管理有限责任公司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陕西汇鑫林丰项目管理有限责任公司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联系人：晏女士</w:t>
      </w:r>
    </w:p>
    <w:p>
      <w:pPr>
        <w:pStyle w:val="null3"/>
      </w:pPr>
      <w:r>
        <w:rPr>
          <w:rFonts w:ascii="仿宋_GB2312" w:hAnsi="仿宋_GB2312" w:cs="仿宋_GB2312" w:eastAsia="仿宋_GB2312"/>
        </w:rPr>
        <w:t>联系电话：0916-8820189</w:t>
      </w:r>
    </w:p>
    <w:p>
      <w:pPr>
        <w:pStyle w:val="null3"/>
      </w:pPr>
      <w:r>
        <w:rPr>
          <w:rFonts w:ascii="仿宋_GB2312" w:hAnsi="仿宋_GB2312" w:cs="仿宋_GB2312" w:eastAsia="仿宋_GB2312"/>
        </w:rPr>
        <w:t>地址：陕西省汉中市汉台区东一环路盛世国际写字楼2107号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762,700.46</w:t>
      </w:r>
    </w:p>
    <w:p>
      <w:pPr>
        <w:pStyle w:val="null3"/>
      </w:pPr>
      <w:r>
        <w:rPr>
          <w:rFonts w:ascii="仿宋_GB2312" w:hAnsi="仿宋_GB2312" w:cs="仿宋_GB2312" w:eastAsia="仿宋_GB2312"/>
        </w:rPr>
        <w:t>采购包最高限价（元）: 762,700.46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勉县中心敬老院消防设施及适老化改造工程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762,700.46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标的名称：勉县中心敬老院消防设施及适老化改造工程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5"/>
                <w:b/>
                <w:color w:val="000000"/>
              </w:rPr>
              <w:t>一、工程概况：</w:t>
            </w:r>
          </w:p>
          <w:p>
            <w:pPr>
              <w:pStyle w:val="null3"/>
              <w:ind w:firstLine="559"/>
              <w:jc w:val="left"/>
            </w:pPr>
            <w:r>
              <w:rPr>
                <w:rFonts w:ascii="仿宋_GB2312" w:hAnsi="仿宋_GB2312" w:cs="仿宋_GB2312" w:eastAsia="仿宋_GB2312"/>
                <w:sz w:val="15"/>
                <w:color w:val="000000"/>
              </w:rPr>
              <w:t>勉县中心敬老院消防设施及适老化改造工程主要施工内容包含</w:t>
            </w:r>
            <w:r>
              <w:rPr>
                <w:rFonts w:ascii="仿宋_GB2312" w:hAnsi="仿宋_GB2312" w:cs="仿宋_GB2312" w:eastAsia="仿宋_GB2312"/>
                <w:sz w:val="15"/>
                <w:color w:val="000000"/>
              </w:rPr>
              <w:t>:改造面积约 11500 平方米，新增室内消火栓系统(消火栓箱90个，配套DN100/150管网)，增设消火栓泵专用配电及火灾报警联动系统，增设消防应急广播系统，安装2.5米×4米户外电子显示屏1个，更换卫生间无障碍扶手40处，硬化场地500㎡等。</w:t>
            </w:r>
          </w:p>
          <w:p>
            <w:pPr>
              <w:pStyle w:val="null3"/>
              <w:jc w:val="left"/>
            </w:pPr>
            <w:r>
              <w:rPr>
                <w:rFonts w:ascii="仿宋_GB2312" w:hAnsi="仿宋_GB2312" w:cs="仿宋_GB2312" w:eastAsia="仿宋_GB2312"/>
                <w:sz w:val="15"/>
                <w:b/>
                <w:color w:val="000000"/>
              </w:rPr>
              <w:t>二、编制范围：</w:t>
            </w:r>
          </w:p>
          <w:p>
            <w:pPr>
              <w:pStyle w:val="null3"/>
              <w:ind w:firstLine="566"/>
              <w:jc w:val="left"/>
            </w:pPr>
            <w:r>
              <w:rPr>
                <w:rFonts w:ascii="仿宋_GB2312" w:hAnsi="仿宋_GB2312" w:cs="仿宋_GB2312" w:eastAsia="仿宋_GB2312"/>
                <w:sz w:val="15"/>
                <w:color w:val="000000"/>
              </w:rPr>
              <w:t>本工程编制范围为勉县中心敬老院消防设施及适老化改造工程施工设计图纸内容。</w:t>
            </w:r>
          </w:p>
          <w:p>
            <w:pPr>
              <w:pStyle w:val="null3"/>
              <w:jc w:val="left"/>
            </w:pPr>
            <w:r>
              <w:rPr>
                <w:rFonts w:ascii="仿宋_GB2312" w:hAnsi="仿宋_GB2312" w:cs="仿宋_GB2312" w:eastAsia="仿宋_GB2312"/>
                <w:sz w:val="15"/>
                <w:color w:val="000000"/>
              </w:rPr>
              <w:t>三</w:t>
            </w:r>
            <w:r>
              <w:rPr>
                <w:rFonts w:ascii="仿宋_GB2312" w:hAnsi="仿宋_GB2312" w:cs="仿宋_GB2312" w:eastAsia="仿宋_GB2312"/>
                <w:sz w:val="15"/>
                <w:b/>
                <w:color w:val="000000"/>
              </w:rPr>
              <w:t>、编制依据</w:t>
            </w:r>
          </w:p>
          <w:p>
            <w:pPr>
              <w:pStyle w:val="null3"/>
              <w:ind w:firstLine="600"/>
              <w:jc w:val="left"/>
            </w:pPr>
            <w:r>
              <w:rPr>
                <w:rFonts w:ascii="仿宋_GB2312" w:hAnsi="仿宋_GB2312" w:cs="仿宋_GB2312" w:eastAsia="仿宋_GB2312"/>
                <w:sz w:val="15"/>
                <w:color w:val="000000"/>
              </w:rPr>
              <w:t>1、勉县中心敬老院消防设施及适老化改造工程全套施工图纸。</w:t>
            </w:r>
          </w:p>
          <w:p>
            <w:pPr>
              <w:pStyle w:val="null3"/>
              <w:ind w:firstLine="571"/>
              <w:jc w:val="left"/>
            </w:pPr>
            <w:r>
              <w:rPr>
                <w:rFonts w:ascii="仿宋_GB2312" w:hAnsi="仿宋_GB2312" w:cs="仿宋_GB2312" w:eastAsia="仿宋_GB2312"/>
                <w:sz w:val="15"/>
                <w:color w:val="000000"/>
              </w:rPr>
              <w:t>2、陕西住房和城乡建设厅文件《关于印发 2025 陕西省建设工程费用规则等计价依据的通知》。</w:t>
            </w:r>
          </w:p>
          <w:p>
            <w:pPr>
              <w:pStyle w:val="null3"/>
              <w:ind w:firstLine="574"/>
              <w:jc w:val="left"/>
            </w:pPr>
            <w:r>
              <w:rPr>
                <w:rFonts w:ascii="仿宋_GB2312" w:hAnsi="仿宋_GB2312" w:cs="仿宋_GB2312" w:eastAsia="仿宋_GB2312"/>
                <w:sz w:val="15"/>
                <w:color w:val="000000"/>
              </w:rPr>
              <w:t>3、陕西省《建设工程工程量清单计价标准》（DB 61/T 5126-2025）》、 《市政工程工程量计算标准（DB 61/T 5128-2025）》、《房屋建筑与装饰工程工程量计算标准（DB 61/T 5129-2025）》、《通用安装工程工程量计算标准（DB 61/T 5130-2025）》、《园林绿化工程工程量计算标准（DB 61/T 5131-2025）》。</w:t>
            </w:r>
          </w:p>
          <w:p>
            <w:pPr>
              <w:pStyle w:val="null3"/>
              <w:ind w:firstLine="567"/>
              <w:jc w:val="left"/>
            </w:pPr>
            <w:r>
              <w:rPr>
                <w:rFonts w:ascii="仿宋_GB2312" w:hAnsi="仿宋_GB2312" w:cs="仿宋_GB2312" w:eastAsia="仿宋_GB2312"/>
                <w:sz w:val="15"/>
                <w:color w:val="000000"/>
              </w:rPr>
              <w:t>4、《陕西省建设工程费用规则（2025）》、《陕西省房屋建筑与装饰工程消耗量定额（2025）》、《陕西省通用安装工程消耗量定额（2025）》、《陕西省市政工程消耗量定额（2025）》、《陕西省园林绿化工程消耗量定额（2025）》、《陕西省建设工程施工机械台班费用定额（2025）》、《陕西省建设工程施工仪器仪表台班费用定额（2025）》及配套各专业工程基价表等</w:t>
            </w:r>
          </w:p>
          <w:p>
            <w:pPr>
              <w:pStyle w:val="null3"/>
              <w:ind w:firstLine="573"/>
              <w:jc w:val="left"/>
            </w:pPr>
            <w:r>
              <w:rPr>
                <w:rFonts w:ascii="仿宋_GB2312" w:hAnsi="仿宋_GB2312" w:cs="仿宋_GB2312" w:eastAsia="仿宋_GB2312"/>
                <w:sz w:val="15"/>
                <w:color w:val="000000"/>
              </w:rPr>
              <w:t>5、本工程材料价格参考汉中市建设工程造价管理办公室发布的2026年1月《汉中建筑安装工程材料机械劳务价格信息》勉县材料价格计取。</w:t>
            </w:r>
          </w:p>
          <w:p>
            <w:pPr>
              <w:pStyle w:val="null3"/>
              <w:ind w:firstLine="600"/>
              <w:jc w:val="left"/>
            </w:pPr>
            <w:r>
              <w:rPr>
                <w:rFonts w:ascii="仿宋_GB2312" w:hAnsi="仿宋_GB2312" w:cs="仿宋_GB2312" w:eastAsia="仿宋_GB2312"/>
                <w:sz w:val="15"/>
                <w:color w:val="000000"/>
              </w:rPr>
              <w:t>6、执行汉中市相配套的文件；</w:t>
            </w:r>
          </w:p>
          <w:p>
            <w:pPr>
              <w:pStyle w:val="null3"/>
              <w:jc w:val="left"/>
            </w:pPr>
            <w:r>
              <w:rPr>
                <w:rFonts w:ascii="仿宋_GB2312" w:hAnsi="仿宋_GB2312" w:cs="仿宋_GB2312" w:eastAsia="仿宋_GB2312"/>
                <w:sz w:val="15"/>
                <w:b/>
                <w:color w:val="000000"/>
              </w:rPr>
              <w:t>四、有关情况说明：</w:t>
            </w:r>
          </w:p>
          <w:p>
            <w:pPr>
              <w:pStyle w:val="null3"/>
              <w:jc w:val="left"/>
            </w:pPr>
            <w:r>
              <w:rPr>
                <w:rFonts w:ascii="仿宋_GB2312" w:hAnsi="仿宋_GB2312" w:cs="仿宋_GB2312" w:eastAsia="仿宋_GB2312"/>
                <w:sz w:val="15"/>
                <w:color w:val="000000"/>
              </w:rPr>
              <w:t>1、其他未说明详见工程量清单。</w:t>
            </w:r>
          </w:p>
          <w:p>
            <w:pPr>
              <w:pStyle w:val="null3"/>
              <w:spacing w:after="105"/>
              <w:jc w:val="left"/>
            </w:pPr>
            <w:r>
              <w:rPr>
                <w:rFonts w:ascii="仿宋_GB2312" w:hAnsi="仿宋_GB2312" w:cs="仿宋_GB2312" w:eastAsia="仿宋_GB2312"/>
                <w:sz w:val="15"/>
                <w:b/>
                <w:color w:val="000000"/>
              </w:rPr>
              <w:t>五、清单软件</w:t>
            </w:r>
            <w:r>
              <w:rPr>
                <w:rFonts w:ascii="仿宋_GB2312" w:hAnsi="仿宋_GB2312" w:cs="仿宋_GB2312" w:eastAsia="仿宋_GB2312"/>
                <w:sz w:val="15"/>
                <w:b/>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15"/>
                <w:b/>
                <w:color w:val="000000"/>
              </w:rPr>
              <w:t>广联达计价软件</w:t>
            </w:r>
            <w:r>
              <w:rPr>
                <w:rFonts w:ascii="仿宋_GB2312" w:hAnsi="仿宋_GB2312" w:cs="仿宋_GB2312" w:eastAsia="仿宋_GB2312"/>
                <w:sz w:val="15"/>
                <w:b/>
                <w:color w:val="000000"/>
              </w:rPr>
              <w:t>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工期：90日历天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充分考虑采购文件的各项条款、项目现场实际情况、供应商所掌握的市场情况及现行有关政策法规的要求，按照采购人提供的工程量清单依照相关文件结合企业自身情况及上述要求自主做出报价；2、供应商缴纳磋商保证金时请备注名称，并将磋商保证金缴纳凭证附在响应文件中，未按时缴纳磋商保证金的将视为无效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特殊资格要求1</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特殊资格要求2</w:t>
            </w:r>
          </w:p>
        </w:tc>
        <w:tc>
          <w:tcPr>
            <w:tcW w:type="dxa" w:w="3322"/>
          </w:tcPr>
          <w:p>
            <w:pPr>
              <w:pStyle w:val="null3"/>
            </w:pPr>
            <w:r>
              <w:rPr>
                <w:rFonts w:ascii="仿宋_GB2312" w:hAnsi="仿宋_GB2312" w:cs="仿宋_GB2312" w:eastAsia="仿宋_GB2312"/>
              </w:rPr>
              <w:t>供应商应授权合法的人员参与磋商，其中法定代表人直接参加磋商的，须出具法定代表人身份证明，并与营业执照上信息一致。法定代表人授权代表参与磋商的，须出具法定代表人授权书、授权代表身份证。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特殊资格要求3</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特殊资格要求4</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并具备有效的安全生产许可证；拟派项目经理须具备建筑工程专业二级及以上注册建造师执业资格和有效的安全生产考核合格证书（建安B证），且在本单位注册、无在建工程，提供相关证书及项目经理无在建证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响应文件签字、盖章及投标（响应）有效期符合采购文件要求。</w:t>
            </w:r>
          </w:p>
        </w:tc>
        <w:tc>
          <w:tcPr>
            <w:tcW w:type="dxa" w:w="1661"/>
          </w:tcPr>
          <w:p>
            <w:pPr>
              <w:pStyle w:val="null3"/>
            </w:pPr>
            <w:r>
              <w:rPr>
                <w:rFonts w:ascii="仿宋_GB2312" w:hAnsi="仿宋_GB2312" w:cs="仿宋_GB2312" w:eastAsia="仿宋_GB2312"/>
              </w:rPr>
              <w:t>响应文件封面 报价函 技术服务合同条款及其他商务要求应答表 标的清单 供应商类似项目业绩一览表 响应函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符合采购文件要求，响应文件内容齐全、无遗漏</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无效响应</w:t>
            </w:r>
          </w:p>
        </w:tc>
        <w:tc>
          <w:tcPr>
            <w:tcW w:type="dxa" w:w="3322"/>
          </w:tcPr>
          <w:p>
            <w:pPr>
              <w:pStyle w:val="null3"/>
            </w:pPr>
            <w:r>
              <w:rPr>
                <w:rFonts w:ascii="仿宋_GB2312" w:hAnsi="仿宋_GB2312" w:cs="仿宋_GB2312" w:eastAsia="仿宋_GB2312"/>
              </w:rPr>
              <w:t>没有出现法律法规或采购文件明确规定的其他被视为“无效响应”的情形及未实质性响应采购文件的情况</w:t>
            </w:r>
          </w:p>
        </w:tc>
        <w:tc>
          <w:tcPr>
            <w:tcW w:type="dxa" w:w="1661"/>
          </w:tcPr>
          <w:p>
            <w:pPr>
              <w:pStyle w:val="null3"/>
            </w:pPr>
            <w:r>
              <w:rPr>
                <w:rFonts w:ascii="仿宋_GB2312" w:hAnsi="仿宋_GB2312" w:cs="仿宋_GB2312" w:eastAsia="仿宋_GB2312"/>
              </w:rPr>
              <w:t>磋商保证金.docx 报价函 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提供近三年（自2023年1月1日至今）类似项目（房屋建筑工程）业绩，响应文件中应附有其业绩证明材料，业绩以合同协议书及项目验收合格证明资料加盖公章的复印件为依据，每提供一个业绩得2分，满分8分。时间以验收合格证明资料日期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项目经理基本情况</w:t>
            </w:r>
          </w:p>
        </w:tc>
        <w:tc>
          <w:tcPr>
            <w:tcW w:type="dxa" w:w="2492"/>
          </w:tcPr>
          <w:p>
            <w:pPr>
              <w:pStyle w:val="null3"/>
            </w:pPr>
            <w:r>
              <w:rPr>
                <w:rFonts w:ascii="仿宋_GB2312" w:hAnsi="仿宋_GB2312" w:cs="仿宋_GB2312" w:eastAsia="仿宋_GB2312"/>
              </w:rPr>
              <w:t>1.项目经理具有工程类相关专业中级职称得2分；具有工程类相关专业高级及以上职称得3分；需提供职称证书复印件。 2.项目经理提供近三年（自2023年1月1日至今）担任项目经理的类似项目（房屋建筑工程）业绩，响应文件中应附有其业绩证明材料，业绩以合同协议书及项目验收合格证明资料加盖公章的复印件为依据，提供1个业绩得2分，满分2分 。时间以验收合格证明资料日期为准。项目经理业绩和供应商业绩可共用。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项目技术负责人基本情况</w:t>
            </w:r>
          </w:p>
        </w:tc>
        <w:tc>
          <w:tcPr>
            <w:tcW w:type="dxa" w:w="2492"/>
          </w:tcPr>
          <w:p>
            <w:pPr>
              <w:pStyle w:val="null3"/>
            </w:pPr>
            <w:r>
              <w:rPr>
                <w:rFonts w:ascii="仿宋_GB2312" w:hAnsi="仿宋_GB2312" w:cs="仿宋_GB2312" w:eastAsia="仿宋_GB2312"/>
              </w:rPr>
              <w:t>1.项目技术负责人具有工程类相关专业中级职称得2分；具有工程类相关专业高级及以上职称得3分；需提供职称证书复印件。2.项目技术负责人提供近三年（自2023年1月1日至今）担任项目技术责任人或项目经理的类似项目（房屋建筑工程）业绩，响应文件中应附有其业绩证明材料，业绩以合同协议书及项目验收合格证明资料加盖公章的复印件为依据，如以上两种资料无法体现项目技术负责人姓名，需补充相关证明资料。1个业绩得2分，满分2分 。时间以验收合格证明资料日期为准。项目技术负责人业绩和供应商业绩可共用。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供应商针对本项目需配备相关技术人员，配备施工员、质量员、安全员、资料员、材料员、造价工程师等专业技术人员。提供技术人员身份证、岗位相关证明资料（同时提供，否则不得分）；提供岗位工种完整齐全得6分，缺少一个岗位工种扣1分。2.团队成员（不含项目经理、项目技术负责人）：每有一人具有工程类相关专业中级及以上职称得1分，本项最多得6分；需提供职称证书复印件。</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供应商根据本项目制定施工总体方案，内容至少包括:①施工准备;②施工进度安排;③施工方法;④重点难点工程分析及解决措施;⑤对易发生质量通病，易出现安全问题、施工难度大、技术含量高的部分进行说明并给出施工保障措施和专项技术方案(含主要施工方法，组织措施，检验手段等)。供应商的施工总体方案包含上述5项内容且完全满足项目要求得10分，每缺一项内容扣2分，每有一处不完整或存在缺陷的扣0.5分，扣完为止。注:“缺陷”是指项目名称错误、内容与本项目需求无关、仅有框架或标题、内容过于简单、明显复制其他项目内容、内容不完整或缺少关键点、非专门针对本项目或不适用本项目特性、科学原理或常识错误、涉及的规范及标准(方法)错误、地点区域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技术措施</w:t>
            </w:r>
          </w:p>
        </w:tc>
        <w:tc>
          <w:tcPr>
            <w:tcW w:type="dxa" w:w="2492"/>
          </w:tcPr>
          <w:p>
            <w:pPr>
              <w:pStyle w:val="null3"/>
            </w:pPr>
            <w:r>
              <w:rPr>
                <w:rFonts w:ascii="仿宋_GB2312" w:hAnsi="仿宋_GB2312" w:cs="仿宋_GB2312" w:eastAsia="仿宋_GB2312"/>
              </w:rPr>
              <w:t>供应商根据本项目制定技术措施，内容至少包括:①确保工程质量的技术措施（含工程质量控制措施、材料和构配件的质量控制、施工质量的检验制度）；②确保工程安全施工的技术措施（含安全施工管理制度、安全施工保证措施、安全应急预案）；③确保工程文明施工的技术措施（含文明施工管理制度、文明施工保证措施、施工现场管理）；④确保工期的技术措施（含施工进度目标及进度计划表、工期保证措施、节点工期的控制措施）；⑤环境保护措施（含防尘降噪措施、节能减排措施、建筑垃圾处理方案）。供应商的技术措施包含上述5项内容且完全满足项目要求得30分，每缺一项内容扣6分，每有一处不完整或存在缺陷的扣1分，扣完为止。注:“缺陷”是指项目名称错误、内容与本项目需求无关、仅有框架或标题、内容过于简单、明显复制其他项目内容、内容不完整或缺少关键点、非专门针对本项目或不适用本项目特性、科学原理或常识错误、涉及的规范及标准(方法)错误、地点区域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1、上限为采购预算价（最高限价），即报价大于上限价视为报价无效； 2、以满足本次磋商文件要求的最终报价中最低价格为磋商基准价，其价格为满分；其他供应商报价得分=（磋商基准价/最终报价）×30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