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版本号：SCZJ2026-CS-0833-00120260511001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污水处理服务项目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SCZJ2026-CS-0833-001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污水处理服务项目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SCZJ2026-CS-0833-001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污水处理服务项目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服务处所位于长安区，对第一处所设计处理1800方和第二处所处理规模50-200方/天两处所进行日常运行和维护，确保污水达标排放。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采购包1（污水处理服务项目）：属于专门面向中小企业采购。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西安市长安区东湖村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西安市高新区锦业路1号都市之门C座9层招标七部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张望、许明艳、魏小旖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采购包1：1,248,300.00元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代理服务费收费标准：代理服务费收费标准：参照《国家计委关于印发&lt;招标代理服务收费管理暂行办法&gt;的通知》（ 计价格[2002]1980号）和《国家发改委关于降低部分建设项目收费标准规范收费行为等有关问 题的通知》（发改价格[2011]534号）的相关规定标准收取。 成交单位的招标代理服务费交纳信息 银行户名：陕西省采购招标有限责任公司 开户银行：中国光大银行西安友谊路支行 账号：785 60188000095264 联 系 人：张婕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踏勘时间：2026-05-20 10:00:00</w:t>
            </w:r>
          </w:p>
          <w:p>
            <w:pPr>
              <w:pStyle w:val="null3"/>
              <w:ind w:firstLine="975"/>
            </w:pPr>
            <w:r>
              <w:rPr>
                <w:rFonts w:ascii="仿宋_GB2312" w:hAnsi="仿宋_GB2312" w:cs="仿宋_GB2312" w:eastAsia="仿宋_GB2312"/>
              </w:rPr>
              <w:t>踏勘地点：西安市长安区东湖村（踏勘时间从2026年5月20日早上10:00至下午17:00，供应商如需踏勘，请在上述时间内自行联系踏勘联系人进行踏勘）</w:t>
            </w:r>
          </w:p>
          <w:p>
            <w:pPr>
              <w:pStyle w:val="null3"/>
              <w:ind w:firstLine="975"/>
            </w:pPr>
            <w:r>
              <w:rPr>
                <w:rFonts w:ascii="仿宋_GB2312" w:hAnsi="仿宋_GB2312" w:cs="仿宋_GB2312" w:eastAsia="仿宋_GB2312"/>
              </w:rPr>
              <w:t>联系人：张源</w:t>
            </w:r>
          </w:p>
          <w:p>
            <w:pPr>
              <w:pStyle w:val="null3"/>
              <w:ind w:firstLine="975"/>
            </w:pPr>
            <w:r>
              <w:rPr>
                <w:rFonts w:ascii="仿宋_GB2312" w:hAnsi="仿宋_GB2312" w:cs="仿宋_GB2312" w:eastAsia="仿宋_GB2312"/>
              </w:rPr>
              <w:t>联系电话号码：18991933008</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西安市公安局监所管理支队</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根据国家现行的相关标准进行质量验收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服务处所位于长安区，对第一处所设计处理1800方和第二处所处理规模50-200方/天两处所进行日常运行和维护，确保污水达标排放。</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1,248,300.00</w:t>
      </w:r>
    </w:p>
    <w:p>
      <w:pPr>
        <w:pStyle w:val="null3"/>
      </w:pPr>
      <w:r>
        <w:rPr>
          <w:rFonts w:ascii="仿宋_GB2312" w:hAnsi="仿宋_GB2312" w:cs="仿宋_GB2312" w:eastAsia="仿宋_GB2312"/>
        </w:rPr>
        <w:t>采购包最高限价（元）: 1,248,300.00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生活污废水处理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1,248,300.00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标的名称：生活污废水处理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0"/>
              <w:gridCol w:w="256"/>
              <w:gridCol w:w="2057"/>
            </w:tblGrid>
            <w:tr>
              <w:tc>
                <w:tcPr>
                  <w:tcW w:type="dxa" w:w="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参数性质</w:t>
                  </w:r>
                </w:p>
              </w:tc>
              <w:tc>
                <w:tcPr>
                  <w:tcW w:type="dxa" w:w="2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技术参数与性能指标</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一、项目概况</w:t>
                  </w:r>
                </w:p>
                <w:p>
                  <w:pPr>
                    <w:pStyle w:val="null3"/>
                  </w:pPr>
                  <w:r>
                    <w:rPr>
                      <w:rFonts w:ascii="仿宋_GB2312" w:hAnsi="仿宋_GB2312" w:cs="仿宋_GB2312" w:eastAsia="仿宋_GB2312"/>
                      <w:sz w:val="19"/>
                    </w:rPr>
                    <w:t>服务处所位于长安区，对第一处所设计处理1800方和第二处所处理规模50-200方/天两处所进行日常运行和维护，确保污水达标排放。</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二、技术要求</w:t>
                  </w:r>
                </w:p>
                <w:p>
                  <w:pPr>
                    <w:pStyle w:val="null3"/>
                  </w:pPr>
                  <w:r>
                    <w:rPr>
                      <w:rFonts w:ascii="仿宋_GB2312" w:hAnsi="仿宋_GB2312" w:cs="仿宋_GB2312" w:eastAsia="仿宋_GB2312"/>
                      <w:sz w:val="19"/>
                      <w:b/>
                    </w:rPr>
                    <w:t>第一处所</w:t>
                  </w:r>
                </w:p>
                <w:p>
                  <w:pPr>
                    <w:pStyle w:val="null3"/>
                  </w:pPr>
                  <w:r>
                    <w:rPr>
                      <w:rFonts w:ascii="仿宋_GB2312" w:hAnsi="仿宋_GB2312" w:cs="仿宋_GB2312" w:eastAsia="仿宋_GB2312"/>
                      <w:sz w:val="19"/>
                    </w:rPr>
                    <w:t>（一）服务内容（包括工作区域、工作内容等）通过科学管理、专业技术人员操作来实现设备安全稳定运行，保障污水处理设施稳定发挥作用。托管服务单位应按照项目情况，制定具体的运维方案，人员配备和药剂使用必须依据项目予以明确，具体应达到以下几个方面</w:t>
                  </w:r>
                </w:p>
                <w:p>
                  <w:pPr>
                    <w:pStyle w:val="null3"/>
                  </w:pPr>
                  <w:r>
                    <w:rPr>
                      <w:rFonts w:ascii="仿宋_GB2312" w:hAnsi="仿宋_GB2312" w:cs="仿宋_GB2312" w:eastAsia="仿宋_GB2312"/>
                      <w:sz w:val="19"/>
                    </w:rPr>
                    <w:t>1、质量管理目标</w:t>
                  </w:r>
                </w:p>
                <w:p>
                  <w:pPr>
                    <w:pStyle w:val="null3"/>
                  </w:pPr>
                  <w:r>
                    <w:rPr>
                      <w:rFonts w:ascii="仿宋_GB2312" w:hAnsi="仿宋_GB2312" w:cs="仿宋_GB2312" w:eastAsia="仿宋_GB2312"/>
                      <w:sz w:val="19"/>
                    </w:rPr>
                    <w:t>（1）出水水质</w:t>
                  </w:r>
                </w:p>
                <w:p>
                  <w:pPr>
                    <w:pStyle w:val="null3"/>
                  </w:pPr>
                  <w:r>
                    <w:rPr>
                      <w:rFonts w:ascii="仿宋_GB2312" w:hAnsi="仿宋_GB2312" w:cs="仿宋_GB2312" w:eastAsia="仿宋_GB2312"/>
                      <w:sz w:val="19"/>
                    </w:rPr>
                    <w:t>托管运行期间，要求第三方运行单位依据设计标准，出水水质月平均达标率100%。</w:t>
                  </w:r>
                </w:p>
                <w:p>
                  <w:pPr>
                    <w:pStyle w:val="null3"/>
                  </w:pPr>
                  <w:r>
                    <w:rPr>
                      <w:rFonts w:ascii="仿宋_GB2312" w:hAnsi="仿宋_GB2312" w:cs="仿宋_GB2312" w:eastAsia="仿宋_GB2312"/>
                      <w:sz w:val="19"/>
                    </w:rPr>
                    <w:t>（2）环境监测站抽检合格率</w:t>
                  </w:r>
                </w:p>
                <w:p>
                  <w:pPr>
                    <w:pStyle w:val="null3"/>
                  </w:pPr>
                  <w:r>
                    <w:rPr>
                      <w:rFonts w:ascii="仿宋_GB2312" w:hAnsi="仿宋_GB2312" w:cs="仿宋_GB2312" w:eastAsia="仿宋_GB2312"/>
                      <w:sz w:val="19"/>
                    </w:rPr>
                    <w:t>托管运行期间，在正常运行条件下（除运营项目的计划内暂停服务期以及其他经过主管单位审批的特殊情况外），环境监测站抽检合格率100%。</w:t>
                  </w:r>
                </w:p>
                <w:p>
                  <w:pPr>
                    <w:pStyle w:val="null3"/>
                  </w:pPr>
                  <w:r>
                    <w:rPr>
                      <w:rFonts w:ascii="仿宋_GB2312" w:hAnsi="仿宋_GB2312" w:cs="仿宋_GB2312" w:eastAsia="仿宋_GB2312"/>
                      <w:sz w:val="19"/>
                    </w:rPr>
                    <w:t>（3）质量台账</w:t>
                  </w:r>
                </w:p>
                <w:p>
                  <w:pPr>
                    <w:pStyle w:val="null3"/>
                  </w:pPr>
                  <w:r>
                    <w:rPr>
                      <w:rFonts w:ascii="仿宋_GB2312" w:hAnsi="仿宋_GB2312" w:cs="仿宋_GB2312" w:eastAsia="仿宋_GB2312"/>
                      <w:sz w:val="19"/>
                    </w:rPr>
                    <w:t>托管运行期间，项目质量台账完整率100%。</w:t>
                  </w:r>
                </w:p>
                <w:p>
                  <w:pPr>
                    <w:pStyle w:val="null3"/>
                  </w:pPr>
                  <w:r>
                    <w:rPr>
                      <w:rFonts w:ascii="仿宋_GB2312" w:hAnsi="仿宋_GB2312" w:cs="仿宋_GB2312" w:eastAsia="仿宋_GB2312"/>
                      <w:sz w:val="19"/>
                    </w:rPr>
                    <w:t>（二）生产管理目标</w:t>
                  </w:r>
                </w:p>
                <w:p>
                  <w:pPr>
                    <w:pStyle w:val="null3"/>
                  </w:pPr>
                  <w:r>
                    <w:rPr>
                      <w:rFonts w:ascii="仿宋_GB2312" w:hAnsi="仿宋_GB2312" w:cs="仿宋_GB2312" w:eastAsia="仿宋_GB2312"/>
                      <w:sz w:val="19"/>
                    </w:rPr>
                    <w:t>（1）处理站运行完备率</w:t>
                  </w:r>
                </w:p>
                <w:p>
                  <w:pPr>
                    <w:pStyle w:val="null3"/>
                  </w:pPr>
                  <w:r>
                    <w:rPr>
                      <w:rFonts w:ascii="仿宋_GB2312" w:hAnsi="仿宋_GB2312" w:cs="仿宋_GB2312" w:eastAsia="仿宋_GB2312"/>
                      <w:sz w:val="19"/>
                    </w:rPr>
                    <w:t>托管运行期间，要求第三方运行单位根据管网来水量及处理能力，应处理的水量100%处理。</w:t>
                  </w:r>
                </w:p>
                <w:p>
                  <w:pPr>
                    <w:pStyle w:val="null3"/>
                  </w:pPr>
                  <w:r>
                    <w:rPr>
                      <w:rFonts w:ascii="仿宋_GB2312" w:hAnsi="仿宋_GB2312" w:cs="仿宋_GB2312" w:eastAsia="仿宋_GB2312"/>
                      <w:sz w:val="19"/>
                    </w:rPr>
                    <w:t>（2）污泥处理目标</w:t>
                  </w:r>
                </w:p>
                <w:p>
                  <w:pPr>
                    <w:pStyle w:val="null3"/>
                  </w:pPr>
                  <w:r>
                    <w:rPr>
                      <w:rFonts w:ascii="仿宋_GB2312" w:hAnsi="仿宋_GB2312" w:cs="仿宋_GB2312" w:eastAsia="仿宋_GB2312"/>
                      <w:sz w:val="19"/>
                    </w:rPr>
                    <w:t>托管运行期间，月平均污泥委托转运完成率100%。</w:t>
                  </w:r>
                </w:p>
                <w:p>
                  <w:pPr>
                    <w:pStyle w:val="null3"/>
                  </w:pPr>
                  <w:r>
                    <w:rPr>
                      <w:rFonts w:ascii="仿宋_GB2312" w:hAnsi="仿宋_GB2312" w:cs="仿宋_GB2312" w:eastAsia="仿宋_GB2312"/>
                      <w:sz w:val="19"/>
                    </w:rPr>
                    <w:t>（3）污泥安全处置</w:t>
                  </w:r>
                </w:p>
                <w:p>
                  <w:pPr>
                    <w:pStyle w:val="null3"/>
                  </w:pPr>
                  <w:r>
                    <w:rPr>
                      <w:rFonts w:ascii="仿宋_GB2312" w:hAnsi="仿宋_GB2312" w:cs="仿宋_GB2312" w:eastAsia="仿宋_GB2312"/>
                      <w:sz w:val="19"/>
                    </w:rPr>
                    <w:t>托管运行期间，污泥安全处置率达标，相关手续、台账完备。</w:t>
                  </w:r>
                </w:p>
                <w:p>
                  <w:pPr>
                    <w:pStyle w:val="null3"/>
                  </w:pPr>
                  <w:r>
                    <w:rPr>
                      <w:rFonts w:ascii="仿宋_GB2312" w:hAnsi="仿宋_GB2312" w:cs="仿宋_GB2312" w:eastAsia="仿宋_GB2312"/>
                      <w:sz w:val="19"/>
                    </w:rPr>
                    <w:t>（三）设备维护管理目标</w:t>
                  </w:r>
                </w:p>
                <w:p>
                  <w:pPr>
                    <w:pStyle w:val="null3"/>
                  </w:pPr>
                  <w:r>
                    <w:rPr>
                      <w:rFonts w:ascii="仿宋_GB2312" w:hAnsi="仿宋_GB2312" w:cs="仿宋_GB2312" w:eastAsia="仿宋_GB2312"/>
                      <w:sz w:val="19"/>
                    </w:rPr>
                    <w:t>（1）标准设备完好率</w:t>
                  </w:r>
                </w:p>
                <w:p>
                  <w:pPr>
                    <w:pStyle w:val="null3"/>
                  </w:pPr>
                  <w:r>
                    <w:rPr>
                      <w:rFonts w:ascii="仿宋_GB2312" w:hAnsi="仿宋_GB2312" w:cs="仿宋_GB2312" w:eastAsia="仿宋_GB2312"/>
                      <w:sz w:val="19"/>
                    </w:rPr>
                    <w:t>托管运行期间，要求标准生产设备完好率&gt;95%。</w:t>
                  </w:r>
                </w:p>
                <w:p>
                  <w:pPr>
                    <w:pStyle w:val="null3"/>
                  </w:pPr>
                  <w:r>
                    <w:rPr>
                      <w:rFonts w:ascii="仿宋_GB2312" w:hAnsi="仿宋_GB2312" w:cs="仿宋_GB2312" w:eastAsia="仿宋_GB2312"/>
                      <w:sz w:val="19"/>
                    </w:rPr>
                    <w:t>（2）非标设备完好率</w:t>
                  </w:r>
                </w:p>
                <w:p>
                  <w:pPr>
                    <w:pStyle w:val="null3"/>
                  </w:pPr>
                  <w:r>
                    <w:rPr>
                      <w:rFonts w:ascii="仿宋_GB2312" w:hAnsi="仿宋_GB2312" w:cs="仿宋_GB2312" w:eastAsia="仿宋_GB2312"/>
                      <w:sz w:val="19"/>
                    </w:rPr>
                    <w:t>托管运行期间，要求非标生产设备完好率100%。</w:t>
                  </w:r>
                </w:p>
                <w:p>
                  <w:pPr>
                    <w:pStyle w:val="null3"/>
                  </w:pPr>
                  <w:r>
                    <w:rPr>
                      <w:rFonts w:ascii="仿宋_GB2312" w:hAnsi="仿宋_GB2312" w:cs="仿宋_GB2312" w:eastAsia="仿宋_GB2312"/>
                      <w:sz w:val="19"/>
                    </w:rPr>
                    <w:t>（3）设备维修以及时率</w:t>
                  </w:r>
                </w:p>
                <w:p>
                  <w:pPr>
                    <w:pStyle w:val="null3"/>
                  </w:pPr>
                  <w:r>
                    <w:rPr>
                      <w:rFonts w:ascii="仿宋_GB2312" w:hAnsi="仿宋_GB2312" w:cs="仿宋_GB2312" w:eastAsia="仿宋_GB2312"/>
                      <w:sz w:val="19"/>
                    </w:rPr>
                    <w:t>托管运行期间，要求设备维修及时率达到100%。</w:t>
                  </w:r>
                </w:p>
                <w:p>
                  <w:pPr>
                    <w:pStyle w:val="null3"/>
                  </w:pPr>
                  <w:r>
                    <w:rPr>
                      <w:rFonts w:ascii="仿宋_GB2312" w:hAnsi="仿宋_GB2312" w:cs="仿宋_GB2312" w:eastAsia="仿宋_GB2312"/>
                      <w:sz w:val="19"/>
                    </w:rPr>
                    <w:t>（4）设备管理台账</w:t>
                  </w:r>
                </w:p>
                <w:p>
                  <w:pPr>
                    <w:pStyle w:val="null3"/>
                  </w:pPr>
                  <w:r>
                    <w:rPr>
                      <w:rFonts w:ascii="仿宋_GB2312" w:hAnsi="仿宋_GB2312" w:cs="仿宋_GB2312" w:eastAsia="仿宋_GB2312"/>
                      <w:sz w:val="19"/>
                    </w:rPr>
                    <w:t>托管运行期间，要求设备管理台账规范、完整，完整率100%。</w:t>
                  </w:r>
                </w:p>
                <w:p>
                  <w:pPr>
                    <w:pStyle w:val="null3"/>
                  </w:pPr>
                  <w:r>
                    <w:rPr>
                      <w:rFonts w:ascii="仿宋_GB2312" w:hAnsi="仿宋_GB2312" w:cs="仿宋_GB2312" w:eastAsia="仿宋_GB2312"/>
                      <w:sz w:val="19"/>
                    </w:rPr>
                    <w:t>（四）工艺管理控制</w:t>
                  </w:r>
                </w:p>
                <w:p>
                  <w:pPr>
                    <w:pStyle w:val="null3"/>
                  </w:pPr>
                  <w:r>
                    <w:rPr>
                      <w:rFonts w:ascii="仿宋_GB2312" w:hAnsi="仿宋_GB2312" w:cs="仿宋_GB2312" w:eastAsia="仿宋_GB2312"/>
                      <w:sz w:val="19"/>
                    </w:rPr>
                    <w:t>西安市公安局“南建”项目室外配套污水处理站主体工艺采用A2/0+MBR+消毒工艺，处理规模1800m³/d,出水水质达到《陕西省黄河流域污水综合排放标准》（DB61/224-2018）B标准；应厂站内空间受限，污泥处理采用污泥调节池收集，定期外运委托大型污水厂站脱泥处置，含水率达到60%以下。本项目除去水体中各类污染物的核心工艺为A2/0。</w:t>
                  </w:r>
                </w:p>
                <w:p>
                  <w:pPr>
                    <w:pStyle w:val="null3"/>
                  </w:pPr>
                  <w:r>
                    <w:rPr>
                      <w:rFonts w:ascii="仿宋_GB2312" w:hAnsi="仿宋_GB2312" w:cs="仿宋_GB2312" w:eastAsia="仿宋_GB2312"/>
                      <w:sz w:val="19"/>
                    </w:rPr>
                    <w:t>（五）技术要求</w:t>
                  </w:r>
                </w:p>
                <w:p>
                  <w:pPr>
                    <w:pStyle w:val="null3"/>
                  </w:pPr>
                  <w:r>
                    <w:rPr>
                      <w:rFonts w:ascii="仿宋_GB2312" w:hAnsi="仿宋_GB2312" w:cs="仿宋_GB2312" w:eastAsia="仿宋_GB2312"/>
                      <w:sz w:val="19"/>
                    </w:rPr>
                    <w:t>1、技术参数要求：</w:t>
                  </w:r>
                </w:p>
                <w:p>
                  <w:pPr>
                    <w:pStyle w:val="null3"/>
                  </w:pPr>
                  <w:r>
                    <w:rPr>
                      <w:rFonts w:ascii="仿宋_GB2312" w:hAnsi="仿宋_GB2312" w:cs="仿宋_GB2312" w:eastAsia="仿宋_GB2312"/>
                      <w:sz w:val="19"/>
                    </w:rPr>
                    <w:t>（1）污水处理设施的运行与维护，包括：</w:t>
                  </w:r>
                </w:p>
                <w:p>
                  <w:pPr>
                    <w:pStyle w:val="null3"/>
                  </w:pPr>
                  <w:r>
                    <w:rPr>
                      <w:rFonts w:ascii="仿宋_GB2312" w:hAnsi="仿宋_GB2312" w:cs="仿宋_GB2312" w:eastAsia="仿宋_GB2312"/>
                      <w:sz w:val="19"/>
                    </w:rPr>
                    <w:t>污水处理站必须配备专职人员值守（2人24小时制），负责污水站的设备设施污泥清掏、日常运行、管理、维护、维修、检测和记录等工作，要符合国家相关标准，达到营区的排水要求，及符合环保要求。保证污水处理站正常运行。</w:t>
                  </w:r>
                </w:p>
                <w:p>
                  <w:pPr>
                    <w:pStyle w:val="null3"/>
                  </w:pPr>
                  <w:r>
                    <w:rPr>
                      <w:rFonts w:ascii="仿宋_GB2312" w:hAnsi="仿宋_GB2312" w:cs="仿宋_GB2312" w:eastAsia="仿宋_GB2312"/>
                      <w:sz w:val="19"/>
                    </w:rPr>
                    <w:t>出水水质必须达到《陕西省黄河流域污水综合排放标准》（DB61/224-2018）B排放标准限值，同时负责在线设备的日常维护、加药、数据校准工作。</w:t>
                  </w:r>
                </w:p>
                <w:p>
                  <w:pPr>
                    <w:pStyle w:val="null3"/>
                  </w:pPr>
                  <w:r>
                    <w:rPr>
                      <w:rFonts w:ascii="仿宋_GB2312" w:hAnsi="仿宋_GB2312" w:cs="仿宋_GB2312" w:eastAsia="仿宋_GB2312"/>
                      <w:sz w:val="19"/>
                    </w:rPr>
                    <w:t>维护包括：易损配件、机油、黄油、润滑油、污水处理药剂等购买与更换，设施设备损坏维修费单台/次在1000元以内由乙方负责，超出1000元由甲方负责。</w:t>
                  </w:r>
                </w:p>
                <w:p>
                  <w:pPr>
                    <w:pStyle w:val="null3"/>
                  </w:pPr>
                  <w:r>
                    <w:rPr>
                      <w:rFonts w:ascii="仿宋_GB2312" w:hAnsi="仿宋_GB2312" w:cs="仿宋_GB2312" w:eastAsia="仿宋_GB2312"/>
                      <w:sz w:val="19"/>
                    </w:rPr>
                    <w:t>维修包括：所有设备的损坏需要及时修理或更换并确保稳定运行达标排放。</w:t>
                  </w:r>
                </w:p>
                <w:p>
                  <w:pPr>
                    <w:pStyle w:val="null3"/>
                  </w:pPr>
                  <w:r>
                    <w:rPr>
                      <w:rFonts w:ascii="仿宋_GB2312" w:hAnsi="仿宋_GB2312" w:cs="仿宋_GB2312" w:eastAsia="仿宋_GB2312"/>
                      <w:sz w:val="19"/>
                    </w:rPr>
                    <w:t>管理包括：人员的安排、制度的制定及台账的管理。</w:t>
                  </w:r>
                </w:p>
                <w:p>
                  <w:pPr>
                    <w:pStyle w:val="null3"/>
                  </w:pPr>
                  <w:r>
                    <w:rPr>
                      <w:rFonts w:ascii="仿宋_GB2312" w:hAnsi="仿宋_GB2312" w:cs="仿宋_GB2312" w:eastAsia="仿宋_GB2312"/>
                      <w:sz w:val="19"/>
                    </w:rPr>
                    <w:t>供应商未遵守国家法律法规及安全条例，造成重大人员伤亡和重大设备损失的，采购人有权终止合同。一切责任后果由成交供应商承担。</w:t>
                  </w:r>
                </w:p>
                <w:p>
                  <w:pPr>
                    <w:pStyle w:val="null3"/>
                  </w:pPr>
                  <w:r>
                    <w:rPr>
                      <w:rFonts w:ascii="仿宋_GB2312" w:hAnsi="仿宋_GB2312" w:cs="仿宋_GB2312" w:eastAsia="仿宋_GB2312"/>
                      <w:sz w:val="19"/>
                    </w:rPr>
                    <w:t>（3）提供全方位的环保技术咨询服务，包括：完成服务期内排污许可的变更（重新申领）等工作。完成服务期内排污许可证证后管理工作：①制定规范的自行监测方案，严格按照国家法律法规及排污许可证要求的所有监测内容（包括监测指标、频次）并出具规范的例行监测报告，同时负责自行监测数据整理的上传；②完成排污许可证要求的季报、年报、固废信息等各项填报工作。</w:t>
                  </w:r>
                </w:p>
                <w:p>
                  <w:pPr>
                    <w:pStyle w:val="null3"/>
                  </w:pPr>
                  <w:r>
                    <w:rPr>
                      <w:rFonts w:ascii="仿宋_GB2312" w:hAnsi="仿宋_GB2312" w:cs="仿宋_GB2312" w:eastAsia="仿宋_GB2312"/>
                      <w:sz w:val="19"/>
                    </w:rPr>
                    <w:t>（4）协助完善污染治理设施运行管理台账等相关记录。</w:t>
                  </w:r>
                </w:p>
                <w:p>
                  <w:pPr>
                    <w:pStyle w:val="null3"/>
                  </w:pPr>
                  <w:r>
                    <w:rPr>
                      <w:rFonts w:ascii="仿宋_GB2312" w:hAnsi="仿宋_GB2312" w:cs="仿宋_GB2312" w:eastAsia="仿宋_GB2312"/>
                      <w:sz w:val="19"/>
                    </w:rPr>
                    <w:t>（5）配备专业环保工程师，提供全方位的环保技术咨询服务，全方位的环保预查和技术诊断服务，针对相关管理部门甲方现场问题提出整改建议，并做好解释沟通工作，以满足排污许可证现场核查要求。</w:t>
                  </w:r>
                </w:p>
                <w:p>
                  <w:pPr>
                    <w:pStyle w:val="null3"/>
                  </w:pPr>
                  <w:r>
                    <w:rPr>
                      <w:rFonts w:ascii="仿宋_GB2312" w:hAnsi="仿宋_GB2312" w:cs="仿宋_GB2312" w:eastAsia="仿宋_GB2312"/>
                      <w:sz w:val="19"/>
                    </w:rPr>
                    <w:t>（六）服务要求：</w:t>
                  </w:r>
                </w:p>
                <w:p>
                  <w:pPr>
                    <w:pStyle w:val="null3"/>
                  </w:pPr>
                  <w:r>
                    <w:rPr>
                      <w:rFonts w:ascii="仿宋_GB2312" w:hAnsi="仿宋_GB2312" w:cs="仿宋_GB2312" w:eastAsia="仿宋_GB2312"/>
                      <w:sz w:val="19"/>
                    </w:rPr>
                    <w:t>（1）质量要求：</w:t>
                  </w:r>
                </w:p>
                <w:p>
                  <w:pPr>
                    <w:pStyle w:val="null3"/>
                  </w:pPr>
                  <w:r>
                    <w:rPr>
                      <w:rFonts w:ascii="仿宋_GB2312" w:hAnsi="仿宋_GB2312" w:cs="仿宋_GB2312" w:eastAsia="仿宋_GB2312"/>
                      <w:sz w:val="19"/>
                    </w:rPr>
                    <w:t>保证污水处理设备全年365天达标运行，在国家、省、市、区环保部门检查中能够达到环保要求。如在检查及抽样检测中发现有不达标的排放行为，服务商承担由此而造成的一切经济损失及法律责任。</w:t>
                  </w:r>
                </w:p>
                <w:p>
                  <w:pPr>
                    <w:pStyle w:val="null3"/>
                  </w:pPr>
                  <w:r>
                    <w:rPr>
                      <w:rFonts w:ascii="仿宋_GB2312" w:hAnsi="仿宋_GB2312" w:cs="仿宋_GB2312" w:eastAsia="仿宋_GB2312"/>
                      <w:sz w:val="19"/>
                    </w:rPr>
                    <w:t>（2）零配件及耗材要求：</w:t>
                  </w:r>
                </w:p>
                <w:p>
                  <w:pPr>
                    <w:pStyle w:val="null3"/>
                  </w:pPr>
                  <w:r>
                    <w:rPr>
                      <w:rFonts w:ascii="仿宋_GB2312" w:hAnsi="仿宋_GB2312" w:cs="仿宋_GB2312" w:eastAsia="仿宋_GB2312"/>
                      <w:sz w:val="19"/>
                    </w:rPr>
                    <w:t>委托运营服务单位需配备相应的设备维护零配件及耗材，例如：机械密封、轴承、密封圈、空滤、三角带、耐高温润滑脂、耐磨机油、劳保用品等。</w:t>
                  </w:r>
                </w:p>
                <w:p>
                  <w:pPr>
                    <w:pStyle w:val="null3"/>
                  </w:pPr>
                  <w:r>
                    <w:rPr>
                      <w:rFonts w:ascii="仿宋_GB2312" w:hAnsi="仿宋_GB2312" w:cs="仿宋_GB2312" w:eastAsia="仿宋_GB2312"/>
                      <w:sz w:val="19"/>
                    </w:rPr>
                    <w:t>（3）安装环境与场地要求：</w:t>
                  </w:r>
                </w:p>
                <w:p>
                  <w:pPr>
                    <w:pStyle w:val="null3"/>
                  </w:pPr>
                  <w:r>
                    <w:rPr>
                      <w:rFonts w:ascii="仿宋_GB2312" w:hAnsi="仿宋_GB2312" w:cs="仿宋_GB2312" w:eastAsia="仿宋_GB2312"/>
                      <w:sz w:val="19"/>
                    </w:rPr>
                    <w:t>现场24小时执勤，全面负责污水处理站运维管理，按期向甲方报告污水处理站运维、管理情况，办理有关环保工作的例行管理手续，向环保部门报送运行记录资料，接受环保管理部门、卫生部门和市政等部门的日常检查工作。</w:t>
                  </w:r>
                </w:p>
                <w:p>
                  <w:pPr>
                    <w:pStyle w:val="null3"/>
                  </w:pPr>
                  <w:r>
                    <w:rPr>
                      <w:rFonts w:ascii="仿宋_GB2312" w:hAnsi="仿宋_GB2312" w:cs="仿宋_GB2312" w:eastAsia="仿宋_GB2312"/>
                      <w:sz w:val="19"/>
                      <w:b/>
                    </w:rPr>
                    <w:t>第二处所</w:t>
                  </w:r>
                </w:p>
                <w:p>
                  <w:pPr>
                    <w:pStyle w:val="null3"/>
                  </w:pPr>
                  <w:r>
                    <w:rPr>
                      <w:rFonts w:ascii="仿宋_GB2312" w:hAnsi="仿宋_GB2312" w:cs="仿宋_GB2312" w:eastAsia="仿宋_GB2312"/>
                      <w:sz w:val="19"/>
                    </w:rPr>
                    <w:t>污水处理工艺为格栅-调节池-A-0-0生物池-二沉池-消毒池-出水，处理规模50-200方/天，排污许可证为简化管理。</w:t>
                  </w:r>
                </w:p>
                <w:p>
                  <w:pPr>
                    <w:pStyle w:val="null3"/>
                  </w:pPr>
                  <w:r>
                    <w:rPr>
                      <w:rFonts w:ascii="仿宋_GB2312" w:hAnsi="仿宋_GB2312" w:cs="仿宋_GB2312" w:eastAsia="仿宋_GB2312"/>
                      <w:sz w:val="19"/>
                    </w:rPr>
                    <w:t>（一）服务需求:每周派专业工程师现场设备巡查一次，确保设备稳定达标运行，每季度对一体化设备进行污泥清淘，或者发生堵塞时临时应急处理，按照排污许可证要求，定期对污水站废水水质、污水站无组织恶臭气体进行例行检测，包括周检，月检及季度检测，根据环保局检查要求配合院所及时整改，以及排污许可证的变更延续等工作。</w:t>
                  </w:r>
                </w:p>
              </w:tc>
            </w:tr>
            <w:tr>
              <w:tc>
                <w:tcPr>
                  <w:tcW w:type="dxa" w:w="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p>
              </w:tc>
              <w:tc>
                <w:tcPr>
                  <w:tcW w:type="dxa" w:w="2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三、商务要求</w:t>
                  </w:r>
                </w:p>
                <w:p>
                  <w:pPr>
                    <w:pStyle w:val="null3"/>
                  </w:pPr>
                  <w:r>
                    <w:rPr>
                      <w:rFonts w:ascii="仿宋_GB2312" w:hAnsi="仿宋_GB2312" w:cs="仿宋_GB2312" w:eastAsia="仿宋_GB2312"/>
                      <w:sz w:val="19"/>
                    </w:rPr>
                    <w:t>（一）服务期限</w:t>
                  </w:r>
                </w:p>
                <w:p>
                  <w:pPr>
                    <w:pStyle w:val="null3"/>
                  </w:pPr>
                  <w:r>
                    <w:rPr>
                      <w:rFonts w:ascii="仿宋_GB2312" w:hAnsi="仿宋_GB2312" w:cs="仿宋_GB2312" w:eastAsia="仿宋_GB2312"/>
                      <w:sz w:val="19"/>
                    </w:rPr>
                    <w:t>本项目服务期限为合同签订后12个月。</w:t>
                  </w:r>
                </w:p>
                <w:p>
                  <w:pPr>
                    <w:pStyle w:val="null3"/>
                  </w:pPr>
                  <w:r>
                    <w:rPr>
                      <w:rFonts w:ascii="仿宋_GB2312" w:hAnsi="仿宋_GB2312" w:cs="仿宋_GB2312" w:eastAsia="仿宋_GB2312"/>
                      <w:sz w:val="19"/>
                    </w:rPr>
                    <w:t>（二）款项结算</w:t>
                  </w:r>
                </w:p>
                <w:p>
                  <w:pPr>
                    <w:pStyle w:val="null3"/>
                  </w:pPr>
                  <w:r>
                    <w:rPr>
                      <w:rFonts w:ascii="仿宋_GB2312" w:hAnsi="仿宋_GB2312" w:cs="仿宋_GB2312" w:eastAsia="仿宋_GB2312"/>
                      <w:sz w:val="19"/>
                    </w:rPr>
                    <w:t>污水处理站运行稳定、设施维护到位、出水达标排放后，验收合格后，按季度付款，运维单位按时开具相应发票，即合同总价的25%,采用银行转账，以人民币结算付款。</w:t>
                  </w:r>
                </w:p>
                <w:p>
                  <w:pPr>
                    <w:pStyle w:val="null3"/>
                  </w:pPr>
                  <w:r>
                    <w:rPr>
                      <w:rFonts w:ascii="仿宋_GB2312" w:hAnsi="仿宋_GB2312" w:cs="仿宋_GB2312" w:eastAsia="仿宋_GB2312"/>
                      <w:sz w:val="19"/>
                    </w:rPr>
                    <w:t>（三）其他:</w:t>
                  </w:r>
                </w:p>
                <w:p>
                  <w:pPr>
                    <w:pStyle w:val="null3"/>
                  </w:pPr>
                  <w:r>
                    <w:rPr>
                      <w:rFonts w:ascii="仿宋_GB2312" w:hAnsi="仿宋_GB2312" w:cs="仿宋_GB2312" w:eastAsia="仿宋_GB2312"/>
                      <w:sz w:val="19"/>
                    </w:rPr>
                    <w:t>1、质量验收标准或规范</w:t>
                  </w:r>
                </w:p>
                <w:p>
                  <w:pPr>
                    <w:pStyle w:val="null3"/>
                  </w:pPr>
                  <w:r>
                    <w:rPr>
                      <w:rFonts w:ascii="仿宋_GB2312" w:hAnsi="仿宋_GB2312" w:cs="仿宋_GB2312" w:eastAsia="仿宋_GB2312"/>
                      <w:sz w:val="19"/>
                    </w:rPr>
                    <w:t>严格按国家管理规范及考核标准、达到合格标准</w:t>
                  </w:r>
                </w:p>
                <w:p>
                  <w:pPr>
                    <w:pStyle w:val="null3"/>
                  </w:pPr>
                  <w:r>
                    <w:rPr>
                      <w:rFonts w:ascii="仿宋_GB2312" w:hAnsi="仿宋_GB2312" w:cs="仿宋_GB2312" w:eastAsia="仿宋_GB2312"/>
                      <w:sz w:val="19"/>
                    </w:rPr>
                    <w:t>2、违约责任</w:t>
                  </w:r>
                </w:p>
                <w:p>
                  <w:pPr>
                    <w:pStyle w:val="null3"/>
                  </w:pPr>
                  <w:r>
                    <w:rPr>
                      <w:rFonts w:ascii="仿宋_GB2312" w:hAnsi="仿宋_GB2312" w:cs="仿宋_GB2312" w:eastAsia="仿宋_GB2312"/>
                      <w:sz w:val="19"/>
                    </w:rPr>
                    <w:t>按《中华人民共和国民法典》中的相关条款执行。在合同中予以明确。</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西安市长安区东湖村</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第一处所：出水水质达到《陕西省黄河流域污水综合排放标准》（DB61/224-2018）B标准。1、标准设备完好率：托管运行期间，要求标准生产设备完好率&gt;95%；2、非标设备完好率：托管运行期间，要求非标生产设备完好率100%；3、设备维修以及时率：托管运行期间，要求设备维修及时率达到100%；4、设备管理台账：托管运行期间，要求设备管理台账规范、完整，完整率100%。 第二处所：按照排污许可证要求，定期对污水站废水水质、污水站无组织恶臭气体进行例行检测，包括周检，月检及季度检测，根据环保局检查要求配合院所及时整改，以及排污许可证的变更延续等工作。</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ind w:firstLine="1200"/>
      </w:pPr>
      <w:r>
        <w:rPr>
          <w:rFonts w:ascii="仿宋_GB2312" w:hAnsi="仿宋_GB2312" w:cs="仿宋_GB2312" w:eastAsia="仿宋_GB2312"/>
        </w:rPr>
        <w:t>4、</w:t>
      </w:r>
      <w:r>
        <w:rPr>
          <w:rFonts w:ascii="仿宋_GB2312" w:hAnsi="仿宋_GB2312" w:cs="仿宋_GB2312" w:eastAsia="仿宋_GB2312"/>
        </w:rPr>
        <w:t xml:space="preserve"> 付款条件说明： </w:t>
      </w:r>
      <w:r>
        <w:rPr>
          <w:rFonts w:ascii="仿宋_GB2312" w:hAnsi="仿宋_GB2312" w:cs="仿宋_GB2312" w:eastAsia="仿宋_GB2312"/>
        </w:rPr>
        <w:t>按季度付款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执行中发生争议的，当事人双方应协商解决，协商达不成一致时，可向有管辖权的人民法院提请诉讼。2、合同一经签订，不得擅自变更、中止或者终止合同。对确需变更、调整或者中止、终止合同的，应按规定履行相应的手续。3、乙方未全面履行合同义务或者发生违约，甲方会同采购代理机构有权终止合同，依法向乙方进行经济索赔，并报请采购监督管理机关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磋商文件其他补充事宜： 1、落实政府采购政策： 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1.3《关于运用政府采购政策支持乡村产业振兴的通知》（财库〔2021〕19 号）、《关于印发&lt;关于深入开展政府采购脱贫地区农副产品工作推进乡村产业振兴的实施意见&gt;的通知》（财库〔2021〕20 号）。 1.4《国家互联网信息办公室 工业和信息化部 公安部 财政部 国家认证认可监督管理委员会关于调整网络安全专用产品安全管理有关事项的公告》（2023年第1号）。 1.5《陕西省财政厅关于加快推进我省中小企业政府采购信用融资工作的通知》（陕财办采〔2020〕15 号）、《陕西省财政厅关于印发&lt;陕西省中小企业政府采购信用融资办法&gt;的通知》（陕财办采〔2018〕23 号）。 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 1.7《国务院办公厅关于在政府采购中实施本国产品标准及相关政策的通知》（国办发〔2025〕34号）。 若享受以上政策优惠的企业，提供相应声明函或品目清单范围内产品的有效认证证书或相关证明。 2、供应商提供服务所伴随产品为节能、环境标志产品，符合采购文件要求的，可优先采购，价格扣除百分比计算公式为：节能、环境标志产品清单中的产品价格占响应总价的百分比×5%，用扣除后的价格参与评审。 3、本项目不支持本国产品。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供应商对其提供的产品出具《关于符合本国产品标准的声明函》（格式详见第七章投标文件格式）或财政部会同有关部门规定的有关证明文件，《声明函》或有关证明文件符合要求的，该产品视为本国产品。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1）投标人是企业（包括合伙企业）的，应提供其在市场监督管理部门注册的有效“营业执照”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依法缴纳税收的相关材料（1）供应商应提供谈判截止时间前近六个月中（2025年11月至今）任何一个月缴纳增值税或企业所得税的凭证，时间以税款所属时期为准（银行出具的缴税凭证或税务机关出具的证明的复印件，并加盖本单位公章）。（2）供应商采用汇算清缴方式缴纳企业所得税的，应提供谈判截止时间前近六个月中（2025年11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供应商应提供谈判截止时间前近六个月中（2025年11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4.具备履行合同所必需的设备和专业技术能力的证明材料；5.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年度或2025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⑤投标人是上述四种情况以外情况的，按照其依法适用的会计制度、财务规则或会计准则提供财务报表复印件（不要求必须是经审计的）。（2）提供资信证明原件或复印件，应满足以下要求：①资信证明须为递交投标文件截止时间前三个月内由投标人基本账户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项目所属行业：其他未列明行业。从业人员300人以下的为中小微型企业。其中，从业人员100人及以上的为中型企业；从业人员10人及以上的为小型企业；从业人员10人以下的为微型企业。</w:t>
            </w:r>
          </w:p>
        </w:tc>
        <w:tc>
          <w:tcPr>
            <w:tcW w:type="dxa" w:w="1661"/>
          </w:tcPr>
          <w:p>
            <w:pPr>
              <w:pStyle w:val="null3"/>
            </w:pPr>
            <w:r>
              <w:rPr>
                <w:rFonts w:ascii="仿宋_GB2312" w:hAnsi="仿宋_GB2312" w:cs="仿宋_GB2312" w:eastAsia="仿宋_GB2312"/>
              </w:rPr>
              <w:t>监狱企业的证明文件.docx 中小企业声明函 残疾人福利性单位声明函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异常低价审查 （1）评审中出现下列情形之一的，磋商小组应当启动异常低价响应审查程序：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相关法律法规对供应商报价有规定的，从其规定。 （2）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 （3）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 （4）采购人、采购代理机构应当为磋商小组在评审现场及时获取同类项目中标（成交）价格、类似产品市场价格水平、行业人工费用标准、国家有关部门指导行业协会发布的行业平均成本等相关信息资料提供便利。磋商小组借助互联网等渠道查询相关信息的，应当严格遵守评审工作纪律，不得实施影响评审公正的行为。 （5）异常低价响应审查的启动原因、审查意见和审查结果应当在评审报告中记录，并随供应商提供的相关书面说明及证明材料，以及磋商小组有关互联网浏览、查询历史一并归档。</w:t>
            </w:r>
          </w:p>
        </w:tc>
        <w:tc>
          <w:tcPr>
            <w:tcW w:type="dxa" w:w="1661"/>
          </w:tcPr>
          <w:p>
            <w:pPr>
              <w:pStyle w:val="null3"/>
            </w:pPr>
            <w:r>
              <w:rPr>
                <w:rFonts w:ascii="仿宋_GB2312" w:hAnsi="仿宋_GB2312" w:cs="仿宋_GB2312" w:eastAsia="仿宋_GB2312"/>
              </w:rPr>
              <w:t>关于符合本国产品标准的声明函.docx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响应文件按磋商文件要求签署、盖章</w:t>
            </w:r>
          </w:p>
        </w:tc>
        <w:tc>
          <w:tcPr>
            <w:tcW w:type="dxa" w:w="1661"/>
          </w:tcPr>
          <w:p>
            <w:pPr>
              <w:pStyle w:val="null3"/>
            </w:pPr>
            <w:r>
              <w:rPr>
                <w:rFonts w:ascii="仿宋_GB2312" w:hAnsi="仿宋_GB2312" w:cs="仿宋_GB2312" w:eastAsia="仿宋_GB2312"/>
              </w:rPr>
              <w:t>关于符合本国产品标准的声明函.docx 监狱企业的证明文件.docx 供应商承诺.docx 中小企业声明函 报价表 资格证明文件.docx 响应文件封面 技术偏离表.docx 残疾人福利性单位声明函 标的清单 响应函 商务条款偏离表.docx 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供应商投标报价没有超出采购预算或最高限价</w:t>
            </w:r>
          </w:p>
        </w:tc>
        <w:tc>
          <w:tcPr>
            <w:tcW w:type="dxa" w:w="1661"/>
          </w:tcPr>
          <w:p>
            <w:pPr>
              <w:pStyle w:val="null3"/>
            </w:pPr>
            <w:r>
              <w:rPr>
                <w:rFonts w:ascii="仿宋_GB2312" w:hAnsi="仿宋_GB2312" w:cs="仿宋_GB2312" w:eastAsia="仿宋_GB2312"/>
              </w:rPr>
              <w:t>关于符合本国产品标准的声明函.docx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响应内容不存在漏项或数量与要求不符合磋商文件规定情形，响应内容满足磋商文件的商务、技术等实质性要求，不存在采购档次降低或影响采购性能、功能的情形；满足磋商文件的商务、技术等实质性要求</w:t>
            </w:r>
          </w:p>
        </w:tc>
        <w:tc>
          <w:tcPr>
            <w:tcW w:type="dxa" w:w="1661"/>
          </w:tcPr>
          <w:p>
            <w:pPr>
              <w:pStyle w:val="null3"/>
            </w:pPr>
            <w:r>
              <w:rPr>
                <w:rFonts w:ascii="仿宋_GB2312" w:hAnsi="仿宋_GB2312" w:cs="仿宋_GB2312" w:eastAsia="仿宋_GB2312"/>
              </w:rPr>
              <w:t>技术偏离表.docx 供应商承诺.docx 商务条款偏离表.docx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监狱企业的证明文件.docx 技术偏离表.docx 供应商承诺.docx 中小企业声明函 残疾人福利性单位声明函 标的清单 报价表 响应函 资格证明文件.docx 商务条款偏离表.docx 服务方案.docx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不存在其它不符合法律法规或磋商文件规定的投标无效条款的情形</w:t>
            </w:r>
          </w:p>
        </w:tc>
        <w:tc>
          <w:tcPr>
            <w:tcW w:type="dxa" w:w="1661"/>
          </w:tcPr>
          <w:p>
            <w:pPr>
              <w:pStyle w:val="null3"/>
            </w:pPr>
            <w:r>
              <w:rPr>
                <w:rFonts w:ascii="仿宋_GB2312" w:hAnsi="仿宋_GB2312" w:cs="仿宋_GB2312" w:eastAsia="仿宋_GB2312"/>
              </w:rPr>
              <w:t>响应文件封面 监狱企业的证明文件.docx 技术偏离表.docx 供应商承诺.docx 中小企业声明函 残疾人福利性单位声明函 标的清单 报价表 响应函 资格证明文件.docx 商务条款偏离表.docx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综合评分相等时，按照最后报价由低到高的顺序推荐；报价也相等的，按技术指标优劣顺序排列。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提供2023年1月1日至今类似污水处理托管服务业绩，以合同签订日期为准，每提供一份得2.5分，满分10分；未提供的不得分。提供合同关键页复印件加盖公章为准。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拟派团队人员1</w:t>
            </w:r>
          </w:p>
        </w:tc>
        <w:tc>
          <w:tcPr>
            <w:tcW w:type="dxa" w:w="2492"/>
          </w:tcPr>
          <w:p>
            <w:pPr>
              <w:pStyle w:val="null3"/>
            </w:pPr>
            <w:r>
              <w:rPr>
                <w:rFonts w:ascii="仿宋_GB2312" w:hAnsi="仿宋_GB2312" w:cs="仿宋_GB2312" w:eastAsia="仿宋_GB2312"/>
              </w:rPr>
              <w:t>项目负责人具有环保类工程师资格证书得2分，不提供不得分。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拟派团队人员2</w:t>
            </w:r>
          </w:p>
        </w:tc>
        <w:tc>
          <w:tcPr>
            <w:tcW w:type="dxa" w:w="2492"/>
          </w:tcPr>
          <w:p>
            <w:pPr>
              <w:pStyle w:val="null3"/>
            </w:pPr>
            <w:r>
              <w:rPr>
                <w:rFonts w:ascii="仿宋_GB2312" w:hAnsi="仿宋_GB2312" w:cs="仿宋_GB2312" w:eastAsia="仿宋_GB2312"/>
              </w:rPr>
              <w:t>项目负责人具有类似工作经验得2分。 注：类似工作经验指提供2023年1月1日至今以项目负责人身份参与的污水处理服务业绩1份，时间以合同签订日期为准，未提供的不得分。合同不体现项目负责人姓名的提供其他证明材料。</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拟派团队人员3</w:t>
            </w:r>
          </w:p>
        </w:tc>
        <w:tc>
          <w:tcPr>
            <w:tcW w:type="dxa" w:w="2492"/>
          </w:tcPr>
          <w:p>
            <w:pPr>
              <w:pStyle w:val="null3"/>
            </w:pPr>
            <w:r>
              <w:rPr>
                <w:rFonts w:ascii="仿宋_GB2312" w:hAnsi="仿宋_GB2312" w:cs="仿宋_GB2312" w:eastAsia="仿宋_GB2312"/>
              </w:rPr>
              <w:t>1.评审内容：根据本项目特点制定团队人员方案，方案包括：①组织管理机构人员名单及人员分工安排、职责划分；②人员培训方案。 2.评审标准：①完整性：方案必须全面，对评审内容中的各项要求有详细描述；②可实施性：切合本项目实际情况，提出步骤清晰、合理的方案；③针对性：方案能够紧扣项目实际情况，内容科学合理。 3.赋分标准（满分6分）： ①组织管理机构人员名单及人员分工安排、职责划分：每完全满足一个评审标准得1分，满分3分； ②人员培训方案：每完全满足一个评审标准得1分，满分3分。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拟派团队人员4</w:t>
            </w:r>
          </w:p>
        </w:tc>
        <w:tc>
          <w:tcPr>
            <w:tcW w:type="dxa" w:w="2492"/>
          </w:tcPr>
          <w:p>
            <w:pPr>
              <w:pStyle w:val="null3"/>
            </w:pPr>
            <w:r>
              <w:rPr>
                <w:rFonts w:ascii="仿宋_GB2312" w:hAnsi="仿宋_GB2312" w:cs="仿宋_GB2312" w:eastAsia="仿宋_GB2312"/>
              </w:rPr>
              <w:t>服务团队人员中除项目负责人外不少于1名专业环保类工程师及1名专业机电类工程师，每提供一个资格证书计1分，共2分，未提供不得分。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托管运营方案</w:t>
            </w:r>
          </w:p>
        </w:tc>
        <w:tc>
          <w:tcPr>
            <w:tcW w:type="dxa" w:w="2492"/>
          </w:tcPr>
          <w:p>
            <w:pPr>
              <w:pStyle w:val="null3"/>
            </w:pPr>
            <w:r>
              <w:rPr>
                <w:rFonts w:ascii="仿宋_GB2312" w:hAnsi="仿宋_GB2312" w:cs="仿宋_GB2312" w:eastAsia="仿宋_GB2312"/>
              </w:rPr>
              <w:t>磋商小组根据供应商提供针对本项目的详细托管运营方案进行评审，方案包括但不限于：①托管运营计划及制度、操作规程，②风险防范、③安全管理、④设备设施保养、⑤维修、药剂使用、⑥水质达标共6项内容进行评审，每项内容4分，最多得24分。每缺少一项内容扣4分，每有一处缺陷扣0.5分，扣完为止。 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1.评审内容：根据本项目特点制定应急预案，应急预案包括：①因客观原因造成的污水进水量超出设计水量；②不可抗拒的自然灾害导致污水处理站超负荷运行；③水质水量异常时投加的各类药剂。 2.评审标准：①完整性：方案必须全面，对评审内容中的各项要求有详细描述；②可实施性：切合本项目实际情况，提出步骤清晰、合理的方案；③针对性：方案能够紧扣项目实际情况，内容科学合理。 3.赋分标准（满分9分）：①因客观原因造成的污水进水量超出设计水量：每完全满足一个评审标准得1分，满分3分； ②不可抗拒的自然灾害导致污水处理站超负荷运行：每完全满足一个评审标准得1分，满分3分。 ③水质水量异常时投加的各类药剂：每完全满足一个评审标准得1分，满分3分。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质量、安全保证措施</w:t>
            </w:r>
          </w:p>
        </w:tc>
        <w:tc>
          <w:tcPr>
            <w:tcW w:type="dxa" w:w="2492"/>
          </w:tcPr>
          <w:p>
            <w:pPr>
              <w:pStyle w:val="null3"/>
            </w:pPr>
            <w:r>
              <w:rPr>
                <w:rFonts w:ascii="仿宋_GB2312" w:hAnsi="仿宋_GB2312" w:cs="仿宋_GB2312" w:eastAsia="仿宋_GB2312"/>
              </w:rPr>
              <w:t>1.评审内容：根据本项目特点制定质量、安全保证措施，包括：①质量控制体系和维护手册，排放标准到达国家相关要求；②安全上岗培训、定期安全教育和培训、污水站设备及时维修、接触污染物质维修时配备的专用工具（含劳保用品）。 2.评审标准：①完整性：方案必须全面，对评审内容中的各项要求有详细描述；②可实施性：切合本项目实际情况，提出步骤清晰、合理的方案；③针对性：方案能够紧扣项目实际情况，内容科学合理。 3.赋分标准（满分6分）：①质量控制体系和维护手册，排放标准到达国家相关要求：每完全满足一个评审标准得1分，满分3分； ②安全上岗培训、定期安全教育和培训、污水站设备及时维修、接触污染物质维修时配备的专用工具（含劳保用品）：每完全满足一个评审标准得1分，满分3分。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检修和保养</w:t>
            </w:r>
          </w:p>
        </w:tc>
        <w:tc>
          <w:tcPr>
            <w:tcW w:type="dxa" w:w="2492"/>
          </w:tcPr>
          <w:p>
            <w:pPr>
              <w:pStyle w:val="null3"/>
            </w:pPr>
            <w:r>
              <w:rPr>
                <w:rFonts w:ascii="仿宋_GB2312" w:hAnsi="仿宋_GB2312" w:cs="仿宋_GB2312" w:eastAsia="仿宋_GB2312"/>
              </w:rPr>
              <w:t>对现有工艺处理过程中所涉及设备的①日常检修 ②设备保养 ③运维细则等进行详细阐述，阐述准确、全面详细，符合实际情况，合理可行的得6分；每有一个缺项扣2分，每有一处内容存在缺陷，扣0.5分，扣完为止。未提供不得分。 备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检测和检验</w:t>
            </w:r>
          </w:p>
        </w:tc>
        <w:tc>
          <w:tcPr>
            <w:tcW w:type="dxa" w:w="2492"/>
          </w:tcPr>
          <w:p>
            <w:pPr>
              <w:pStyle w:val="null3"/>
            </w:pPr>
            <w:r>
              <w:rPr>
                <w:rFonts w:ascii="仿宋_GB2312" w:hAnsi="仿宋_GB2312" w:cs="仿宋_GB2312" w:eastAsia="仿宋_GB2312"/>
              </w:rPr>
              <w:t>提供检测和检验的具体操作流程及操作规范，内容准确、全面，思路清晰，逻辑严密，符合本项目实际情况及国家、地方相关规范法规要求得6分，每有一处内容存在缺陷，扣0.5分，扣完为止。未提供不得分。 备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工艺及技术</w:t>
            </w:r>
          </w:p>
        </w:tc>
        <w:tc>
          <w:tcPr>
            <w:tcW w:type="dxa" w:w="2492"/>
          </w:tcPr>
          <w:p>
            <w:pPr>
              <w:pStyle w:val="null3"/>
            </w:pPr>
            <w:r>
              <w:rPr>
                <w:rFonts w:ascii="仿宋_GB2312" w:hAnsi="仿宋_GB2312" w:cs="仿宋_GB2312" w:eastAsia="仿宋_GB2312"/>
              </w:rPr>
              <w:t>对本项目污水处理工艺及技术的了解①工作原理 ②工艺流程图 ③步骤及工艺介绍等。分析准确、全面详细，符合实际情况的得6分；每有一个缺项扣2分，每有一处内容存在缺陷，扣0.5分，扣完为止。未提供不得分。 备注：缺陷是指：存在不适用项目实际情况的情形、凭空编造、笼统描述、内容前后不一致、内容无法连贯、前后逻辑错误、涉及的规范及标准错误、地点区域错误、直接套用其他项目方案、与项目实施特点不匹配、不符合或不满足采购需求实际等任意一种不利于项目实施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技术装备水平1</w:t>
            </w:r>
          </w:p>
        </w:tc>
        <w:tc>
          <w:tcPr>
            <w:tcW w:type="dxa" w:w="2492"/>
          </w:tcPr>
          <w:p>
            <w:pPr>
              <w:pStyle w:val="null3"/>
            </w:pPr>
            <w:r>
              <w:rPr>
                <w:rFonts w:ascii="仿宋_GB2312" w:hAnsi="仿宋_GB2312" w:cs="仿宋_GB2312" w:eastAsia="仿宋_GB2312"/>
              </w:rPr>
              <w:t>供应商提供针对本项目的污水处理相关设备、监测仪器。 （1）设备仪器配备合理，种类完全满足本项目运营需求的得3分； （2）设备仪器配备较合理，种类基本满足本项目运营需求的得2分； （3）设备仪器配备基本合理，种类基本满足本项目运营需求的得1分；不满足不得分。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技术装备水平2</w:t>
            </w:r>
          </w:p>
        </w:tc>
        <w:tc>
          <w:tcPr>
            <w:tcW w:type="dxa" w:w="2492"/>
          </w:tcPr>
          <w:p>
            <w:pPr>
              <w:pStyle w:val="null3"/>
            </w:pPr>
            <w:r>
              <w:rPr>
                <w:rFonts w:ascii="仿宋_GB2312" w:hAnsi="仿宋_GB2312" w:cs="仿宋_GB2312" w:eastAsia="仿宋_GB2312"/>
              </w:rPr>
              <w:t>供应商针对上述评审项中的污水处理相关设备、监测仪器提供购置发票或租赁协议的得2分，不提供不得分。 注：如拟投入污水处理相关设备、监测仪器为自有设备提供购置发票，如为租赁设备提供租赁协议，不提供不得分。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一、评审内容审核服务承诺中对②水质排放目标；②售后服务； 二、评审标准：①完整性：方案必须全面，对评审内容中的各项要求有详细描述；②可实施性：切合本项目实际情况，提出步骤清晰、合理的方案；③针对性：方案能够紧扣项目特点，内容科学合理。 三、赋分标准： ①水质排放目标：每完全满足一个评审标准得1分，满分3分； ②售后服务：每完全满足一个评审标准得1分，满分3分；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评审基准价=满足磋商文件要求且最后报价最低的评审价格。 合格供应商的有效价格得分=（评审基准价/最后报价）×10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详见附件：供应商承诺.docx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