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版本号：YCXM-202601420260611001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灞桥区延河小学设备采购项目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YCXM-2026014</w:t>
      </w:r>
      <w:r>
        <w:br/>
      </w:r>
      <w:r>
        <w:br/>
      </w:r>
      <w:r>
        <w:br/>
      </w:r>
    </w:p>
    <w:p>
      <w:pPr>
        <w:pStyle w:val="null3"/>
        <w:jc w:val="center"/>
        <w:outlineLvl w:val="2"/>
      </w:pPr>
      <w:r>
        <w:rPr>
          <w:rFonts w:ascii="仿宋_GB2312" w:hAnsi="仿宋_GB2312" w:cs="仿宋_GB2312" w:eastAsia="仿宋_GB2312"/>
          <w:sz w:val="28"/>
          <w:b/>
        </w:rPr>
        <w:t>西安市灞桥区延河小学</w:t>
      </w:r>
    </w:p>
    <w:p>
      <w:pPr>
        <w:pStyle w:val="null3"/>
        <w:jc w:val="center"/>
        <w:outlineLvl w:val="2"/>
      </w:pPr>
      <w:r>
        <w:rPr>
          <w:rFonts w:ascii="仿宋_GB2312" w:hAnsi="仿宋_GB2312" w:cs="仿宋_GB2312" w:eastAsia="仿宋_GB2312"/>
          <w:sz w:val="28"/>
          <w:b/>
        </w:rPr>
        <w:t>陕西玥诚工程项目管理有限公司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陕西玥诚工程项目管理有限公司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西安市灞桥区延河小学</w:t>
      </w:r>
      <w:r>
        <w:rPr>
          <w:rFonts w:ascii="仿宋_GB2312" w:hAnsi="仿宋_GB2312" w:cs="仿宋_GB2312" w:eastAsia="仿宋_GB2312"/>
        </w:rPr>
        <w:t>委托，拟对</w:t>
      </w:r>
      <w:r>
        <w:rPr>
          <w:rFonts w:ascii="仿宋_GB2312" w:hAnsi="仿宋_GB2312" w:cs="仿宋_GB2312" w:eastAsia="仿宋_GB2312"/>
        </w:rPr>
        <w:t>灞桥区延河小学设备采购项目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YCXM-2026014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灞桥区延河小学设备采购项目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为保证教学正常进行，拟采购单人课桌凳，阅览桌，阅览凳，光能黑板一体机。</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1、营业执照：响应供应商需提供合法有效的统一社会信用代码营业执照</w:t>
      </w:r>
    </w:p>
    <w:p>
      <w:pPr>
        <w:pStyle w:val="null3"/>
      </w:pPr>
      <w:r>
        <w:rPr>
          <w:rFonts w:ascii="仿宋_GB2312" w:hAnsi="仿宋_GB2312" w:cs="仿宋_GB2312" w:eastAsia="仿宋_GB2312"/>
        </w:rPr>
        <w:t>2、身份证明：法定代表人参加投标的，须提供本人身份证加盖公章的复印件。 法定代表人授权他人参加投标的，须提供法定代表人授权委托书及被授权代表的身份证复印件。</w:t>
      </w:r>
    </w:p>
    <w:p>
      <w:pPr>
        <w:pStyle w:val="null3"/>
      </w:pPr>
      <w:r>
        <w:rPr>
          <w:rFonts w:ascii="仿宋_GB2312" w:hAnsi="仿宋_GB2312" w:cs="仿宋_GB2312" w:eastAsia="仿宋_GB2312"/>
        </w:rPr>
        <w:t>3、财务状况报告：响应供应商提供2024年度（或2025年度）经审计的财务会计报告，或提供投标截止时间前三个月内银行出具的资信证明，或信用担保机构出具 的投标担保函（以上三种形式的资料提供任何一种即可）（注：根据《陕西省财政厅关于启用会计师事务所审计报告“二维码”赋码查验功能的通知（陕财办会函〔2022〕55号）》，各供应商经审计的财务会计报告需赋加“注册会计师行业统一监管平台”二维码）</w:t>
      </w:r>
    </w:p>
    <w:p>
      <w:pPr>
        <w:pStyle w:val="null3"/>
      </w:pPr>
      <w:r>
        <w:rPr>
          <w:rFonts w:ascii="仿宋_GB2312" w:hAnsi="仿宋_GB2312" w:cs="仿宋_GB2312" w:eastAsia="仿宋_GB2312"/>
        </w:rPr>
        <w:t>4、社会保障资金缴纳证明：提供2025年12月至开标截止日前已缴纳的任意1个月的社会保障资金缴存单据或社保机构开具的社会保险参保缴费情况证明，依法不需要缴纳社会保障资金的单位应提供相关证明材料。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5、税收缴纳证明：提供2025年12月至开标截止日前已缴纳的任意1个月的纳税证明或完税证明，依法免税的单位应提供相关证明材料</w:t>
      </w:r>
    </w:p>
    <w:p>
      <w:pPr>
        <w:pStyle w:val="null3"/>
      </w:pPr>
      <w:r>
        <w:rPr>
          <w:rFonts w:ascii="仿宋_GB2312" w:hAnsi="仿宋_GB2312" w:cs="仿宋_GB2312" w:eastAsia="仿宋_GB2312"/>
        </w:rPr>
        <w:t>6、履约能力：具备履行合同所必需的设备和专业技术能力的证明材料(由供应商根据项目需求提供说明材料或者承诺)</w:t>
      </w:r>
    </w:p>
    <w:p>
      <w:pPr>
        <w:pStyle w:val="null3"/>
      </w:pPr>
      <w:r>
        <w:rPr>
          <w:rFonts w:ascii="仿宋_GB2312" w:hAnsi="仿宋_GB2312" w:cs="仿宋_GB2312" w:eastAsia="仿宋_GB2312"/>
        </w:rPr>
        <w:t>7、企业信誉：参加本次政府采购活动前3年内在经营活动中没有重大违纪、未被列入失信被执行人、重大税收违法案件当事人名单、政府采购严重违法失信行为记录名单的书面声明。开标评审将登陆“信用中国”网站（www.creditchina.gov.cn）和“中国政府采购网”（www.ccgp.gov.cn）进行审查</w:t>
      </w:r>
    </w:p>
    <w:p>
      <w:pPr>
        <w:pStyle w:val="null3"/>
      </w:pPr>
      <w:r>
        <w:rPr>
          <w:rFonts w:ascii="仿宋_GB2312" w:hAnsi="仿宋_GB2312" w:cs="仿宋_GB2312" w:eastAsia="仿宋_GB2312"/>
        </w:rPr>
        <w:t>8、非联合体声明：本项目不接受联合体投标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西安市灞桥区延河小学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西安市灞桥区纺南路78号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余老师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17792724733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陕西玥诚工程项目管理有限公司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西安市雁塔区雁展路莱安中心T7栋1006室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卞兴前 杨靖</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18066718602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西安市灞桥区政府采购管理股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唐鹏翙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83519160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代理服务费以中标金额为基数，依据国家计委颁发的《招标代理服务收费管理暂行办法》（计价格[2002]1980号）和国家发改委办公厅颁发的《关于招标代理服务收费有关问题的通知》（发改办价格[2003]857号）的有关规定执行，本项目代理服务费按照定额6000 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西安市灞桥区延河小学</w:t>
      </w:r>
      <w:r>
        <w:rPr>
          <w:rFonts w:ascii="仿宋_GB2312" w:hAnsi="仿宋_GB2312" w:cs="仿宋_GB2312" w:eastAsia="仿宋_GB2312"/>
        </w:rPr>
        <w:t>和</w:t>
      </w:r>
      <w:r>
        <w:rPr>
          <w:rFonts w:ascii="仿宋_GB2312" w:hAnsi="仿宋_GB2312" w:cs="仿宋_GB2312" w:eastAsia="仿宋_GB2312"/>
        </w:rPr>
        <w:t>陕西玥诚工程项目管理有限公司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西安市灞桥区延河小学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陕西玥诚工程项目管理有限公司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西安市灞桥区延河小学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陕西玥诚工程项目管理有限公司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一、采购人应在成交通知书发出之日起二十五日内与成交供应商签订采购合同。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详见验收单</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陕西玥诚工程项目管理有限公司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陕西玥诚工程项目管理有限公司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陕西玥诚工程项目管理有限公司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联系人：杨靖</w:t>
      </w:r>
    </w:p>
    <w:p>
      <w:pPr>
        <w:pStyle w:val="null3"/>
      </w:pPr>
      <w:r>
        <w:rPr>
          <w:rFonts w:ascii="仿宋_GB2312" w:hAnsi="仿宋_GB2312" w:cs="仿宋_GB2312" w:eastAsia="仿宋_GB2312"/>
        </w:rPr>
        <w:t>联系电话：18066718602</w:t>
      </w:r>
    </w:p>
    <w:p>
      <w:pPr>
        <w:pStyle w:val="null3"/>
      </w:pPr>
      <w:r>
        <w:rPr>
          <w:rFonts w:ascii="仿宋_GB2312" w:hAnsi="仿宋_GB2312" w:cs="仿宋_GB2312" w:eastAsia="仿宋_GB2312"/>
        </w:rPr>
        <w:t>地址：西安市雁塔区雁展路莱安中心T7栋1006室</w:t>
      </w:r>
    </w:p>
    <w:p>
      <w:pPr>
        <w:pStyle w:val="null3"/>
      </w:pPr>
      <w:r>
        <w:rPr>
          <w:rFonts w:ascii="仿宋_GB2312" w:hAnsi="仿宋_GB2312" w:cs="仿宋_GB2312" w:eastAsia="仿宋_GB2312"/>
        </w:rPr>
        <w:t>邮编：710005</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为保证教学正常进行，拟采购单人课桌凳，阅览桌，阅览凳，光能黑板一体机。</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w:t>
      </w:r>
    </w:p>
    <w:p>
      <w:pPr>
        <w:pStyle w:val="null3"/>
      </w:pPr>
      <w:r>
        <w:rPr>
          <w:rFonts w:ascii="仿宋_GB2312" w:hAnsi="仿宋_GB2312" w:cs="仿宋_GB2312" w:eastAsia="仿宋_GB2312"/>
        </w:rPr>
        <w:t>采购包最高限价（元）: 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西安市灞桥区延河小学设备采购项目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标的名称：西安市灞桥区延河小学设备采购项目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10"/>
              <w:gridCol w:w="1820"/>
              <w:gridCol w:w="206"/>
              <w:gridCol w:w="206"/>
            </w:tblGrid>
            <w:tr>
              <w:tc>
                <w:tcPr>
                  <w:tcW w:type="dxa" w:w="3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名称</w:t>
                  </w:r>
                </w:p>
              </w:tc>
              <w:tc>
                <w:tcPr>
                  <w:tcW w:type="dxa" w:w="18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规格</w:t>
                  </w:r>
                </w:p>
              </w:tc>
              <w:tc>
                <w:tcPr>
                  <w:tcW w:type="dxa" w:w="2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数量</w:t>
                  </w:r>
                </w:p>
              </w:tc>
              <w:tc>
                <w:tcPr>
                  <w:tcW w:type="dxa" w:w="2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单位</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书法桌</w:t>
                  </w:r>
                </w:p>
              </w:tc>
              <w:tc>
                <w:tcPr>
                  <w:tcW w:type="dxa" w:w="1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1.参考尺寸： 1400*800*750</w:t>
                  </w:r>
                  <w:r>
                    <w:br/>
                  </w:r>
                  <w:r>
                    <w:rPr>
                      <w:rFonts w:ascii="仿宋_GB2312" w:hAnsi="仿宋_GB2312" w:cs="仿宋_GB2312" w:eastAsia="仿宋_GB2312"/>
                      <w:sz w:val="20"/>
                      <w:color w:val="000000"/>
                    </w:rPr>
                    <w:t>2.1桌4凳:整体采用橡木全实木材质，榫卯结构;采用环保油漆。</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单人课桌凳</w:t>
                  </w:r>
                </w:p>
              </w:tc>
              <w:tc>
                <w:tcPr>
                  <w:tcW w:type="dxa" w:w="1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1、桌面:参考桌面尺寸600*400*18mm，采用E1级≥18mm中纤板板注塑包边，四角圆角设计，桌面前端带有笔槽:</w:t>
                  </w:r>
                  <w:r>
                    <w:br/>
                  </w:r>
                  <w:r>
                    <w:rPr>
                      <w:rFonts w:ascii="仿宋_GB2312" w:hAnsi="仿宋_GB2312" w:cs="仿宋_GB2312" w:eastAsia="仿宋_GB2312"/>
                      <w:sz w:val="20"/>
                      <w:color w:val="000000"/>
                    </w:rPr>
                    <w:t>2、桌架:桌子立管采用不低于20*50*≥1.2mm 焊接椭圆管，桌子横拉杆采用不低于20*50*≥1.0mm 焊接椭圆管，桌子底脚采用不低于 20*50*≥1.2mmm焊接椭圆管。</w:t>
                  </w:r>
                  <w:r>
                    <w:br/>
                  </w:r>
                  <w:r>
                    <w:rPr>
                      <w:rFonts w:ascii="仿宋_GB2312" w:hAnsi="仿宋_GB2312" w:cs="仿宋_GB2312" w:eastAsia="仿宋_GB2312"/>
                      <w:sz w:val="20"/>
                      <w:color w:val="000000"/>
                    </w:rPr>
                    <w:t>3、桌斗参考尺寸:500*350*180,中间大片采用≥ 0.8mm 冷轧板一次成型，前沿卷边设计防刮手，桌斗升降片采用≥ 0.8m 冷轧板一次成型，具有升降功能，两侧带有一体成型书包钩。桌斗底部设加强筋，增加桌斗承载。4、配件:升降中套、桌子脚套及书包钩均采用工程塑料一次注塑成型。</w:t>
                  </w:r>
                  <w:r>
                    <w:br/>
                  </w:r>
                  <w:r>
                    <w:rPr>
                      <w:rFonts w:ascii="仿宋_GB2312" w:hAnsi="仿宋_GB2312" w:cs="仿宋_GB2312" w:eastAsia="仿宋_GB2312"/>
                      <w:sz w:val="20"/>
                      <w:color w:val="000000"/>
                    </w:rPr>
                    <w:t>二、课凳</w:t>
                  </w:r>
                  <w:r>
                    <w:br/>
                  </w:r>
                  <w:r>
                    <w:rPr>
                      <w:rFonts w:ascii="仿宋_GB2312" w:hAnsi="仿宋_GB2312" w:cs="仿宋_GB2312" w:eastAsia="仿宋_GB2312"/>
                      <w:sz w:val="20"/>
                      <w:color w:val="000000"/>
                    </w:rPr>
                    <w:t>1、椅面:椅面参考尺寸400mm*360mm*18mm采用≥18mm中纤板板注塑包边;靠背参考尺寸400mm*170mm*18mm 采用≥E1级密度板注塑包边。</w:t>
                  </w:r>
                  <w:r>
                    <w:br/>
                  </w:r>
                  <w:r>
                    <w:rPr>
                      <w:rFonts w:ascii="仿宋_GB2312" w:hAnsi="仿宋_GB2312" w:cs="仿宋_GB2312" w:eastAsia="仿宋_GB2312"/>
                      <w:sz w:val="20"/>
                      <w:color w:val="000000"/>
                    </w:rPr>
                    <w:t>2、椅架:椅子立管不低于20*50*≥1.2mm 焊接椭圆管。</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阅览桌</w:t>
                  </w:r>
                </w:p>
              </w:tc>
              <w:tc>
                <w:tcPr>
                  <w:tcW w:type="dxa" w:w="1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参考尺寸</w:t>
                  </w:r>
                  <w:r>
                    <w:rPr>
                      <w:rFonts w:ascii="仿宋_GB2312" w:hAnsi="仿宋_GB2312" w:cs="仿宋_GB2312" w:eastAsia="仿宋_GB2312"/>
                      <w:sz w:val="20"/>
                      <w:color w:val="000000"/>
                    </w:rPr>
                    <w:t>：</w:t>
                  </w:r>
                  <w:r>
                    <w:rPr>
                      <w:rFonts w:ascii="仿宋_GB2312" w:hAnsi="仿宋_GB2312" w:cs="仿宋_GB2312" w:eastAsia="仿宋_GB2312"/>
                      <w:sz w:val="20"/>
                      <w:color w:val="000000"/>
                    </w:rPr>
                    <w:t>2000*1200*750mm，桌面：≥48mm厚橡胶木，桌腿：≥80*80mm橡胶木实木腿，整体表面清漆处理。</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阅览凳</w:t>
                  </w:r>
                </w:p>
              </w:tc>
              <w:tc>
                <w:tcPr>
                  <w:tcW w:type="dxa" w:w="1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椅架采用橡木，榫卯结构，防滑脚钉，皮面软包坐垫。</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8</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光能黑板一体机（核心产品）</w:t>
                  </w:r>
                </w:p>
              </w:tc>
              <w:tc>
                <w:tcPr>
                  <w:tcW w:type="dxa" w:w="1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一、光能黑板</w:t>
                  </w:r>
                </w:p>
                <w:p>
                  <w:pPr>
                    <w:pStyle w:val="null3"/>
                    <w:jc w:val="left"/>
                  </w:pPr>
                  <w:r>
                    <w:rPr>
                      <w:rFonts w:ascii="仿宋_GB2312" w:hAnsi="仿宋_GB2312" w:cs="仿宋_GB2312" w:eastAsia="仿宋_GB2312"/>
                      <w:sz w:val="20"/>
                      <w:color w:val="000000"/>
                    </w:rPr>
                    <w:t>1、触控一体机两侧各放置一块光能黑板。单块光能黑板≥1250（长）*1150（高）mm。下边框具有可调节托板，可根据触控一体机高度进行调整至与触控一体机高度平齐，兼具置物功能。</w:t>
                  </w:r>
                </w:p>
                <w:p>
                  <w:pPr>
                    <w:pStyle w:val="null3"/>
                    <w:jc w:val="left"/>
                  </w:pPr>
                  <w:r>
                    <w:rPr>
                      <w:rFonts w:ascii="仿宋_GB2312" w:hAnsi="仿宋_GB2312" w:cs="仿宋_GB2312" w:eastAsia="仿宋_GB2312"/>
                      <w:sz w:val="20"/>
                      <w:color w:val="000000"/>
                    </w:rPr>
                    <w:t>2、黑板四角应为圆角。</w:t>
                  </w:r>
                </w:p>
                <w:p>
                  <w:pPr>
                    <w:pStyle w:val="null3"/>
                    <w:jc w:val="left"/>
                  </w:pPr>
                  <w:r>
                    <w:rPr>
                      <w:rFonts w:ascii="仿宋_GB2312" w:hAnsi="仿宋_GB2312" w:cs="仿宋_GB2312" w:eastAsia="仿宋_GB2312"/>
                      <w:sz w:val="20"/>
                      <w:color w:val="000000"/>
                    </w:rPr>
                    <w:t>3、边框采用铝合金材质。</w:t>
                  </w:r>
                </w:p>
                <w:p>
                  <w:pPr>
                    <w:pStyle w:val="null3"/>
                    <w:jc w:val="left"/>
                  </w:pPr>
                  <w:r>
                    <w:rPr>
                      <w:rFonts w:ascii="仿宋_GB2312" w:hAnsi="仿宋_GB2312" w:cs="仿宋_GB2312" w:eastAsia="仿宋_GB2312"/>
                      <w:sz w:val="20"/>
                      <w:color w:val="000000"/>
                    </w:rPr>
                    <w:t>4、黑板侧面应采用侧封板，侧封板在非拆除形式下，能够调整侧封板与墙面的闭合距离。</w:t>
                  </w:r>
                </w:p>
                <w:p>
                  <w:pPr>
                    <w:pStyle w:val="null3"/>
                    <w:jc w:val="left"/>
                  </w:pPr>
                  <w:r>
                    <w:rPr>
                      <w:rFonts w:ascii="仿宋_GB2312" w:hAnsi="仿宋_GB2312" w:cs="仿宋_GB2312" w:eastAsia="仿宋_GB2312"/>
                      <w:sz w:val="20"/>
                      <w:color w:val="000000"/>
                    </w:rPr>
                    <w:t>5、采用多种笔杆均可在板面进行书写，可擦写次数不低于8万次。</w:t>
                  </w:r>
                </w:p>
                <w:p>
                  <w:pPr>
                    <w:pStyle w:val="null3"/>
                    <w:jc w:val="left"/>
                  </w:pPr>
                  <w:r>
                    <w:rPr>
                      <w:rFonts w:ascii="仿宋_GB2312" w:hAnsi="仿宋_GB2312" w:cs="仿宋_GB2312" w:eastAsia="仿宋_GB2312"/>
                      <w:sz w:val="20"/>
                      <w:color w:val="000000"/>
                    </w:rPr>
                    <w:t>6、板面应无频闪、无背光，上膜不应产生眩光。板书笔迹平视可视距离≥10米，可视角度≥120°。</w:t>
                  </w:r>
                </w:p>
                <w:p>
                  <w:pPr>
                    <w:pStyle w:val="null3"/>
                    <w:jc w:val="left"/>
                  </w:pPr>
                  <w:r>
                    <w:rPr>
                      <w:rFonts w:ascii="仿宋_GB2312" w:hAnsi="仿宋_GB2312" w:cs="仿宋_GB2312" w:eastAsia="仿宋_GB2312"/>
                      <w:sz w:val="20"/>
                      <w:color w:val="000000"/>
                    </w:rPr>
                    <w:t>7、光能黑板的光泽度不高于30光泽单位。</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color w:val="000000"/>
                    </w:rPr>
                    <w:t>8、板面粗糙度Sa≤0.3um。（</w:t>
                  </w:r>
                  <w:r>
                    <w:rPr>
                      <w:rFonts w:ascii="仿宋_GB2312" w:hAnsi="仿宋_GB2312" w:cs="仿宋_GB2312" w:eastAsia="仿宋_GB2312"/>
                      <w:sz w:val="20"/>
                    </w:rPr>
                    <w:t>提供相应的证明材料，包括但不限于测试报告、官网和功能截图等</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9、书写板上膜应经过抗紫外线工艺处理，波长小于380nm的紫外线阻隔率不低于9%。</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color w:val="000000"/>
                    </w:rPr>
                    <w:t>10、一键擦除时间不大于2秒，擦除应无断点、无死角等，擦除后应无明显残留痕迹。（</w:t>
                  </w:r>
                  <w:r>
                    <w:rPr>
                      <w:rFonts w:ascii="仿宋_GB2312" w:hAnsi="仿宋_GB2312" w:cs="仿宋_GB2312" w:eastAsia="仿宋_GB2312"/>
                      <w:sz w:val="20"/>
                    </w:rPr>
                    <w:t>提供相应的证明材料，包括但不限于测试报告、官网和功能截图等。</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color w:val="000000"/>
                    </w:rPr>
                    <w:t>11、可使用板擦和手势对板书进行局部擦除，局部擦除时间不大于0.5秒，擦除应无断点、无死角等，擦除后应无明显残留痕迹，且非擦除区域不受影响。（</w:t>
                  </w:r>
                  <w:r>
                    <w:rPr>
                      <w:rFonts w:ascii="仿宋_GB2312" w:hAnsi="仿宋_GB2312" w:cs="仿宋_GB2312" w:eastAsia="仿宋_GB2312"/>
                      <w:sz w:val="20"/>
                    </w:rPr>
                    <w:t>提供相应的证明材料，包括但不限于测试报告、官网和功能截图等。</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12、黑板内设有电压调整机制，支持自动感应调整，也支持通过手势按压书写板板面的特定位置，调节局部擦除的灵敏度，适应不同用户的使用需求。</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color w:val="000000"/>
                    </w:rPr>
                    <w:t>13、最大工作电流（瞬间电流）不得超过1000mA。（</w:t>
                  </w:r>
                  <w:r>
                    <w:rPr>
                      <w:rFonts w:ascii="仿宋_GB2312" w:hAnsi="仿宋_GB2312" w:cs="仿宋_GB2312" w:eastAsia="仿宋_GB2312"/>
                      <w:sz w:val="20"/>
                    </w:rPr>
                    <w:t>提供相应的证明材料，包括但不限于测试报告、官网和功能截图等。</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color w:val="000000"/>
                    </w:rPr>
                    <w:t>14、黑板表面具有暗格，黑板表面可吸附磁贴、磁扣等教学工具。（</w:t>
                  </w:r>
                  <w:r>
                    <w:rPr>
                      <w:rFonts w:ascii="仿宋_GB2312" w:hAnsi="仿宋_GB2312" w:cs="仿宋_GB2312" w:eastAsia="仿宋_GB2312"/>
                      <w:sz w:val="20"/>
                    </w:rPr>
                    <w:t>提供相应的证明材料，包括但不限于测试报告、官网和功能截图等。</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color w:val="000000"/>
                    </w:rPr>
                    <w:t>15、光能黑板电磁场强度符合国家《工作场所有害因素职业接触限值物理因素》确认的：工频电场≤5000V/m，磁感应强度≤100uT的限量。</w:t>
                  </w:r>
                  <w:r>
                    <w:rPr>
                      <w:rFonts w:ascii="仿宋_GB2312" w:hAnsi="仿宋_GB2312" w:cs="仿宋_GB2312" w:eastAsia="仿宋_GB2312"/>
                      <w:sz w:val="20"/>
                      <w:color w:val="000000"/>
                    </w:rPr>
                    <w:t>（</w:t>
                  </w:r>
                  <w:r>
                    <w:rPr>
                      <w:rFonts w:ascii="仿宋_GB2312" w:hAnsi="仿宋_GB2312" w:cs="仿宋_GB2312" w:eastAsia="仿宋_GB2312"/>
                      <w:sz w:val="20"/>
                    </w:rPr>
                    <w:t>提供相应的证明材料，包括但不限于测试报告、官网和功能截图等。</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16、光能黑板应具有触摸快捷键。</w:t>
                  </w:r>
                </w:p>
                <w:p>
                  <w:pPr>
                    <w:pStyle w:val="null3"/>
                    <w:jc w:val="left"/>
                  </w:pPr>
                  <w:r>
                    <w:rPr>
                      <w:rFonts w:ascii="仿宋_GB2312" w:hAnsi="仿宋_GB2312" w:cs="仿宋_GB2312" w:eastAsia="仿宋_GB2312"/>
                      <w:sz w:val="20"/>
                      <w:color w:val="000000"/>
                    </w:rPr>
                    <w:t>软件要求</w:t>
                  </w:r>
                </w:p>
                <w:p>
                  <w:pPr>
                    <w:pStyle w:val="null3"/>
                    <w:jc w:val="left"/>
                  </w:pPr>
                  <w:r>
                    <w:rPr>
                      <w:rFonts w:ascii="仿宋_GB2312" w:hAnsi="仿宋_GB2312" w:cs="仿宋_GB2312" w:eastAsia="仿宋_GB2312"/>
                      <w:sz w:val="20"/>
                      <w:color w:val="000000"/>
                    </w:rPr>
                    <w:t>1、左、右光能黑板可与触控一体机进行互动，将光能黑板的内容与触控一体机无缝连接，教师在光能黑板上的书写内容可同步显示在触控一体机上。</w:t>
                  </w:r>
                </w:p>
                <w:p>
                  <w:pPr>
                    <w:pStyle w:val="null3"/>
                    <w:jc w:val="left"/>
                  </w:pPr>
                  <w:r>
                    <w:rPr>
                      <w:rFonts w:ascii="仿宋_GB2312" w:hAnsi="仿宋_GB2312" w:cs="仿宋_GB2312" w:eastAsia="仿宋_GB2312"/>
                      <w:sz w:val="20"/>
                      <w:color w:val="000000"/>
                    </w:rPr>
                    <w:t>2、板书界面与电脑桌面/PPT课件之间，可以来回切换，方便快捷。</w:t>
                  </w:r>
                </w:p>
                <w:p>
                  <w:pPr>
                    <w:pStyle w:val="null3"/>
                    <w:jc w:val="left"/>
                  </w:pPr>
                  <w:r>
                    <w:rPr>
                      <w:rFonts w:ascii="仿宋_GB2312" w:hAnsi="仿宋_GB2312" w:cs="仿宋_GB2312" w:eastAsia="仿宋_GB2312"/>
                      <w:sz w:val="20"/>
                      <w:color w:val="000000"/>
                    </w:rPr>
                    <w:t>3、可以通过触摸快捷键快速切换单页和多页显示：单板书写时，可单页面显示（此时只有一块黑板界面）；多板同时书写时，可多页面同时显示。</w:t>
                  </w:r>
                </w:p>
                <w:p>
                  <w:pPr>
                    <w:pStyle w:val="null3"/>
                    <w:jc w:val="left"/>
                  </w:pPr>
                  <w:r>
                    <w:rPr>
                      <w:rFonts w:ascii="仿宋_GB2312" w:hAnsi="仿宋_GB2312" w:cs="仿宋_GB2312" w:eastAsia="仿宋_GB2312"/>
                      <w:sz w:val="20"/>
                      <w:color w:val="000000"/>
                    </w:rPr>
                    <w:t>4、可以使用分屏功能，断开黑板与大屏的传输，使其成为互不影响的多块黑板。</w:t>
                  </w:r>
                </w:p>
                <w:p>
                  <w:pPr>
                    <w:pStyle w:val="null3"/>
                    <w:jc w:val="left"/>
                  </w:pPr>
                  <w:r>
                    <w:rPr>
                      <w:rFonts w:ascii="仿宋_GB2312" w:hAnsi="仿宋_GB2312" w:cs="仿宋_GB2312" w:eastAsia="仿宋_GB2312"/>
                      <w:sz w:val="20"/>
                      <w:color w:val="000000"/>
                    </w:rPr>
                    <w:t>5、设置不同的软件端笔迹颜色；</w:t>
                  </w:r>
                </w:p>
                <w:p>
                  <w:pPr>
                    <w:pStyle w:val="null3"/>
                    <w:jc w:val="left"/>
                  </w:pPr>
                  <w:r>
                    <w:rPr>
                      <w:rFonts w:ascii="仿宋_GB2312" w:hAnsi="仿宋_GB2312" w:cs="仿宋_GB2312" w:eastAsia="仿宋_GB2312"/>
                      <w:sz w:val="20"/>
                      <w:color w:val="000000"/>
                    </w:rPr>
                    <w:t>6、保存后的板书可以上下翻页，快速预览所有已经存储的板书内容。当点击光能黑板上的上下翻页时，仅对当前光能黑板的同传内容进行上下翻页，而不影响另一块光能黑板的同传界面。</w:t>
                  </w:r>
                  <w:r>
                    <w:br/>
                  </w:r>
                  <w:r>
                    <w:rPr>
                      <w:rFonts w:ascii="仿宋_GB2312" w:hAnsi="仿宋_GB2312" w:cs="仿宋_GB2312" w:eastAsia="仿宋_GB2312"/>
                      <w:sz w:val="20"/>
                      <w:color w:val="000000"/>
                    </w:rPr>
                    <w:t>7、对板书的电子文档进行分享，可以存储在本地PC端，同时生成二维码，便于师生扫码获取。</w:t>
                  </w:r>
                </w:p>
                <w:p>
                  <w:pPr>
                    <w:pStyle w:val="null3"/>
                    <w:jc w:val="left"/>
                  </w:pPr>
                  <w:r>
                    <w:rPr>
                      <w:rFonts w:ascii="仿宋_GB2312" w:hAnsi="仿宋_GB2312" w:cs="仿宋_GB2312" w:eastAsia="仿宋_GB2312"/>
                      <w:sz w:val="20"/>
                      <w:color w:val="000000"/>
                    </w:rPr>
                    <w:t>8、可以对课堂的板书和讲解进行录制，生成视频文档，利于学生课后复习回放。</w:t>
                  </w:r>
                </w:p>
                <w:p>
                  <w:pPr>
                    <w:pStyle w:val="null3"/>
                    <w:jc w:val="left"/>
                  </w:pPr>
                  <w:r>
                    <w:rPr>
                      <w:rFonts w:ascii="仿宋_GB2312" w:hAnsi="仿宋_GB2312" w:cs="仿宋_GB2312" w:eastAsia="仿宋_GB2312"/>
                      <w:sz w:val="20"/>
                      <w:color w:val="000000"/>
                    </w:rPr>
                    <w:t>9、支持导入PPT课件，可以在同传软件上同时显示出PPT课件和板书的记录文本。</w:t>
                  </w:r>
                </w:p>
                <w:p>
                  <w:pPr>
                    <w:pStyle w:val="null3"/>
                    <w:jc w:val="left"/>
                  </w:pPr>
                  <w:r>
                    <w:rPr>
                      <w:rFonts w:ascii="仿宋_GB2312" w:hAnsi="仿宋_GB2312" w:cs="仿宋_GB2312" w:eastAsia="仿宋_GB2312"/>
                      <w:sz w:val="20"/>
                      <w:color w:val="000000"/>
                    </w:rPr>
                    <w:t>10、具备打印功能，可连接打印机将保存的板书文档传输至打印机打印，方便灵活。</w:t>
                  </w:r>
                </w:p>
                <w:p>
                  <w:pPr>
                    <w:pStyle w:val="null3"/>
                    <w:jc w:val="left"/>
                  </w:pPr>
                  <w:r>
                    <w:rPr>
                      <w:rFonts w:ascii="仿宋_GB2312" w:hAnsi="仿宋_GB2312" w:cs="仿宋_GB2312" w:eastAsia="仿宋_GB2312"/>
                      <w:sz w:val="20"/>
                      <w:color w:val="000000"/>
                    </w:rPr>
                    <w:t>二、一体机</w:t>
                  </w:r>
                </w:p>
                <w:p>
                  <w:pPr>
                    <w:pStyle w:val="null3"/>
                    <w:jc w:val="left"/>
                  </w:pPr>
                  <w:r>
                    <w:rPr>
                      <w:rFonts w:ascii="仿宋_GB2312" w:hAnsi="仿宋_GB2312" w:cs="仿宋_GB2312" w:eastAsia="仿宋_GB2312"/>
                      <w:sz w:val="20"/>
                      <w:b/>
                    </w:rPr>
                    <w:t>1、整体要求：</w:t>
                  </w:r>
                </w:p>
                <w:p>
                  <w:pPr>
                    <w:pStyle w:val="null3"/>
                    <w:numPr>
                      <w:ilvl w:val="0"/>
                      <w:numId w:val="1"/>
                    </w:numPr>
                    <w:spacing w:after="75"/>
                    <w:jc w:val="left"/>
                  </w:pPr>
                  <w:r>
                    <w:rPr>
                      <w:rFonts w:ascii="仿宋_GB2312" w:hAnsi="仿宋_GB2312" w:cs="仿宋_GB2312" w:eastAsia="仿宋_GB2312"/>
                      <w:sz w:val="20"/>
                      <w:color w:val="000000"/>
                    </w:rPr>
                    <w:t>屏体要求：</w:t>
                  </w:r>
                  <w:r>
                    <w:rPr>
                      <w:rFonts w:ascii="仿宋_GB2312" w:hAnsi="仿宋_GB2312" w:cs="仿宋_GB2312" w:eastAsia="仿宋_GB2312"/>
                      <w:sz w:val="20"/>
                      <w:color w:val="000000"/>
                    </w:rPr>
                    <w:t>≥86英寸，液晶LED，显示比例(16：9)；</w:t>
                  </w:r>
                </w:p>
                <w:p>
                  <w:pPr>
                    <w:pStyle w:val="null3"/>
                    <w:numPr>
                      <w:ilvl w:val="0"/>
                      <w:numId w:val="1"/>
                    </w:numPr>
                    <w:spacing w:after="75"/>
                    <w:jc w:val="left"/>
                  </w:pPr>
                  <w:r>
                    <w:rPr>
                      <w:rFonts w:ascii="仿宋_GB2312" w:hAnsi="仿宋_GB2312" w:cs="仿宋_GB2312" w:eastAsia="仿宋_GB2312"/>
                      <w:sz w:val="20"/>
                      <w:color w:val="000000"/>
                    </w:rPr>
                    <w:t>亮度：</w:t>
                  </w:r>
                  <w:r>
                    <w:rPr>
                      <w:rFonts w:ascii="仿宋_GB2312" w:hAnsi="仿宋_GB2312" w:cs="仿宋_GB2312" w:eastAsia="仿宋_GB2312"/>
                      <w:sz w:val="20"/>
                      <w:color w:val="000000"/>
                    </w:rPr>
                    <w:t>≥350cd/m2、对比度：≥5000:1、屏体物理分辨率≥3840*2160；</w:t>
                  </w:r>
                </w:p>
                <w:p>
                  <w:pPr>
                    <w:pStyle w:val="null3"/>
                    <w:numPr>
                      <w:ilvl w:val="0"/>
                      <w:numId w:val="1"/>
                    </w:numPr>
                    <w:spacing w:after="75"/>
                    <w:jc w:val="left"/>
                  </w:pPr>
                  <w:r>
                    <w:rPr>
                      <w:rFonts w:ascii="仿宋_GB2312" w:hAnsi="仿宋_GB2312" w:cs="仿宋_GB2312" w:eastAsia="仿宋_GB2312"/>
                      <w:sz w:val="20"/>
                      <w:color w:val="000000"/>
                    </w:rPr>
                    <w:t>防眩光功能：采用</w:t>
                  </w:r>
                  <w:r>
                    <w:rPr>
                      <w:rFonts w:ascii="仿宋_GB2312" w:hAnsi="仿宋_GB2312" w:cs="仿宋_GB2312" w:eastAsia="仿宋_GB2312"/>
                      <w:sz w:val="20"/>
                      <w:color w:val="000000"/>
                    </w:rPr>
                    <w:t>4mm 厚 AG 钢化玻璃，防眩光，减少玻璃反射光的影响，反射率小于 1%；</w:t>
                  </w:r>
                </w:p>
                <w:p>
                  <w:pPr>
                    <w:pStyle w:val="null3"/>
                    <w:numPr>
                      <w:ilvl w:val="0"/>
                      <w:numId w:val="1"/>
                    </w:numPr>
                    <w:spacing w:after="75"/>
                    <w:jc w:val="left"/>
                  </w:pPr>
                  <w:r>
                    <w:rPr>
                      <w:rFonts w:ascii="仿宋_GB2312" w:hAnsi="仿宋_GB2312" w:cs="仿宋_GB2312" w:eastAsia="仿宋_GB2312"/>
                      <w:sz w:val="20"/>
                      <w:color w:val="000000"/>
                    </w:rPr>
                    <w:t>触摸技术：</w:t>
                  </w:r>
                  <w:r>
                    <w:rPr>
                      <w:rFonts w:ascii="仿宋_GB2312" w:hAnsi="仿宋_GB2312" w:cs="仿宋_GB2312" w:eastAsia="仿宋_GB2312"/>
                      <w:sz w:val="20"/>
                      <w:color w:val="000000"/>
                    </w:rPr>
                    <w:t>≥20点触控。</w:t>
                  </w:r>
                </w:p>
                <w:p>
                  <w:pPr>
                    <w:pStyle w:val="null3"/>
                    <w:spacing w:after="75"/>
                    <w:jc w:val="left"/>
                  </w:pPr>
                  <w:r>
                    <w:rPr>
                      <w:rFonts w:ascii="仿宋_GB2312" w:hAnsi="仿宋_GB2312" w:cs="仿宋_GB2312" w:eastAsia="仿宋_GB2312"/>
                      <w:sz w:val="21"/>
                    </w:rPr>
                    <w:t>▲</w:t>
                  </w:r>
                  <w:r>
                    <w:rPr>
                      <w:rFonts w:ascii="仿宋_GB2312" w:hAnsi="仿宋_GB2312" w:cs="仿宋_GB2312" w:eastAsia="仿宋_GB2312"/>
                      <w:sz w:val="20"/>
                      <w:color w:val="000000"/>
                    </w:rPr>
                    <w:t>5.接口：≥USB3.0*5；≥Type C*1；≥Touch USB*2；≥HDMI in*2；  ≥COAX*1、≥Earphone *1、≥RS232*1、≥RJ45*1、≥TF Card*1</w:t>
                  </w:r>
                  <w:r>
                    <w:rPr>
                      <w:rFonts w:ascii="仿宋_GB2312" w:hAnsi="仿宋_GB2312" w:cs="仿宋_GB2312" w:eastAsia="仿宋_GB2312"/>
                      <w:sz w:val="20"/>
                    </w:rPr>
                    <w:t>(提供相应的功能证明材料，包括但不限于测试报告、官网和功能截图等。)</w:t>
                  </w:r>
                </w:p>
                <w:p>
                  <w:pPr>
                    <w:pStyle w:val="null3"/>
                    <w:spacing w:after="75"/>
                    <w:jc w:val="left"/>
                  </w:pPr>
                  <w:r>
                    <w:rPr>
                      <w:rFonts w:ascii="仿宋_GB2312" w:hAnsi="仿宋_GB2312" w:cs="仿宋_GB2312" w:eastAsia="仿宋_GB2312"/>
                      <w:sz w:val="21"/>
                    </w:rPr>
                    <w:t>▲</w:t>
                  </w:r>
                  <w:r>
                    <w:rPr>
                      <w:rFonts w:ascii="仿宋_GB2312" w:hAnsi="仿宋_GB2312" w:cs="仿宋_GB2312" w:eastAsia="仿宋_GB2312"/>
                      <w:sz w:val="20"/>
                      <w:color w:val="000000"/>
                    </w:rPr>
                    <w:t>6.按键≥7个包括：录屏、图像比例、音量-、音量+、设置、护眼、电源；1</w:t>
                  </w:r>
                  <w:r>
                    <w:rPr>
                      <w:rFonts w:ascii="仿宋_GB2312" w:hAnsi="仿宋_GB2312" w:cs="仿宋_GB2312" w:eastAsia="仿宋_GB2312"/>
                      <w:sz w:val="20"/>
                    </w:rPr>
                    <w:t>(提供相应的功能证明材料，包括但不限于测试报告、官网和功能截图等。)</w:t>
                  </w:r>
                </w:p>
                <w:p>
                  <w:pPr>
                    <w:pStyle w:val="null3"/>
                    <w:spacing w:after="75"/>
                    <w:jc w:val="left"/>
                  </w:pPr>
                  <w:r>
                    <w:rPr>
                      <w:rFonts w:ascii="仿宋_GB2312" w:hAnsi="仿宋_GB2312" w:cs="仿宋_GB2312" w:eastAsia="仿宋_GB2312"/>
                      <w:sz w:val="20"/>
                      <w:color w:val="000000"/>
                    </w:rPr>
                    <w:t>7.整机开关、电脑开关和节能待机键三合一，操作便捷；设备支持通过前置按键一键启动录屏功能，可将屏幕中显示的课件、音频等内容与老师人声同步录制，方便制作教学视频；支持OPS一键还原。</w:t>
                  </w:r>
                </w:p>
                <w:p>
                  <w:pPr>
                    <w:pStyle w:val="null3"/>
                    <w:spacing w:after="75"/>
                    <w:jc w:val="left"/>
                  </w:pPr>
                  <w:r>
                    <w:rPr>
                      <w:rFonts w:ascii="仿宋_GB2312" w:hAnsi="仿宋_GB2312" w:cs="仿宋_GB2312" w:eastAsia="仿宋_GB2312"/>
                      <w:sz w:val="21"/>
                    </w:rPr>
                    <w:t>▲</w:t>
                  </w:r>
                  <w:r>
                    <w:rPr>
                      <w:rFonts w:ascii="仿宋_GB2312" w:hAnsi="仿宋_GB2312" w:cs="仿宋_GB2312" w:eastAsia="仿宋_GB2312"/>
                      <w:sz w:val="20"/>
                      <w:color w:val="000000"/>
                    </w:rPr>
                    <w:t>8.内部缓存容量（RAM）：≥4GB ；内部存储容量（ROM）：≥32GB。</w:t>
                  </w:r>
                  <w:r>
                    <w:rPr>
                      <w:rFonts w:ascii="仿宋_GB2312" w:hAnsi="仿宋_GB2312" w:cs="仿宋_GB2312" w:eastAsia="仿宋_GB2312"/>
                      <w:sz w:val="20"/>
                    </w:rPr>
                    <w:t>(提供相应的功能证明材料，包括但不限于测试报告、官网和功能截图等。)</w:t>
                  </w:r>
                </w:p>
                <w:p>
                  <w:pPr>
                    <w:pStyle w:val="null3"/>
                    <w:spacing w:after="75"/>
                    <w:jc w:val="left"/>
                  </w:pPr>
                  <w:r>
                    <w:rPr>
                      <w:rFonts w:ascii="仿宋_GB2312" w:hAnsi="仿宋_GB2312" w:cs="仿宋_GB2312" w:eastAsia="仿宋_GB2312"/>
                      <w:sz w:val="20"/>
                      <w:color w:val="000000"/>
                    </w:rPr>
                    <w:t>9.内置双路 WIFI，支持 AP 热点，Wifi : 2.4GHz / AP : 2.4GHz/5GHz。</w:t>
                  </w:r>
                </w:p>
                <w:p>
                  <w:pPr>
                    <w:pStyle w:val="null3"/>
                    <w:spacing w:after="75"/>
                    <w:jc w:val="left"/>
                  </w:pPr>
                  <w:r>
                    <w:rPr>
                      <w:rFonts w:ascii="仿宋_GB2312" w:hAnsi="仿宋_GB2312" w:cs="仿宋_GB2312" w:eastAsia="仿宋_GB2312"/>
                      <w:sz w:val="20"/>
                      <w:color w:val="000000"/>
                    </w:rPr>
                    <w:t>10.可通过及触摸按键对内置电脑画面实现一键切换屏幕分辨率，调整画面显示比例；。</w:t>
                  </w:r>
                </w:p>
                <w:p>
                  <w:pPr>
                    <w:pStyle w:val="null3"/>
                    <w:spacing w:after="75"/>
                    <w:jc w:val="left"/>
                  </w:pPr>
                  <w:r>
                    <w:rPr>
                      <w:rFonts w:ascii="仿宋_GB2312" w:hAnsi="仿宋_GB2312" w:cs="仿宋_GB2312" w:eastAsia="仿宋_GB2312"/>
                      <w:sz w:val="20"/>
                      <w:color w:val="000000"/>
                    </w:rPr>
                    <w:t>11.设备能自动识别并切换到最新接入的信号源通道。自动跳转前支持选择确认，待确认后再跳转。</w:t>
                  </w:r>
                </w:p>
                <w:p>
                  <w:pPr>
                    <w:pStyle w:val="null3"/>
                    <w:spacing w:after="75"/>
                    <w:jc w:val="left"/>
                  </w:pPr>
                  <w:r>
                    <w:rPr>
                      <w:rFonts w:ascii="仿宋_GB2312" w:hAnsi="仿宋_GB2312" w:cs="仿宋_GB2312" w:eastAsia="仿宋_GB2312"/>
                      <w:sz w:val="20"/>
                      <w:color w:val="000000"/>
                    </w:rPr>
                    <w:t>12.产品应支持童锁开关功能，当开启童锁功能后，界面将被锁住。</w:t>
                  </w:r>
                </w:p>
                <w:p>
                  <w:pPr>
                    <w:pStyle w:val="null3"/>
                    <w:spacing w:after="75"/>
                    <w:jc w:val="left"/>
                  </w:pPr>
                  <w:r>
                    <w:rPr>
                      <w:rFonts w:ascii="仿宋_GB2312" w:hAnsi="仿宋_GB2312" w:cs="仿宋_GB2312" w:eastAsia="仿宋_GB2312"/>
                      <w:sz w:val="20"/>
                      <w:color w:val="000000"/>
                    </w:rPr>
                    <w:t>13.任意信号源通道下均可调用悬浮菜单，悬浮菜单具有一键启用应用软件、随时批注擦除，切换信号源等功能，悬浮菜单中的信号源支持自定义修改且可一键直达常用信号源可通过多指调用到屏幕任意位置。悬浮菜单中的应用可根据使用需求进行应用或功能的替换。</w:t>
                  </w:r>
                </w:p>
                <w:p>
                  <w:pPr>
                    <w:pStyle w:val="null3"/>
                    <w:jc w:val="left"/>
                  </w:pPr>
                  <w:r>
                    <w:rPr>
                      <w:rFonts w:ascii="仿宋_GB2312" w:hAnsi="仿宋_GB2312" w:cs="仿宋_GB2312" w:eastAsia="仿宋_GB2312"/>
                      <w:sz w:val="20"/>
                      <w:color w:val="000000"/>
                    </w:rPr>
                    <w:t>14.整机具备智能手势识别功能。</w:t>
                  </w:r>
                </w:p>
                <w:p>
                  <w:pPr>
                    <w:pStyle w:val="null3"/>
                    <w:jc w:val="left"/>
                  </w:pPr>
                  <w:r>
                    <w:rPr>
                      <w:rFonts w:ascii="仿宋_GB2312" w:hAnsi="仿宋_GB2312" w:cs="仿宋_GB2312" w:eastAsia="仿宋_GB2312"/>
                      <w:sz w:val="20"/>
                      <w:color w:val="000000"/>
                    </w:rPr>
                    <w:t>15.摄像头及麦克风：配备≥1200 万像素摄像头及阵列麦克风；</w:t>
                  </w:r>
                </w:p>
                <w:p>
                  <w:pPr>
                    <w:pStyle w:val="null3"/>
                    <w:spacing w:after="75"/>
                    <w:jc w:val="left"/>
                  </w:pPr>
                  <w:r>
                    <w:rPr>
                      <w:rFonts w:ascii="仿宋_GB2312" w:hAnsi="仿宋_GB2312" w:cs="仿宋_GB2312" w:eastAsia="仿宋_GB2312"/>
                      <w:sz w:val="20"/>
                      <w:b/>
                      <w:color w:val="000000"/>
                    </w:rPr>
                    <w:t>2、白板软件</w:t>
                  </w:r>
                </w:p>
                <w:p>
                  <w:pPr>
                    <w:pStyle w:val="null3"/>
                    <w:numPr>
                      <w:ilvl w:val="0"/>
                      <w:numId w:val="1"/>
                    </w:numPr>
                    <w:jc w:val="left"/>
                  </w:pPr>
                  <w:r>
                    <w:rPr>
                      <w:rFonts w:ascii="仿宋_GB2312" w:hAnsi="仿宋_GB2312" w:cs="仿宋_GB2312" w:eastAsia="仿宋_GB2312"/>
                      <w:sz w:val="20"/>
                    </w:rPr>
                    <w:t>根据每名教师使用时长与教学资料制作频率提供个人云空间。</w:t>
                  </w:r>
                </w:p>
                <w:p>
                  <w:pPr>
                    <w:pStyle w:val="null3"/>
                    <w:numPr>
                      <w:ilvl w:val="0"/>
                      <w:numId w:val="1"/>
                    </w:numPr>
                    <w:jc w:val="left"/>
                  </w:pPr>
                  <w:r>
                    <w:rPr>
                      <w:rFonts w:ascii="仿宋_GB2312" w:hAnsi="仿宋_GB2312" w:cs="仿宋_GB2312" w:eastAsia="仿宋_GB2312"/>
                      <w:sz w:val="20"/>
                    </w:rPr>
                    <w:t>分享者可将互动课件精准推送至指定接收方账号云空间，接收方可在云空间接收并打开分享课件。支持链接方式分享，生成二维码，扫码即可获取，可以选择分享有效期等。</w:t>
                  </w:r>
                </w:p>
                <w:p>
                  <w:pPr>
                    <w:pStyle w:val="null3"/>
                    <w:numPr>
                      <w:ilvl w:val="0"/>
                      <w:numId w:val="1"/>
                    </w:numPr>
                    <w:jc w:val="left"/>
                  </w:pPr>
                  <w:r>
                    <w:rPr>
                      <w:rFonts w:ascii="仿宋_GB2312" w:hAnsi="仿宋_GB2312" w:cs="仿宋_GB2312" w:eastAsia="仿宋_GB2312"/>
                      <w:sz w:val="20"/>
                    </w:rPr>
                    <w:t>备课时支持将云空间中存储图片、音频、视频等素材插入课件，同时支持将课件导出保存。</w:t>
                  </w:r>
                </w:p>
                <w:p>
                  <w:pPr>
                    <w:pStyle w:val="null3"/>
                    <w:numPr>
                      <w:ilvl w:val="0"/>
                      <w:numId w:val="1"/>
                    </w:numPr>
                    <w:jc w:val="left"/>
                  </w:pPr>
                  <w:r>
                    <w:rPr>
                      <w:rFonts w:ascii="仿宋_GB2312" w:hAnsi="仿宋_GB2312" w:cs="仿宋_GB2312" w:eastAsia="仿宋_GB2312"/>
                      <w:sz w:val="20"/>
                    </w:rPr>
                    <w:t>采用备授课一体化框架设计，教师可根据教学场景自由切换类</w:t>
                  </w:r>
                  <w:r>
                    <w:rPr>
                      <w:rFonts w:ascii="仿宋_GB2312" w:hAnsi="仿宋_GB2312" w:cs="仿宋_GB2312" w:eastAsia="仿宋_GB2312"/>
                      <w:sz w:val="20"/>
                    </w:rPr>
                    <w:t>PPT界面的备课模式与触控交互教学模式。</w:t>
                  </w:r>
                </w:p>
                <w:p>
                  <w:pPr>
                    <w:pStyle w:val="null3"/>
                    <w:numPr>
                      <w:ilvl w:val="0"/>
                      <w:numId w:val="1"/>
                    </w:numPr>
                    <w:jc w:val="left"/>
                  </w:pPr>
                  <w:r>
                    <w:rPr>
                      <w:rFonts w:ascii="仿宋_GB2312" w:hAnsi="仿宋_GB2312" w:cs="仿宋_GB2312" w:eastAsia="仿宋_GB2312"/>
                      <w:sz w:val="20"/>
                    </w:rPr>
                    <w:t>互动课件与教案资料相互独立，互不干扰。教师可新建课件组文件夹对教学资源进行个性化的分类与标记，便于管理。</w:t>
                  </w:r>
                </w:p>
                <w:p>
                  <w:pPr>
                    <w:pStyle w:val="null3"/>
                    <w:numPr>
                      <w:ilvl w:val="0"/>
                      <w:numId w:val="1"/>
                    </w:numPr>
                    <w:jc w:val="left"/>
                  </w:pPr>
                  <w:r>
                    <w:rPr>
                      <w:rFonts w:ascii="仿宋_GB2312" w:hAnsi="仿宋_GB2312" w:cs="仿宋_GB2312" w:eastAsia="仿宋_GB2312"/>
                      <w:sz w:val="20"/>
                    </w:rPr>
                    <w:t>支持一键授课功能，点击一键授课即可生成授课模式书写白板。</w:t>
                  </w:r>
                </w:p>
                <w:p>
                  <w:pPr>
                    <w:pStyle w:val="null3"/>
                    <w:numPr>
                      <w:ilvl w:val="0"/>
                      <w:numId w:val="1"/>
                    </w:numPr>
                    <w:jc w:val="left"/>
                  </w:pPr>
                  <w:r>
                    <w:rPr>
                      <w:rFonts w:ascii="仿宋_GB2312" w:hAnsi="仿宋_GB2312" w:cs="仿宋_GB2312" w:eastAsia="仿宋_GB2312"/>
                      <w:sz w:val="20"/>
                    </w:rPr>
                    <w:t>互动课件内容的编辑修改无需人为保存即可自动同步至云空间，可根据教师需要调整云空间自动同步的时间间隔。编辑多份互动课件时，教师可一键将所有处于编辑状态的课件同步到互动课件云空间。</w:t>
                  </w:r>
                </w:p>
                <w:p>
                  <w:pPr>
                    <w:pStyle w:val="null3"/>
                    <w:numPr>
                      <w:ilvl w:val="0"/>
                      <w:numId w:val="1"/>
                    </w:numPr>
                    <w:jc w:val="left"/>
                  </w:pPr>
                  <w:r>
                    <w:rPr>
                      <w:rFonts w:ascii="仿宋_GB2312" w:hAnsi="仿宋_GB2312" w:cs="仿宋_GB2312" w:eastAsia="仿宋_GB2312"/>
                      <w:sz w:val="20"/>
                    </w:rPr>
                    <w:t>备课模式下，白板内嵌国家中小学智慧教育平台，可一键进行访问。</w:t>
                  </w:r>
                </w:p>
                <w:p>
                  <w:pPr>
                    <w:pStyle w:val="null3"/>
                    <w:numPr>
                      <w:ilvl w:val="0"/>
                      <w:numId w:val="1"/>
                    </w:numPr>
                    <w:jc w:val="left"/>
                  </w:pPr>
                  <w:r>
                    <w:rPr>
                      <w:rFonts w:ascii="仿宋_GB2312" w:hAnsi="仿宋_GB2312" w:cs="仿宋_GB2312" w:eastAsia="仿宋_GB2312"/>
                      <w:sz w:val="20"/>
                    </w:rPr>
                    <w:t>备课模式下教学系统支持</w:t>
                  </w:r>
                  <w:r>
                    <w:rPr>
                      <w:rFonts w:ascii="仿宋_GB2312" w:hAnsi="仿宋_GB2312" w:cs="仿宋_GB2312" w:eastAsia="仿宋_GB2312"/>
                      <w:sz w:val="20"/>
                    </w:rPr>
                    <w:t>PPT的原生解析，教师可将ppt课件转化为互动教学课件，导入课件保留ppt原文件中的文字、图片、表格等对象的可编辑性，并可为课件增加互动教学元素，保存生成独立格式课件。</w:t>
                  </w:r>
                </w:p>
                <w:p>
                  <w:pPr>
                    <w:pStyle w:val="null3"/>
                    <w:numPr>
                      <w:ilvl w:val="0"/>
                      <w:numId w:val="1"/>
                    </w:numPr>
                    <w:jc w:val="left"/>
                  </w:pPr>
                  <w:r>
                    <w:rPr>
                      <w:rFonts w:ascii="仿宋_GB2312" w:hAnsi="仿宋_GB2312" w:cs="仿宋_GB2312" w:eastAsia="仿宋_GB2312"/>
                      <w:sz w:val="20"/>
                    </w:rPr>
                    <w:t>备课模式下提供搜索查找替换功能，可快速查找各页面中的文字并进行替换。</w:t>
                  </w:r>
                </w:p>
                <w:p>
                  <w:pPr>
                    <w:pStyle w:val="null3"/>
                    <w:numPr>
                      <w:ilvl w:val="0"/>
                      <w:numId w:val="1"/>
                    </w:numPr>
                    <w:jc w:val="left"/>
                  </w:pPr>
                  <w:r>
                    <w:rPr>
                      <w:rFonts w:ascii="仿宋_GB2312" w:hAnsi="仿宋_GB2312" w:cs="仿宋_GB2312" w:eastAsia="仿宋_GB2312"/>
                      <w:sz w:val="20"/>
                    </w:rPr>
                    <w:t>备课模式下支持从资料夹、本地硬盘及</w:t>
                  </w:r>
                  <w:r>
                    <w:rPr>
                      <w:rFonts w:ascii="仿宋_GB2312" w:hAnsi="仿宋_GB2312" w:cs="仿宋_GB2312" w:eastAsia="仿宋_GB2312"/>
                      <w:sz w:val="20"/>
                    </w:rPr>
                    <w:t>U盘导入素材，素材格式包含图片，视频，文档等。</w:t>
                  </w:r>
                </w:p>
                <w:p>
                  <w:pPr>
                    <w:pStyle w:val="null3"/>
                    <w:numPr>
                      <w:ilvl w:val="0"/>
                      <w:numId w:val="1"/>
                    </w:numPr>
                    <w:jc w:val="left"/>
                  </w:pPr>
                  <w:r>
                    <w:rPr>
                      <w:rFonts w:ascii="仿宋_GB2312" w:hAnsi="仿宋_GB2312" w:cs="仿宋_GB2312" w:eastAsia="仿宋_GB2312"/>
                      <w:sz w:val="20"/>
                    </w:rPr>
                    <w:t>备课模式下支持形状图表及表格：形状包含常用形状、立体图形、箭头、其他形状、线性、直线、折线、曲线等。图表包含柱状图、条形图、折线图、面积图、离散图、饼图和环形图等。并支持表格工具。</w:t>
                  </w:r>
                </w:p>
                <w:p>
                  <w:pPr>
                    <w:pStyle w:val="null3"/>
                    <w:numPr>
                      <w:ilvl w:val="0"/>
                      <w:numId w:val="1"/>
                    </w:numPr>
                    <w:jc w:val="left"/>
                  </w:pPr>
                  <w:r>
                    <w:rPr>
                      <w:rFonts w:ascii="仿宋_GB2312" w:hAnsi="仿宋_GB2312" w:cs="仿宋_GB2312" w:eastAsia="仿宋_GB2312"/>
                      <w:sz w:val="20"/>
                    </w:rPr>
                    <w:t>备课模式下支持思维导图。</w:t>
                  </w:r>
                </w:p>
                <w:p>
                  <w:pPr>
                    <w:pStyle w:val="null3"/>
                    <w:numPr>
                      <w:ilvl w:val="0"/>
                      <w:numId w:val="1"/>
                    </w:numPr>
                    <w:jc w:val="left"/>
                  </w:pPr>
                  <w:r>
                    <w:rPr>
                      <w:rFonts w:ascii="仿宋_GB2312" w:hAnsi="仿宋_GB2312" w:cs="仿宋_GB2312" w:eastAsia="仿宋_GB2312"/>
                      <w:sz w:val="20"/>
                    </w:rPr>
                    <w:t>备课模式下支持连线达人、分类达人、填空达人、趣味竞赛、连词成句、判断对错、比大小等多种类型的互动。</w:t>
                  </w:r>
                </w:p>
                <w:p>
                  <w:pPr>
                    <w:pStyle w:val="null3"/>
                    <w:numPr>
                      <w:ilvl w:val="0"/>
                      <w:numId w:val="1"/>
                    </w:numPr>
                    <w:jc w:val="left"/>
                  </w:pPr>
                  <w:r>
                    <w:rPr>
                      <w:rFonts w:ascii="仿宋_GB2312" w:hAnsi="仿宋_GB2312" w:cs="仿宋_GB2312" w:eastAsia="仿宋_GB2312"/>
                      <w:sz w:val="20"/>
                    </w:rPr>
                    <w:t>备课模式下具有数学公式、化学方程式、元素周期表、汉字读写、题库、英汉字典、听写、拼音、数学画板、物理线图、化学图例、四线三格、古诗词。</w:t>
                  </w:r>
                </w:p>
                <w:p>
                  <w:pPr>
                    <w:pStyle w:val="null3"/>
                    <w:numPr>
                      <w:ilvl w:val="0"/>
                      <w:numId w:val="1"/>
                    </w:numPr>
                    <w:jc w:val="left"/>
                  </w:pPr>
                  <w:r>
                    <w:rPr>
                      <w:rFonts w:ascii="仿宋_GB2312" w:hAnsi="仿宋_GB2312" w:cs="仿宋_GB2312" w:eastAsia="仿宋_GB2312"/>
                      <w:sz w:val="20"/>
                    </w:rPr>
                    <w:t>授课模式下支持课件随时扫码分享，将课件同步保存在云盘中后</w:t>
                  </w:r>
                </w:p>
                <w:p>
                  <w:pPr>
                    <w:pStyle w:val="null3"/>
                    <w:numPr>
                      <w:ilvl w:val="0"/>
                      <w:numId w:val="1"/>
                    </w:numPr>
                    <w:jc w:val="left"/>
                  </w:pPr>
                  <w:r>
                    <w:rPr>
                      <w:rFonts w:ascii="仿宋_GB2312" w:hAnsi="仿宋_GB2312" w:cs="仿宋_GB2312" w:eastAsia="仿宋_GB2312"/>
                      <w:sz w:val="20"/>
                    </w:rPr>
                    <w:t>授课模式下支持在操作</w:t>
                  </w:r>
                  <w:r>
                    <w:rPr>
                      <w:rFonts w:ascii="仿宋_GB2312" w:hAnsi="仿宋_GB2312" w:cs="仿宋_GB2312" w:eastAsia="仿宋_GB2312"/>
                      <w:sz w:val="20"/>
                    </w:rPr>
                    <w:t>PPT时，具有选择、书写、擦除、工具、上一页、下一页、关闭等功能。</w:t>
                  </w:r>
                </w:p>
                <w:p>
                  <w:pPr>
                    <w:pStyle w:val="null3"/>
                    <w:numPr>
                      <w:ilvl w:val="0"/>
                      <w:numId w:val="1"/>
                    </w:numPr>
                    <w:jc w:val="left"/>
                  </w:pPr>
                  <w:r>
                    <w:rPr>
                      <w:rFonts w:ascii="仿宋_GB2312" w:hAnsi="仿宋_GB2312" w:cs="仿宋_GB2312" w:eastAsia="仿宋_GB2312"/>
                      <w:sz w:val="20"/>
                    </w:rPr>
                    <w:t>授课模式下支持至少多种书写笔，自由调节颜色以及粗细，可根据不同教学场景选择需要类型的笔进行教学。</w:t>
                  </w:r>
                </w:p>
                <w:p>
                  <w:pPr>
                    <w:pStyle w:val="null3"/>
                    <w:numPr>
                      <w:ilvl w:val="0"/>
                      <w:numId w:val="1"/>
                    </w:numPr>
                    <w:jc w:val="left"/>
                  </w:pPr>
                  <w:r>
                    <w:rPr>
                      <w:rFonts w:ascii="仿宋_GB2312" w:hAnsi="仿宋_GB2312" w:cs="仿宋_GB2312" w:eastAsia="仿宋_GB2312"/>
                      <w:sz w:val="20"/>
                    </w:rPr>
                    <w:t>授课模式下支持放大镜、聚光灯、时钟、计算器、尺规工具、幕布、草稿纸等。</w:t>
                  </w:r>
                </w:p>
                <w:p>
                  <w:pPr>
                    <w:pStyle w:val="null3"/>
                    <w:numPr>
                      <w:ilvl w:val="0"/>
                      <w:numId w:val="1"/>
                    </w:numPr>
                    <w:jc w:val="left"/>
                  </w:pPr>
                  <w:r>
                    <w:rPr>
                      <w:rFonts w:ascii="仿宋_GB2312" w:hAnsi="仿宋_GB2312" w:cs="仿宋_GB2312" w:eastAsia="仿宋_GB2312"/>
                      <w:sz w:val="20"/>
                    </w:rPr>
                    <w:t>授课模式可动态展示太阳系八大星球围绕太阳运转，点击每个详情可直观了解到该星球的简介、参数和结构。在地球知识模式中还可直接观察到</w:t>
                  </w:r>
                  <w:r>
                    <w:rPr>
                      <w:rFonts w:ascii="仿宋_GB2312" w:hAnsi="仿宋_GB2312" w:cs="仿宋_GB2312" w:eastAsia="仿宋_GB2312"/>
                      <w:sz w:val="20"/>
                    </w:rPr>
                    <w:t>6大版块、表层洋流、降水分布、陆地自然带、气候分布、气温分布、人口分布等。</w:t>
                  </w:r>
                </w:p>
                <w:p>
                  <w:pPr>
                    <w:pStyle w:val="null3"/>
                    <w:numPr>
                      <w:ilvl w:val="0"/>
                      <w:numId w:val="1"/>
                    </w:numPr>
                    <w:jc w:val="left"/>
                  </w:pPr>
                  <w:r>
                    <w:rPr>
                      <w:rFonts w:ascii="仿宋_GB2312" w:hAnsi="仿宋_GB2312" w:cs="仿宋_GB2312" w:eastAsia="仿宋_GB2312"/>
                      <w:sz w:val="20"/>
                    </w:rPr>
                    <w:t>授课模式下支持钢琴：包含自由演奏和乐理学习。</w:t>
                  </w:r>
                </w:p>
                <w:p>
                  <w:pPr>
                    <w:pStyle w:val="null3"/>
                    <w:numPr>
                      <w:ilvl w:val="0"/>
                      <w:numId w:val="1"/>
                    </w:numPr>
                    <w:jc w:val="left"/>
                  </w:pPr>
                  <w:r>
                    <w:rPr>
                      <w:rFonts w:ascii="仿宋_GB2312" w:hAnsi="仿宋_GB2312" w:cs="仿宋_GB2312" w:eastAsia="仿宋_GB2312"/>
                      <w:sz w:val="20"/>
                    </w:rPr>
                    <w:t>授课模式下支持架子鼓：包含自由演奏和曲库演奏。</w:t>
                  </w:r>
                </w:p>
                <w:p>
                  <w:pPr>
                    <w:pStyle w:val="null3"/>
                    <w:numPr>
                      <w:ilvl w:val="0"/>
                      <w:numId w:val="1"/>
                    </w:numPr>
                    <w:jc w:val="left"/>
                  </w:pPr>
                  <w:r>
                    <w:rPr>
                      <w:rFonts w:ascii="仿宋_GB2312" w:hAnsi="仿宋_GB2312" w:cs="仿宋_GB2312" w:eastAsia="仿宋_GB2312"/>
                      <w:sz w:val="20"/>
                    </w:rPr>
                    <w:t>白板软件内嵌</w:t>
                  </w:r>
                  <w:r>
                    <w:rPr>
                      <w:rFonts w:ascii="仿宋_GB2312" w:hAnsi="仿宋_GB2312" w:cs="仿宋_GB2312" w:eastAsia="仿宋_GB2312"/>
                      <w:sz w:val="20"/>
                    </w:rPr>
                    <w:t>AI 人工智能平台，可一键访问 AI平台。</w:t>
                  </w:r>
                </w:p>
                <w:p>
                  <w:pPr>
                    <w:pStyle w:val="null3"/>
                    <w:spacing w:after="75"/>
                    <w:jc w:val="left"/>
                  </w:pPr>
                  <w:r>
                    <w:rPr>
                      <w:rFonts w:ascii="仿宋_GB2312" w:hAnsi="仿宋_GB2312" w:cs="仿宋_GB2312" w:eastAsia="仿宋_GB2312"/>
                      <w:sz w:val="20"/>
                      <w:b/>
                      <w:color w:val="000000"/>
                    </w:rPr>
                    <w:t>3、移动授课：</w:t>
                  </w:r>
                </w:p>
                <w:p>
                  <w:pPr>
                    <w:pStyle w:val="null3"/>
                    <w:numPr>
                      <w:ilvl w:val="0"/>
                      <w:numId w:val="1"/>
                    </w:numPr>
                    <w:jc w:val="left"/>
                  </w:pPr>
                  <w:r>
                    <w:rPr>
                      <w:rFonts w:ascii="仿宋_GB2312" w:hAnsi="仿宋_GB2312" w:cs="仿宋_GB2312" w:eastAsia="仿宋_GB2312"/>
                      <w:sz w:val="20"/>
                    </w:rPr>
                    <w:t>PPT助手：把手机变成PPT翻页笔，支持PPT的播放、退出、翻页功能，且能锁定操作、触感震动反馈等。</w:t>
                  </w:r>
                </w:p>
                <w:p>
                  <w:pPr>
                    <w:pStyle w:val="null3"/>
                    <w:numPr>
                      <w:ilvl w:val="0"/>
                      <w:numId w:val="1"/>
                    </w:numPr>
                    <w:jc w:val="left"/>
                  </w:pPr>
                  <w:r>
                    <w:rPr>
                      <w:rFonts w:ascii="仿宋_GB2312" w:hAnsi="仿宋_GB2312" w:cs="仿宋_GB2312" w:eastAsia="仿宋_GB2312"/>
                      <w:sz w:val="20"/>
                    </w:rPr>
                    <w:t>可将手机中本地图片一键上传至电脑，支持一键截图设备桌面并保存至手机端本地。</w:t>
                  </w:r>
                </w:p>
                <w:p>
                  <w:pPr>
                    <w:pStyle w:val="null3"/>
                    <w:numPr>
                      <w:ilvl w:val="0"/>
                      <w:numId w:val="1"/>
                    </w:numPr>
                    <w:jc w:val="left"/>
                  </w:pPr>
                  <w:r>
                    <w:rPr>
                      <w:rFonts w:ascii="仿宋_GB2312" w:hAnsi="仿宋_GB2312" w:cs="仿宋_GB2312" w:eastAsia="仿宋_GB2312"/>
                      <w:sz w:val="20"/>
                    </w:rPr>
                    <w:t>通过管理小程序能随时随地连接设备电脑硬盘，支持从手机上传文件到电脑。</w:t>
                  </w:r>
                </w:p>
                <w:p>
                  <w:pPr>
                    <w:pStyle w:val="null3"/>
                    <w:spacing w:after="75"/>
                    <w:jc w:val="left"/>
                  </w:pPr>
                  <w:r>
                    <w:rPr>
                      <w:rFonts w:ascii="仿宋_GB2312" w:hAnsi="仿宋_GB2312" w:cs="仿宋_GB2312" w:eastAsia="仿宋_GB2312"/>
                      <w:sz w:val="20"/>
                      <w:b/>
                      <w:color w:val="000000"/>
                    </w:rPr>
                    <w:t>4、教学资源：</w:t>
                  </w:r>
                </w:p>
                <w:p>
                  <w:pPr>
                    <w:pStyle w:val="null3"/>
                    <w:spacing w:after="75"/>
                    <w:jc w:val="left"/>
                  </w:pPr>
                  <w:r>
                    <w:rPr>
                      <w:rFonts w:ascii="仿宋_GB2312" w:hAnsi="仿宋_GB2312" w:cs="仿宋_GB2312" w:eastAsia="仿宋_GB2312"/>
                      <w:sz w:val="21"/>
                    </w:rPr>
                    <w:t>▲</w:t>
                  </w:r>
                  <w:r>
                    <w:rPr>
                      <w:rFonts w:ascii="仿宋_GB2312" w:hAnsi="仿宋_GB2312" w:cs="仿宋_GB2312" w:eastAsia="仿宋_GB2312"/>
                      <w:sz w:val="20"/>
                    </w:rPr>
                    <w:t>1.</w:t>
                  </w:r>
                  <w:r>
                    <w:rPr>
                      <w:rFonts w:ascii="仿宋_GB2312" w:hAnsi="仿宋_GB2312" w:cs="仿宋_GB2312" w:eastAsia="仿宋_GB2312"/>
                      <w:sz w:val="20"/>
                    </w:rPr>
                    <w:t>提供</w:t>
                  </w:r>
                  <w:r>
                    <w:rPr>
                      <w:rFonts w:ascii="仿宋_GB2312" w:hAnsi="仿宋_GB2312" w:cs="仿宋_GB2312" w:eastAsia="仿宋_GB2312"/>
                      <w:sz w:val="20"/>
                    </w:rPr>
                    <w:t>免费的在线教学资源，支持一年级到高三的学科类课程，名师讲堂课程讲解。</w:t>
                  </w:r>
                  <w:r>
                    <w:rPr>
                      <w:rFonts w:ascii="仿宋_GB2312" w:hAnsi="仿宋_GB2312" w:cs="仿宋_GB2312" w:eastAsia="仿宋_GB2312"/>
                      <w:sz w:val="20"/>
                    </w:rPr>
                    <w:t>(提供相应的功能证明材料，包括但不限于测试报告、官网和功能截图等。)</w:t>
                  </w:r>
                </w:p>
                <w:p>
                  <w:pPr>
                    <w:pStyle w:val="null3"/>
                    <w:jc w:val="left"/>
                  </w:pPr>
                  <w:r>
                    <w:rPr>
                      <w:rFonts w:ascii="仿宋_GB2312" w:hAnsi="仿宋_GB2312" w:cs="仿宋_GB2312" w:eastAsia="仿宋_GB2312"/>
                      <w:sz w:val="20"/>
                    </w:rPr>
                    <w:t>2.支持查看植物的叶，茎，花，树干结构，可查看光合作用过程，可查看在不同光照情况下树干的形成情况。</w:t>
                  </w:r>
                </w:p>
                <w:p>
                  <w:pPr>
                    <w:pStyle w:val="null3"/>
                    <w:jc w:val="left"/>
                  </w:pPr>
                  <w:r>
                    <w:rPr>
                      <w:rFonts w:ascii="仿宋_GB2312" w:hAnsi="仿宋_GB2312" w:cs="仿宋_GB2312" w:eastAsia="仿宋_GB2312"/>
                      <w:sz w:val="20"/>
                    </w:rPr>
                    <w:t>3.收录古代以及近代多篇知名书法作品，可供学生欣赏，临摹学习。</w:t>
                  </w:r>
                </w:p>
                <w:p>
                  <w:pPr>
                    <w:pStyle w:val="null3"/>
                    <w:jc w:val="left"/>
                  </w:pPr>
                  <w:r>
                    <w:rPr>
                      <w:rFonts w:ascii="仿宋_GB2312" w:hAnsi="仿宋_GB2312" w:cs="仿宋_GB2312" w:eastAsia="仿宋_GB2312"/>
                      <w:sz w:val="20"/>
                    </w:rPr>
                    <w:t>4.可以查看多种体育运动项目知识介绍，包括速度力量类，竞争对抗类，耐力竞技类，难美表现类，精准技能类等。</w:t>
                  </w:r>
                </w:p>
                <w:p>
                  <w:pPr>
                    <w:pStyle w:val="null3"/>
                    <w:jc w:val="left"/>
                  </w:pPr>
                  <w:r>
                    <w:rPr>
                      <w:rFonts w:ascii="仿宋_GB2312" w:hAnsi="仿宋_GB2312" w:cs="仿宋_GB2312" w:eastAsia="仿宋_GB2312"/>
                      <w:sz w:val="20"/>
                    </w:rPr>
                    <w:t>5.可查看所有音标的发音教学。同时收录英文音标发音教学视频和英文音标发音小技巧视频等。</w:t>
                  </w:r>
                </w:p>
                <w:p>
                  <w:pPr>
                    <w:pStyle w:val="null3"/>
                    <w:jc w:val="left"/>
                  </w:pPr>
                  <w:r>
                    <w:rPr>
                      <w:rFonts w:ascii="仿宋_GB2312" w:hAnsi="仿宋_GB2312" w:cs="仿宋_GB2312" w:eastAsia="仿宋_GB2312"/>
                      <w:sz w:val="20"/>
                    </w:rPr>
                    <w:t>6.支持英文字母功能，内置26个字母教学视频，同时有字母歌视频辅助学习。</w:t>
                  </w:r>
                </w:p>
                <w:p>
                  <w:pPr>
                    <w:pStyle w:val="null3"/>
                    <w:spacing w:after="75"/>
                    <w:jc w:val="left"/>
                  </w:pPr>
                  <w:r>
                    <w:rPr>
                      <w:rFonts w:ascii="仿宋_GB2312" w:hAnsi="仿宋_GB2312" w:cs="仿宋_GB2312" w:eastAsia="仿宋_GB2312"/>
                      <w:sz w:val="20"/>
                      <w:b/>
                      <w:color w:val="000000"/>
                    </w:rPr>
                    <w:t>5、无线投屏</w:t>
                  </w:r>
                </w:p>
                <w:p>
                  <w:pPr>
                    <w:pStyle w:val="null3"/>
                    <w:numPr>
                      <w:ilvl w:val="0"/>
                      <w:numId w:val="1"/>
                    </w:numPr>
                    <w:jc w:val="left"/>
                  </w:pPr>
                  <w:r>
                    <w:rPr>
                      <w:rFonts w:ascii="仿宋_GB2312" w:hAnsi="仿宋_GB2312" w:cs="仿宋_GB2312" w:eastAsia="仿宋_GB2312"/>
                      <w:sz w:val="20"/>
                    </w:rPr>
                    <w:t>无线投屏支持</w:t>
                  </w:r>
                  <w:r>
                    <w:rPr>
                      <w:rFonts w:ascii="仿宋_GB2312" w:hAnsi="仿宋_GB2312" w:cs="仿宋_GB2312" w:eastAsia="仿宋_GB2312"/>
                      <w:sz w:val="20"/>
                    </w:rPr>
                    <w:t>多</w:t>
                  </w:r>
                  <w:r>
                    <w:rPr>
                      <w:rFonts w:ascii="仿宋_GB2312" w:hAnsi="仿宋_GB2312" w:cs="仿宋_GB2312" w:eastAsia="仿宋_GB2312"/>
                      <w:sz w:val="20"/>
                    </w:rPr>
                    <w:t>平台登录使用</w:t>
                  </w:r>
                  <w:r>
                    <w:rPr>
                      <w:rFonts w:ascii="仿宋_GB2312" w:hAnsi="仿宋_GB2312" w:cs="仿宋_GB2312" w:eastAsia="仿宋_GB2312"/>
                      <w:sz w:val="20"/>
                    </w:rPr>
                    <w:t>。</w:t>
                  </w:r>
                </w:p>
                <w:p>
                  <w:pPr>
                    <w:pStyle w:val="null3"/>
                    <w:numPr>
                      <w:ilvl w:val="0"/>
                      <w:numId w:val="1"/>
                    </w:numPr>
                    <w:jc w:val="left"/>
                  </w:pPr>
                  <w:r>
                    <w:rPr>
                      <w:rFonts w:ascii="仿宋_GB2312" w:hAnsi="仿宋_GB2312" w:cs="仿宋_GB2312" w:eastAsia="仿宋_GB2312"/>
                      <w:sz w:val="20"/>
                    </w:rPr>
                    <w:t>PC端和移动端可以通过</w:t>
                  </w:r>
                  <w:r>
                    <w:rPr>
                      <w:rFonts w:ascii="仿宋_GB2312" w:hAnsi="仿宋_GB2312" w:cs="仿宋_GB2312" w:eastAsia="仿宋_GB2312"/>
                      <w:sz w:val="20"/>
                    </w:rPr>
                    <w:t>设备</w:t>
                  </w:r>
                  <w:r>
                    <w:rPr>
                      <w:rFonts w:ascii="仿宋_GB2312" w:hAnsi="仿宋_GB2312" w:cs="仿宋_GB2312" w:eastAsia="仿宋_GB2312"/>
                      <w:sz w:val="20"/>
                    </w:rPr>
                    <w:t>码互相投屏</w:t>
                  </w:r>
                  <w:r>
                    <w:rPr>
                      <w:rFonts w:ascii="仿宋_GB2312" w:hAnsi="仿宋_GB2312" w:cs="仿宋_GB2312" w:eastAsia="仿宋_GB2312"/>
                      <w:sz w:val="20"/>
                    </w:rPr>
                    <w:t>，支持手机端扫码投屏到</w:t>
                  </w:r>
                  <w:r>
                    <w:rPr>
                      <w:rFonts w:ascii="仿宋_GB2312" w:hAnsi="仿宋_GB2312" w:cs="仿宋_GB2312" w:eastAsia="仿宋_GB2312"/>
                      <w:sz w:val="20"/>
                    </w:rPr>
                    <w:t>PC端。</w:t>
                  </w:r>
                </w:p>
                <w:p>
                  <w:pPr>
                    <w:pStyle w:val="null3"/>
                    <w:jc w:val="left"/>
                  </w:pPr>
                  <w:r>
                    <w:rPr>
                      <w:rFonts w:ascii="仿宋_GB2312" w:hAnsi="仿宋_GB2312" w:cs="仿宋_GB2312" w:eastAsia="仿宋_GB2312"/>
                      <w:sz w:val="20"/>
                    </w:rPr>
                    <w:t>PC</w:t>
                  </w:r>
                  <w:r>
                    <w:rPr>
                      <w:rFonts w:ascii="仿宋_GB2312" w:hAnsi="仿宋_GB2312" w:cs="仿宋_GB2312" w:eastAsia="仿宋_GB2312"/>
                      <w:sz w:val="20"/>
                    </w:rPr>
                    <w:t>端投屏，可以设置投屏端声音投放系统声音或者麦克风的外音</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b/>
                      <w:color w:val="000000"/>
                    </w:rPr>
                    <w:t>OPS电脑</w:t>
                  </w:r>
                </w:p>
                <w:p>
                  <w:pPr>
                    <w:pStyle w:val="null3"/>
                    <w:jc w:val="left"/>
                  </w:pPr>
                  <w:r>
                    <w:rPr>
                      <w:rFonts w:ascii="仿宋_GB2312" w:hAnsi="仿宋_GB2312" w:cs="仿宋_GB2312" w:eastAsia="仿宋_GB2312"/>
                      <w:sz w:val="20"/>
                      <w:color w:val="000000"/>
                    </w:rPr>
                    <w:t>插拔式</w:t>
                  </w:r>
                  <w:r>
                    <w:rPr>
                      <w:rFonts w:ascii="仿宋_GB2312" w:hAnsi="仿宋_GB2312" w:cs="仿宋_GB2312" w:eastAsia="仿宋_GB2312"/>
                      <w:sz w:val="20"/>
                      <w:color w:val="000000"/>
                    </w:rPr>
                    <w:t>OPS微型PC设计，处理器≥8核16线程，基础主频≥2.0GHz，最大睿频≥4.5GHz，TDP≤35W；8GB DDR4及以上内存；256GB SSD及以上固态硬盘；采用行业标准开放式可插接OPS接口，双面合计80针。</w:t>
                  </w:r>
                </w:p>
                <w:p>
                  <w:pPr>
                    <w:pStyle w:val="null3"/>
                    <w:jc w:val="left"/>
                  </w:pPr>
                  <w:r>
                    <w:rPr>
                      <w:rFonts w:ascii="仿宋_GB2312" w:hAnsi="仿宋_GB2312" w:cs="仿宋_GB2312" w:eastAsia="仿宋_GB2312"/>
                      <w:sz w:val="20"/>
                      <w:color w:val="000000"/>
                    </w:rPr>
                    <w:t>支持</w:t>
                  </w:r>
                  <w:r>
                    <w:rPr>
                      <w:rFonts w:ascii="仿宋_GB2312" w:hAnsi="仿宋_GB2312" w:cs="仿宋_GB2312" w:eastAsia="仿宋_GB2312"/>
                      <w:sz w:val="20"/>
                      <w:color w:val="000000"/>
                    </w:rPr>
                    <w:t>WIFI无线网络，配备双天线；配备RJ45以太网接口，支持10/100/1000Mbps自适应。</w:t>
                  </w:r>
                </w:p>
                <w:p>
                  <w:pPr>
                    <w:pStyle w:val="null3"/>
                    <w:jc w:val="left"/>
                  </w:pPr>
                  <w:r>
                    <w:rPr>
                      <w:rFonts w:ascii="仿宋_GB2312" w:hAnsi="仿宋_GB2312" w:cs="仿宋_GB2312" w:eastAsia="仿宋_GB2312"/>
                      <w:sz w:val="20"/>
                      <w:b/>
                      <w:color w:val="000000"/>
                    </w:rPr>
                    <w:t>壁挂展台</w:t>
                  </w:r>
                </w:p>
                <w:p>
                  <w:pPr>
                    <w:pStyle w:val="null3"/>
                    <w:jc w:val="left"/>
                  </w:pPr>
                  <w:r>
                    <w:rPr>
                      <w:rFonts w:ascii="仿宋_GB2312" w:hAnsi="仿宋_GB2312" w:cs="仿宋_GB2312" w:eastAsia="仿宋_GB2312"/>
                      <w:sz w:val="20"/>
                      <w:color w:val="000000"/>
                    </w:rPr>
                    <w:t>硬件参数</w:t>
                  </w:r>
                </w:p>
                <w:p>
                  <w:pPr>
                    <w:pStyle w:val="null3"/>
                    <w:jc w:val="left"/>
                  </w:pPr>
                  <w:r>
                    <w:rPr>
                      <w:rFonts w:ascii="仿宋_GB2312" w:hAnsi="仿宋_GB2312" w:cs="仿宋_GB2312" w:eastAsia="仿宋_GB2312"/>
                      <w:sz w:val="20"/>
                      <w:color w:val="000000"/>
                    </w:rPr>
                    <w:t>图像像素：</w:t>
                  </w:r>
                  <w:r>
                    <w:rPr>
                      <w:rFonts w:ascii="仿宋_GB2312" w:hAnsi="仿宋_GB2312" w:cs="仿宋_GB2312" w:eastAsia="仿宋_GB2312"/>
                      <w:sz w:val="20"/>
                      <w:color w:val="000000"/>
                    </w:rPr>
                    <w:t>≥1100万像素</w:t>
                  </w:r>
                </w:p>
                <w:p>
                  <w:pPr>
                    <w:pStyle w:val="null3"/>
                    <w:jc w:val="left"/>
                  </w:pPr>
                  <w:r>
                    <w:rPr>
                      <w:rFonts w:ascii="仿宋_GB2312" w:hAnsi="仿宋_GB2312" w:cs="仿宋_GB2312" w:eastAsia="仿宋_GB2312"/>
                      <w:sz w:val="20"/>
                      <w:color w:val="000000"/>
                    </w:rPr>
                    <w:t>图像传感器：</w:t>
                  </w:r>
                  <w:r>
                    <w:rPr>
                      <w:rFonts w:ascii="仿宋_GB2312" w:hAnsi="仿宋_GB2312" w:cs="仿宋_GB2312" w:eastAsia="仿宋_GB2312"/>
                      <w:sz w:val="20"/>
                      <w:color w:val="000000"/>
                    </w:rPr>
                    <w:t>1/2.5英寸CMOS图像传感器</w:t>
                  </w:r>
                </w:p>
                <w:p>
                  <w:pPr>
                    <w:pStyle w:val="null3"/>
                    <w:jc w:val="left"/>
                  </w:pPr>
                  <w:r>
                    <w:rPr>
                      <w:rFonts w:ascii="仿宋_GB2312" w:hAnsi="仿宋_GB2312" w:cs="仿宋_GB2312" w:eastAsia="仿宋_GB2312"/>
                      <w:sz w:val="20"/>
                      <w:color w:val="000000"/>
                    </w:rPr>
                    <w:t>USB直接供电和传输数据，节能环保</w:t>
                  </w:r>
                </w:p>
                <w:p>
                  <w:pPr>
                    <w:pStyle w:val="null3"/>
                    <w:jc w:val="left"/>
                  </w:pPr>
                  <w:r>
                    <w:rPr>
                      <w:rFonts w:ascii="仿宋_GB2312" w:hAnsi="仿宋_GB2312" w:cs="仿宋_GB2312" w:eastAsia="仿宋_GB2312"/>
                      <w:sz w:val="20"/>
                      <w:color w:val="000000"/>
                    </w:rPr>
                    <w:t>支持最大扫描幅面：</w:t>
                  </w:r>
                  <w:r>
                    <w:rPr>
                      <w:rFonts w:ascii="仿宋_GB2312" w:hAnsi="仿宋_GB2312" w:cs="仿宋_GB2312" w:eastAsia="仿宋_GB2312"/>
                      <w:sz w:val="20"/>
                      <w:color w:val="000000"/>
                    </w:rPr>
                    <w:t>A4</w:t>
                  </w:r>
                </w:p>
                <w:p>
                  <w:pPr>
                    <w:pStyle w:val="null3"/>
                    <w:jc w:val="left"/>
                  </w:pPr>
                  <w:r>
                    <w:rPr>
                      <w:rFonts w:ascii="仿宋_GB2312" w:hAnsi="仿宋_GB2312" w:cs="仿宋_GB2312" w:eastAsia="仿宋_GB2312"/>
                      <w:sz w:val="20"/>
                      <w:color w:val="000000"/>
                    </w:rPr>
                    <w:t>硬件输出格式：</w:t>
                  </w:r>
                  <w:r>
                    <w:rPr>
                      <w:rFonts w:ascii="仿宋_GB2312" w:hAnsi="仿宋_GB2312" w:cs="仿宋_GB2312" w:eastAsia="仿宋_GB2312"/>
                      <w:sz w:val="20"/>
                      <w:color w:val="000000"/>
                    </w:rPr>
                    <w:t>MJPG、YUV；配套编辑软件支持将采集内容转换为PDF、DOC、TXT等可编辑格式</w:t>
                  </w:r>
                </w:p>
                <w:p>
                  <w:pPr>
                    <w:pStyle w:val="null3"/>
                    <w:jc w:val="left"/>
                  </w:pPr>
                  <w:r>
                    <w:rPr>
                      <w:rFonts w:ascii="仿宋_GB2312" w:hAnsi="仿宋_GB2312" w:cs="仿宋_GB2312" w:eastAsia="仿宋_GB2312"/>
                      <w:sz w:val="20"/>
                      <w:color w:val="000000"/>
                    </w:rPr>
                    <w:t>支持自动白平衡、幅面</w:t>
                  </w:r>
                  <w:r>
                    <w:rPr>
                      <w:rFonts w:ascii="仿宋_GB2312" w:hAnsi="仿宋_GB2312" w:cs="仿宋_GB2312" w:eastAsia="仿宋_GB2312"/>
                      <w:sz w:val="20"/>
                      <w:color w:val="000000"/>
                    </w:rPr>
                    <w:t>90°旋转</w:t>
                  </w:r>
                </w:p>
                <w:p>
                  <w:pPr>
                    <w:pStyle w:val="null3"/>
                    <w:jc w:val="left"/>
                  </w:pPr>
                  <w:r>
                    <w:rPr>
                      <w:rFonts w:ascii="仿宋_GB2312" w:hAnsi="仿宋_GB2312" w:cs="仿宋_GB2312" w:eastAsia="仿宋_GB2312"/>
                      <w:sz w:val="20"/>
                      <w:color w:val="000000"/>
                    </w:rPr>
                    <w:t>软件参数</w:t>
                  </w:r>
                </w:p>
                <w:p>
                  <w:pPr>
                    <w:pStyle w:val="null3"/>
                    <w:jc w:val="left"/>
                  </w:pPr>
                  <w:r>
                    <w:rPr>
                      <w:rFonts w:ascii="仿宋_GB2312" w:hAnsi="仿宋_GB2312" w:cs="仿宋_GB2312" w:eastAsia="仿宋_GB2312"/>
                      <w:sz w:val="20"/>
                      <w:color w:val="000000"/>
                    </w:rPr>
                    <w:t>支持实时批注，提供多种文字、图形标注工具</w:t>
                  </w:r>
                </w:p>
                <w:p>
                  <w:pPr>
                    <w:pStyle w:val="null3"/>
                    <w:jc w:val="left"/>
                  </w:pPr>
                  <w:r>
                    <w:rPr>
                      <w:rFonts w:ascii="仿宋_GB2312" w:hAnsi="仿宋_GB2312" w:cs="仿宋_GB2312" w:eastAsia="仿宋_GB2312"/>
                      <w:sz w:val="20"/>
                      <w:color w:val="000000"/>
                    </w:rPr>
                    <w:t>支持多分辨率选择，配备高速</w:t>
                  </w:r>
                  <w:r>
                    <w:rPr>
                      <w:rFonts w:ascii="仿宋_GB2312" w:hAnsi="仿宋_GB2312" w:cs="仿宋_GB2312" w:eastAsia="仿宋_GB2312"/>
                      <w:sz w:val="20"/>
                      <w:color w:val="000000"/>
                    </w:rPr>
                    <w:t>/高质视频模式；可一键切换1:1显示/适应屏幕等显示比例</w:t>
                  </w:r>
                </w:p>
                <w:p>
                  <w:pPr>
                    <w:pStyle w:val="null3"/>
                    <w:jc w:val="left"/>
                  </w:pPr>
                  <w:r>
                    <w:rPr>
                      <w:rFonts w:ascii="仿宋_GB2312" w:hAnsi="仿宋_GB2312" w:cs="仿宋_GB2312" w:eastAsia="仿宋_GB2312"/>
                      <w:sz w:val="20"/>
                      <w:color w:val="000000"/>
                    </w:rPr>
                    <w:t>支持自动调整曝光动态、动态即时旋转；可在视频显示状态下实时调整亮度、对比度、饱和度等参数</w:t>
                  </w:r>
                </w:p>
                <w:p>
                  <w:pPr>
                    <w:pStyle w:val="null3"/>
                    <w:jc w:val="left"/>
                  </w:pP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自合同签订之日起15个日历日完成全部项目内容，并交付采购单位验收合格。</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进度款，货物交付并由供应商安装调试完成，经采购人验收合格，达到付款条件起10个工作日内，支付合同总金额的100.0%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详见验收单</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磋商会议结束后，成交单位须提供与上传电子版一致的一正一副两套纸质版响应文件。联系电话：18066718602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响应供应商需提供合法有效的统一社会信用代码营业执照</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法定代表人参加投标的，须提供本人身份证加盖公章的复印件。 法定代表人授权他人参加投标的，须提供法定代表人授权委托书及被授权代表的身份证复印件。</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响应供应商提供2024年度（或2025年度）经审计的财务会计报告，或提供投标截止时间前三个月内银行出具的资信证明，或信用担保机构出具 的投标担保函（以上三种形式的资料提供任何一种即可）（注：根据《陕西省财政厅关于启用会计师事务所审计报告“二维码”赋码查验功能的通知（陕财办会函〔2022〕55号）》，各供应商经审计的财务会计报告需赋加“注册会计师行业统一监管平台”二维码）</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提供2025年12月至开标截止日前已缴纳的任意1个月的社会保障资金缴存单据或社保机构开具的社会保险参保缴费情况证明，依法不需要缴纳社会保障资金的单位应提供相关证明材料。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提供2025年12月至开标截止日前已缴纳的任意1个月的纳税证明或完税证明，依法免税的单位应提供相关证明材料</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具备履行合同所必需的设备和专业技术能力的证明材料(由供应商根据项目需求提供说明材料或者承诺)</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企业信誉</w:t>
            </w:r>
          </w:p>
        </w:tc>
        <w:tc>
          <w:tcPr>
            <w:tcW w:type="dxa" w:w="3322"/>
          </w:tcPr>
          <w:p>
            <w:pPr>
              <w:pStyle w:val="null3"/>
            </w:pPr>
            <w:r>
              <w:rPr>
                <w:rFonts w:ascii="仿宋_GB2312" w:hAnsi="仿宋_GB2312" w:cs="仿宋_GB2312" w:eastAsia="仿宋_GB2312"/>
              </w:rPr>
              <w:t>参加本次政府采购活动前3年内在经营活动中没有重大违纪、未被列入失信被执行人、重大税收违法案件当事人名单、政府采购严重违法失信行为记录名单的书面声明。开标评审将登陆“信用中国”网站（www.creditchina.gov.cn）和“中国政府采购网”（www.ccgp.gov.cn）进行审查</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3.资格证明文件.docx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响应文件上法定代表人（负责人）或其授权代表人的签字齐全并加盖公章</w:t>
            </w:r>
          </w:p>
        </w:tc>
        <w:tc>
          <w:tcPr>
            <w:tcW w:type="dxa" w:w="1661"/>
          </w:tcPr>
          <w:p>
            <w:pPr>
              <w:pStyle w:val="null3"/>
            </w:pPr>
            <w:r>
              <w:rPr>
                <w:rFonts w:ascii="仿宋_GB2312" w:hAnsi="仿宋_GB2312" w:cs="仿宋_GB2312" w:eastAsia="仿宋_GB2312"/>
              </w:rPr>
              <w:t>7.偏离表.docx 8.其他事项.docx 3.资格证明文件.docx 中小企业声明函 4.供应商概况.docx 6.投标方案.docx 报价表 响应文件封面 残疾人福利性单位声明函 2.开标一览表及分项.docx 5.承诺书.docx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响应文件格式、语言、计量单位、报价货币</w:t>
            </w:r>
          </w:p>
        </w:tc>
        <w:tc>
          <w:tcPr>
            <w:tcW w:type="dxa" w:w="3322"/>
          </w:tcPr>
          <w:p>
            <w:pPr>
              <w:pStyle w:val="null3"/>
            </w:pPr>
            <w:r>
              <w:rPr>
                <w:rFonts w:ascii="仿宋_GB2312" w:hAnsi="仿宋_GB2312" w:cs="仿宋_GB2312" w:eastAsia="仿宋_GB2312"/>
              </w:rPr>
              <w:t>应符合“响应文件格式”和磋商文件要求</w:t>
            </w:r>
          </w:p>
        </w:tc>
        <w:tc>
          <w:tcPr>
            <w:tcW w:type="dxa" w:w="1661"/>
          </w:tcPr>
          <w:p>
            <w:pPr>
              <w:pStyle w:val="null3"/>
            </w:pPr>
            <w:r>
              <w:rPr>
                <w:rFonts w:ascii="仿宋_GB2312" w:hAnsi="仿宋_GB2312" w:cs="仿宋_GB2312" w:eastAsia="仿宋_GB2312"/>
              </w:rPr>
              <w:t>7.偏离表.docx 8.其他事项.docx 3.资格证明文件.docx 中小企业声明函 4.供应商概况.docx 6.投标方案.docx 报价表 响应文件封面 残疾人福利性单位声明函 2.开标一览表及分项.docx 5.承诺书.docx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w:t>
            </w:r>
          </w:p>
        </w:tc>
        <w:tc>
          <w:tcPr>
            <w:tcW w:type="dxa" w:w="1661"/>
          </w:tcPr>
          <w:p>
            <w:pPr>
              <w:pStyle w:val="null3"/>
            </w:pPr>
            <w:r>
              <w:rPr>
                <w:rFonts w:ascii="仿宋_GB2312" w:hAnsi="仿宋_GB2312" w:cs="仿宋_GB2312" w:eastAsia="仿宋_GB2312"/>
              </w:rPr>
              <w:t>响应文件封面 2.开标一览表及分项.docx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不能有任何采购人不能接受的附加条件</w:t>
            </w:r>
          </w:p>
        </w:tc>
        <w:tc>
          <w:tcPr>
            <w:tcW w:type="dxa" w:w="1661"/>
          </w:tcPr>
          <w:p>
            <w:pPr>
              <w:pStyle w:val="null3"/>
            </w:pPr>
            <w:r>
              <w:rPr>
                <w:rFonts w:ascii="仿宋_GB2312" w:hAnsi="仿宋_GB2312" w:cs="仿宋_GB2312" w:eastAsia="仿宋_GB2312"/>
              </w:rPr>
              <w:t>7.偏离表.docx 8.其他事项.docx 3.资格证明文件.docx 中小企业声明函 4.供应商概况.docx 6.投标方案.docx 报价表 响应文件封面 残疾人福利性单位声明函 2.开标一览表及分项.docx 5.承诺书.docx 标的清单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供货期限</w:t>
            </w:r>
          </w:p>
        </w:tc>
        <w:tc>
          <w:tcPr>
            <w:tcW w:type="dxa" w:w="3322"/>
          </w:tcPr>
          <w:p>
            <w:pPr>
              <w:pStyle w:val="null3"/>
            </w:pPr>
            <w:r>
              <w:rPr>
                <w:rFonts w:ascii="仿宋_GB2312" w:hAnsi="仿宋_GB2312" w:cs="仿宋_GB2312" w:eastAsia="仿宋_GB2312"/>
              </w:rPr>
              <w:t>应满足磋商文件中要求的供货期</w:t>
            </w:r>
          </w:p>
        </w:tc>
        <w:tc>
          <w:tcPr>
            <w:tcW w:type="dxa" w:w="1661"/>
          </w:tcPr>
          <w:p>
            <w:pPr>
              <w:pStyle w:val="null3"/>
            </w:pPr>
            <w:r>
              <w:rPr>
                <w:rFonts w:ascii="仿宋_GB2312" w:hAnsi="仿宋_GB2312" w:cs="仿宋_GB2312" w:eastAsia="仿宋_GB2312"/>
              </w:rPr>
              <w:t>响应文件封面 2.开标一览表及分项.docx 标的清单 报价表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所投设备（产品）技术参数性能满足或优于招标文件要求，且稳定可靠，能够保证整体项目顺利实施，根据各投标人对其所投设备（产品）数量准确、规格进行描述，并提供生产厂家确认的、相应的功能证明材料（包括但不限于检测报告或测试报告或官网和功能截图等），描述无缺漏详细具体且证明材料完整的计15分，每负偏离一项“▲”指标扣2分，每负偏离一项非“▲”指标扣1分，扣完为止。(正偏离不加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2.开标一览表及分项.docx</w:t>
            </w:r>
          </w:p>
          <w:p>
            <w:pPr>
              <w:pStyle w:val="null3"/>
            </w:pPr>
            <w:r>
              <w:rPr>
                <w:rFonts w:ascii="仿宋_GB2312" w:hAnsi="仿宋_GB2312" w:cs="仿宋_GB2312" w:eastAsia="仿宋_GB2312"/>
              </w:rPr>
              <w:t>6.投标方案.docx</w:t>
            </w:r>
          </w:p>
          <w:p>
            <w:pPr>
              <w:pStyle w:val="null3"/>
            </w:pPr>
            <w:r>
              <w:rPr>
                <w:rFonts w:ascii="仿宋_GB2312" w:hAnsi="仿宋_GB2312" w:cs="仿宋_GB2312" w:eastAsia="仿宋_GB2312"/>
              </w:rPr>
              <w:t>7.偏离表.docx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针对本项目提供项目实施方案，方案应至少包括、1、应急方案，2、实施进度计划，3、货物来源渠道，4、安装调试方案，5、验收方案,包含以上5个方面的得15分，每缺少一项的扣3分，每有一项存在内容缺陷扣1分，每项关于内容缺陷的最多扣3分，扣完为止。 （内容缺陷是指：非专门针对本项目或不适用项目特性的情形、内容不完整或缺少关键节点、内容前后矛盾、涉及的规范及标准错误、不利于项目实施、不可能实现的情形等任意一种情形。）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4.供应商概况.docx</w:t>
            </w:r>
          </w:p>
          <w:p>
            <w:pPr>
              <w:pStyle w:val="null3"/>
            </w:pPr>
            <w:r>
              <w:rPr>
                <w:rFonts w:ascii="仿宋_GB2312" w:hAnsi="仿宋_GB2312" w:cs="仿宋_GB2312" w:eastAsia="仿宋_GB2312"/>
              </w:rPr>
              <w:t>6.投标方案.docx</w:t>
            </w:r>
          </w:p>
          <w:p>
            <w:pPr>
              <w:pStyle w:val="null3"/>
            </w:pPr>
            <w:r>
              <w:rPr>
                <w:rFonts w:ascii="仿宋_GB2312" w:hAnsi="仿宋_GB2312" w:cs="仿宋_GB2312" w:eastAsia="仿宋_GB2312"/>
              </w:rPr>
              <w:t>8.其他事项.docx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投标人针对本项目提供项目保障措施，应至少包括①项目管理措施、②质量控制措施、③与采购人的配合措施，包含以上3个方面的得9分，每缺少一项的扣3分，每有一项存在内容缺陷扣1分，每项关于内容缺陷的最多扣3分，扣完为止。 （内容缺陷是指：非专门针对本项目或不适用项目特性的情形、内容不完整或缺少关键节点、内容前后矛盾、涉及的规范及标准错误、不利于项目实施、不可能实现的情形等任意一种情形。）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6.投标方案.docx</w:t>
            </w:r>
          </w:p>
          <w:p>
            <w:pPr>
              <w:pStyle w:val="null3"/>
            </w:pPr>
            <w:r>
              <w:rPr>
                <w:rFonts w:ascii="仿宋_GB2312" w:hAnsi="仿宋_GB2312" w:cs="仿宋_GB2312" w:eastAsia="仿宋_GB2312"/>
              </w:rPr>
              <w:t>8.其他事项.docx</w:t>
            </w:r>
          </w:p>
        </w:tc>
      </w:tr>
      <w:tr>
        <w:tc>
          <w:tcPr>
            <w:tcW w:type="dxa" w:w="831"/>
            <w:vMerge/>
          </w:tcPr>
          <w:p/>
        </w:tc>
        <w:tc>
          <w:tcPr>
            <w:tcW w:type="dxa" w:w="1661"/>
          </w:tcPr>
          <w:p>
            <w:pPr>
              <w:pStyle w:val="null3"/>
            </w:pPr>
            <w:r>
              <w:rPr>
                <w:rFonts w:ascii="仿宋_GB2312" w:hAnsi="仿宋_GB2312" w:cs="仿宋_GB2312" w:eastAsia="仿宋_GB2312"/>
              </w:rPr>
              <w:t>交货组织安排</w:t>
            </w:r>
          </w:p>
        </w:tc>
        <w:tc>
          <w:tcPr>
            <w:tcW w:type="dxa" w:w="2492"/>
          </w:tcPr>
          <w:p>
            <w:pPr>
              <w:pStyle w:val="null3"/>
            </w:pPr>
            <w:r>
              <w:rPr>
                <w:rFonts w:ascii="仿宋_GB2312" w:hAnsi="仿宋_GB2312" w:cs="仿宋_GB2312" w:eastAsia="仿宋_GB2312"/>
              </w:rPr>
              <w:t>投标人针对本项目有具体的交货组织安排，方案应至少包括:①详细的人员，②财力调配，③运输、派送措施，④安全运输措施，包含以上4个方面的得10分，每缺少一项的扣2.5分，每有一项存在内容缺陷扣0.5分，每项关于内容缺陷的最多扣2.5分，扣完为止。 （内容缺陷是指：非专门针对本项目或不适用项目特性的情形、内容不完整或缺少关键节点、内容前后矛盾、涉及的规范及标准错误、不利于项目实施、不可能实现的情形等任意一种情形。）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6.投标方案.docx</w:t>
            </w:r>
          </w:p>
          <w:p>
            <w:pPr>
              <w:pStyle w:val="null3"/>
            </w:pPr>
            <w:r>
              <w:rPr>
                <w:rFonts w:ascii="仿宋_GB2312" w:hAnsi="仿宋_GB2312" w:cs="仿宋_GB2312" w:eastAsia="仿宋_GB2312"/>
              </w:rPr>
              <w:t>7.偏离表.docx</w:t>
            </w:r>
          </w:p>
          <w:p>
            <w:pPr>
              <w:pStyle w:val="null3"/>
            </w:pPr>
            <w:r>
              <w:rPr>
                <w:rFonts w:ascii="仿宋_GB2312" w:hAnsi="仿宋_GB2312" w:cs="仿宋_GB2312" w:eastAsia="仿宋_GB2312"/>
              </w:rPr>
              <w:t>8.其他事项.docx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根据投标人提供的培训方案进行评分，方案应至少包括:①培训内容、②培训计划、③培训人员，包含以上3个方面的得6分，每缺少一项的扣2分，每有一项存在内容缺陷扣1分，每项关于内容缺陷的最多扣2分，扣完为止。 （内容缺陷是指：非专门针对本项目或不适用项目特性的情形、内容不完整或缺少关键节点、内容前后矛盾、涉及的规范及标准错误、不利于项目实施、不可能实现的情形等任意一种情形。）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6.投标方案.docx</w:t>
            </w:r>
          </w:p>
          <w:p>
            <w:pPr>
              <w:pStyle w:val="null3"/>
            </w:pPr>
            <w:r>
              <w:rPr>
                <w:rFonts w:ascii="仿宋_GB2312" w:hAnsi="仿宋_GB2312" w:cs="仿宋_GB2312" w:eastAsia="仿宋_GB2312"/>
              </w:rPr>
              <w:t>7.偏离表.docx</w:t>
            </w:r>
          </w:p>
          <w:p>
            <w:pPr>
              <w:pStyle w:val="null3"/>
            </w:pPr>
            <w:r>
              <w:rPr>
                <w:rFonts w:ascii="仿宋_GB2312" w:hAnsi="仿宋_GB2312" w:cs="仿宋_GB2312" w:eastAsia="仿宋_GB2312"/>
              </w:rPr>
              <w:t>8.其他事项.docx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投标人提供的售后方案进行评分，方案应至少包括:①售后服务机构健全，能够提供本地化服务、②具有明确的承诺且符合实际需求，提供详细的售后服务方案及售后服务承诺等。包含以上2个方面的得5分，每缺少一项的扣2.5分，每有一项存在内容缺陷扣0.5分，每项关于内容缺陷的最多扣2.5分，扣完为止。 （内容缺陷是指：非专门针对本项目或不适用项目特性的情形、内容不完整或缺少关键节点、内容前后矛盾、涉及的规范及标准错误、不利于项目实施、不可能实现的情形等任意一种情形。）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6.投标方案.docx</w:t>
            </w:r>
          </w:p>
          <w:p>
            <w:pPr>
              <w:pStyle w:val="null3"/>
            </w:pPr>
            <w:r>
              <w:rPr>
                <w:rFonts w:ascii="仿宋_GB2312" w:hAnsi="仿宋_GB2312" w:cs="仿宋_GB2312" w:eastAsia="仿宋_GB2312"/>
              </w:rPr>
              <w:t>7.偏离表.docx</w:t>
            </w:r>
          </w:p>
          <w:p>
            <w:pPr>
              <w:pStyle w:val="null3"/>
            </w:pPr>
            <w:r>
              <w:rPr>
                <w:rFonts w:ascii="仿宋_GB2312" w:hAnsi="仿宋_GB2312" w:cs="仿宋_GB2312" w:eastAsia="仿宋_GB2312"/>
              </w:rPr>
              <w:t>8.其他事项.docx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提供供应商2023年6月至开标截止日前类似项目业绩，每提供1个有效业绩得2分，满分10分。（附完整合同复印件并加盖供应商公章，未提供或提供不完整或不清晰均不得分。）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6.投标方案.docx</w:t>
            </w:r>
          </w:p>
          <w:p>
            <w:pPr>
              <w:pStyle w:val="null3"/>
            </w:pPr>
            <w:r>
              <w:rPr>
                <w:rFonts w:ascii="仿宋_GB2312" w:hAnsi="仿宋_GB2312" w:cs="仿宋_GB2312" w:eastAsia="仿宋_GB2312"/>
              </w:rPr>
              <w:t>7.偏离表.docx</w:t>
            </w:r>
          </w:p>
          <w:p>
            <w:pPr>
              <w:pStyle w:val="null3"/>
            </w:pPr>
            <w:r>
              <w:rPr>
                <w:rFonts w:ascii="仿宋_GB2312" w:hAnsi="仿宋_GB2312" w:cs="仿宋_GB2312" w:eastAsia="仿宋_GB2312"/>
              </w:rPr>
              <w:t>8.其他事项.docx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5）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2.开标一览表及分项.docx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磋商报价得分=(磋商基准价／磋商报价)×30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2.开标一览表及分项.docx</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详见附件：2.开标一览表及分项.docx</w:t>
      </w:r>
    </w:p>
    <w:p>
      <w:pPr>
        <w:pStyle w:val="null3"/>
        <w:ind w:firstLine="960"/>
      </w:pPr>
      <w:r>
        <w:rPr>
          <w:rFonts w:ascii="仿宋_GB2312" w:hAnsi="仿宋_GB2312" w:cs="仿宋_GB2312" w:eastAsia="仿宋_GB2312"/>
        </w:rPr>
        <w:t>详见附件：3.资格证明文件.docx</w:t>
      </w:r>
    </w:p>
    <w:p>
      <w:pPr>
        <w:pStyle w:val="null3"/>
        <w:ind w:firstLine="960"/>
      </w:pPr>
      <w:r>
        <w:rPr>
          <w:rFonts w:ascii="仿宋_GB2312" w:hAnsi="仿宋_GB2312" w:cs="仿宋_GB2312" w:eastAsia="仿宋_GB2312"/>
        </w:rPr>
        <w:t>详见附件：4.供应商概况.docx</w:t>
      </w:r>
    </w:p>
    <w:p>
      <w:pPr>
        <w:pStyle w:val="null3"/>
        <w:ind w:firstLine="960"/>
      </w:pPr>
      <w:r>
        <w:rPr>
          <w:rFonts w:ascii="仿宋_GB2312" w:hAnsi="仿宋_GB2312" w:cs="仿宋_GB2312" w:eastAsia="仿宋_GB2312"/>
        </w:rPr>
        <w:t>详见附件：5.承诺书.docx</w:t>
      </w:r>
    </w:p>
    <w:p>
      <w:pPr>
        <w:pStyle w:val="null3"/>
        <w:ind w:firstLine="960"/>
      </w:pPr>
      <w:r>
        <w:rPr>
          <w:rFonts w:ascii="仿宋_GB2312" w:hAnsi="仿宋_GB2312" w:cs="仿宋_GB2312" w:eastAsia="仿宋_GB2312"/>
        </w:rPr>
        <w:t>详见附件：6.投标方案.docx</w:t>
      </w:r>
    </w:p>
    <w:p>
      <w:pPr>
        <w:pStyle w:val="null3"/>
        <w:ind w:firstLine="960"/>
      </w:pPr>
      <w:r>
        <w:rPr>
          <w:rFonts w:ascii="仿宋_GB2312" w:hAnsi="仿宋_GB2312" w:cs="仿宋_GB2312" w:eastAsia="仿宋_GB2312"/>
        </w:rPr>
        <w:t>详见附件：7.偏离表.docx</w:t>
      </w:r>
    </w:p>
    <w:p>
      <w:pPr>
        <w:pStyle w:val="null3"/>
        <w:ind w:firstLine="960"/>
      </w:pPr>
      <w:r>
        <w:rPr>
          <w:rFonts w:ascii="仿宋_GB2312" w:hAnsi="仿宋_GB2312" w:cs="仿宋_GB2312" w:eastAsia="仿宋_GB2312"/>
        </w:rPr>
        <w:t>详见附件：8.其他事项.docx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