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版本号：JXRC-260324.1B120260708002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检验检查报告自助打印服务项目(二次)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JXRC-260324.1B1</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检验检查报告自助打印服务项目(二次)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JXRC-260324.1B1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检验检查报告自助打印服务项目(二次)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多院区的检验检查报告自助打印服务，实现患者自助打印检验检查报告。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采购包1（检验检查报告自助打印服务）：属于专门面向中小企业采购。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财务状况报告：提供会计师事务所出具的完整的2024年或2025年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3、税收缴纳证明：提供自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并进行电子签章；</w:t>
      </w:r>
    </w:p>
    <w:p>
      <w:pPr>
        <w:pStyle w:val="null3"/>
      </w:pPr>
      <w:r>
        <w:rPr>
          <w:rFonts w:ascii="仿宋_GB2312" w:hAnsi="仿宋_GB2312" w:cs="仿宋_GB2312" w:eastAsia="仿宋_GB2312"/>
        </w:rPr>
        <w:t>4、社会保障资金缴纳证明：提供自2025年9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人/负责人授权书：法定代表人/负责人直接参加投标的，只须递交《法定代表人/负责人身份证明书》，法定代表人/负责人授权代表参加投标的，须递交《法定代表人/负责人授权委托书》，以及授权代表开标截止前近三个月社会保险缴纳证明；并进行电子签章；</w:t>
      </w:r>
    </w:p>
    <w:p>
      <w:pPr>
        <w:pStyle w:val="null3"/>
      </w:pPr>
      <w:r>
        <w:rPr>
          <w:rFonts w:ascii="仿宋_GB2312" w:hAnsi="仿宋_GB2312" w:cs="仿宋_GB2312" w:eastAsia="仿宋_GB2312"/>
        </w:rPr>
        <w:t>6、无重大违法记录：供应商需在项目电子化交易系统中按要求填写《无重大违法记录声明》完成承诺；</w:t>
      </w:r>
    </w:p>
    <w:p>
      <w:pPr>
        <w:pStyle w:val="null3"/>
      </w:pPr>
      <w:r>
        <w:rPr>
          <w:rFonts w:ascii="仿宋_GB2312" w:hAnsi="仿宋_GB2312" w:cs="仿宋_GB2312" w:eastAsia="仿宋_GB2312"/>
        </w:rPr>
        <w:t>7、供应商应具有履行合同所必需的设备和专业技术能力：供应商需在项目电子化交易系统中按要求填写《具有履行合同所必需的设备和专业技术能力的承诺书》完成承诺。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提供院本部、曲江院区、南院区的检验检查自助打印服务。服务期为一年。</w:t>
      </w:r>
    </w:p>
    <w:p>
      <w:pPr>
        <w:pStyle w:val="null3"/>
        <w:jc w:val="both"/>
      </w:pPr>
      <w:r>
        <w:rPr>
          <w:rFonts w:ascii="仿宋_GB2312" w:hAnsi="仿宋_GB2312" w:cs="仿宋_GB2312" w:eastAsia="仿宋_GB2312"/>
          <w:sz w:val="24"/>
          <w:color w:val="000000"/>
        </w:rPr>
        <w:t>清单如下：</w:t>
      </w:r>
    </w:p>
    <w:tbl>
      <w:tblPr>
        <w:tblW w:w="0" w:type="auto"/>
        <w:tblBorders>
          <w:top w:val="none" w:color="000000" w:sz="4"/>
          <w:left w:val="none" w:color="000000" w:sz="4"/>
          <w:bottom w:val="none" w:color="000000" w:sz="4"/>
          <w:right w:val="none" w:color="000000" w:sz="4"/>
          <w:insideH w:val="none"/>
          <w:insideV w:val="none"/>
        </w:tblBorders>
      </w:tblPr>
      <w:tblGrid>
        <w:gridCol w:w="3775"/>
        <w:gridCol w:w="4531"/>
      </w:tblGrid>
      <w:tr>
        <w:tc>
          <w:tcPr>
            <w:tcW w:type="dxa" w:w="3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采购内容</w:t>
            </w:r>
          </w:p>
        </w:tc>
        <w:tc>
          <w:tcPr>
            <w:tcW w:type="dxa" w:w="4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单张限价</w:t>
            </w:r>
          </w:p>
        </w:tc>
      </w:tr>
      <w:tr>
        <w:tc>
          <w:tcPr>
            <w:tcW w:type="dxa" w:w="3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r>
              <w:rPr>
                <w:rFonts w:ascii="仿宋_GB2312" w:hAnsi="仿宋_GB2312" w:cs="仿宋_GB2312" w:eastAsia="仿宋_GB2312"/>
                <w:sz w:val="24"/>
                <w:color w:val="000000"/>
              </w:rPr>
              <w:t>黑白</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r>
              <w:rPr>
                <w:rFonts w:ascii="仿宋_GB2312" w:hAnsi="仿宋_GB2312" w:cs="仿宋_GB2312" w:eastAsia="仿宋_GB2312"/>
                <w:sz w:val="24"/>
                <w:color w:val="000000"/>
              </w:rPr>
              <w:t>2</w:t>
            </w:r>
            <w:r>
              <w:rPr>
                <w:rFonts w:ascii="仿宋_GB2312" w:hAnsi="仿宋_GB2312" w:cs="仿宋_GB2312" w:eastAsia="仿宋_GB2312"/>
                <w:sz w:val="24"/>
                <w:color w:val="000000"/>
              </w:rPr>
              <w:t>元</w:t>
            </w:r>
            <w:r>
              <w:rPr>
                <w:rFonts w:ascii="仿宋_GB2312" w:hAnsi="仿宋_GB2312" w:cs="仿宋_GB2312" w:eastAsia="仿宋_GB2312"/>
                <w:sz w:val="24"/>
                <w:color w:val="000000"/>
              </w:rPr>
              <w:t>/</w:t>
            </w:r>
            <w:r>
              <w:rPr>
                <w:rFonts w:ascii="仿宋_GB2312" w:hAnsi="仿宋_GB2312" w:cs="仿宋_GB2312" w:eastAsia="仿宋_GB2312"/>
                <w:sz w:val="24"/>
                <w:color w:val="000000"/>
              </w:rPr>
              <w:t>张</w:t>
            </w:r>
          </w:p>
        </w:tc>
      </w:tr>
      <w:tr>
        <w:tc>
          <w:tcPr>
            <w:tcW w:type="dxa" w:w="3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w:t>
            </w:r>
            <w:r>
              <w:rPr>
                <w:rFonts w:ascii="仿宋_GB2312" w:hAnsi="仿宋_GB2312" w:cs="仿宋_GB2312" w:eastAsia="仿宋_GB2312"/>
                <w:sz w:val="24"/>
                <w:color w:val="000000"/>
              </w:rPr>
              <w:t>黑白</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r>
              <w:rPr>
                <w:rFonts w:ascii="仿宋_GB2312" w:hAnsi="仿宋_GB2312" w:cs="仿宋_GB2312" w:eastAsia="仿宋_GB2312"/>
                <w:sz w:val="24"/>
                <w:color w:val="000000"/>
              </w:rPr>
              <w:t>5</w:t>
            </w:r>
            <w:r>
              <w:rPr>
                <w:rFonts w:ascii="仿宋_GB2312" w:hAnsi="仿宋_GB2312" w:cs="仿宋_GB2312" w:eastAsia="仿宋_GB2312"/>
                <w:sz w:val="24"/>
                <w:color w:val="000000"/>
              </w:rPr>
              <w:t>元</w:t>
            </w:r>
            <w:r>
              <w:rPr>
                <w:rFonts w:ascii="仿宋_GB2312" w:hAnsi="仿宋_GB2312" w:cs="仿宋_GB2312" w:eastAsia="仿宋_GB2312"/>
                <w:sz w:val="24"/>
                <w:color w:val="000000"/>
              </w:rPr>
              <w:t>/</w:t>
            </w:r>
            <w:r>
              <w:rPr>
                <w:rFonts w:ascii="仿宋_GB2312" w:hAnsi="仿宋_GB2312" w:cs="仿宋_GB2312" w:eastAsia="仿宋_GB2312"/>
                <w:sz w:val="24"/>
                <w:color w:val="000000"/>
              </w:rPr>
              <w:t>张</w:t>
            </w:r>
          </w:p>
        </w:tc>
      </w:tr>
      <w:tr>
        <w:tc>
          <w:tcPr>
            <w:tcW w:type="dxa" w:w="3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w:t>
            </w:r>
            <w:r>
              <w:rPr>
                <w:rFonts w:ascii="仿宋_GB2312" w:hAnsi="仿宋_GB2312" w:cs="仿宋_GB2312" w:eastAsia="仿宋_GB2312"/>
                <w:sz w:val="24"/>
                <w:color w:val="000000"/>
              </w:rPr>
              <w:t>彩色</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r>
              <w:rPr>
                <w:rFonts w:ascii="仿宋_GB2312" w:hAnsi="仿宋_GB2312" w:cs="仿宋_GB2312" w:eastAsia="仿宋_GB2312"/>
                <w:sz w:val="24"/>
                <w:color w:val="000000"/>
              </w:rPr>
              <w:t>元</w:t>
            </w:r>
            <w:r>
              <w:rPr>
                <w:rFonts w:ascii="仿宋_GB2312" w:hAnsi="仿宋_GB2312" w:cs="仿宋_GB2312" w:eastAsia="仿宋_GB2312"/>
                <w:sz w:val="24"/>
                <w:color w:val="000000"/>
              </w:rPr>
              <w:t>/</w:t>
            </w:r>
            <w:r>
              <w:rPr>
                <w:rFonts w:ascii="仿宋_GB2312" w:hAnsi="仿宋_GB2312" w:cs="仿宋_GB2312" w:eastAsia="仿宋_GB2312"/>
                <w:sz w:val="24"/>
                <w:color w:val="000000"/>
              </w:rPr>
              <w:t>张</w:t>
            </w:r>
          </w:p>
        </w:tc>
      </w:tr>
      <w:tr>
        <w:tc>
          <w:tcPr>
            <w:tcW w:type="dxa" w:w="3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w:t>
            </w:r>
            <w:r>
              <w:rPr>
                <w:rFonts w:ascii="仿宋_GB2312" w:hAnsi="仿宋_GB2312" w:cs="仿宋_GB2312" w:eastAsia="仿宋_GB2312"/>
                <w:sz w:val="24"/>
                <w:color w:val="000000"/>
              </w:rPr>
              <w:t>彩色相纸</w:t>
            </w:r>
          </w:p>
        </w:tc>
        <w:tc>
          <w:tcPr>
            <w:tcW w:type="dxa" w:w="4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r>
              <w:rPr>
                <w:rFonts w:ascii="仿宋_GB2312" w:hAnsi="仿宋_GB2312" w:cs="仿宋_GB2312" w:eastAsia="仿宋_GB2312"/>
                <w:sz w:val="24"/>
                <w:color w:val="000000"/>
              </w:rPr>
              <w:t>元</w:t>
            </w:r>
            <w:r>
              <w:rPr>
                <w:rFonts w:ascii="仿宋_GB2312" w:hAnsi="仿宋_GB2312" w:cs="仿宋_GB2312" w:eastAsia="仿宋_GB2312"/>
                <w:sz w:val="24"/>
                <w:color w:val="000000"/>
              </w:rPr>
              <w:t>/</w:t>
            </w:r>
            <w:r>
              <w:rPr>
                <w:rFonts w:ascii="仿宋_GB2312" w:hAnsi="仿宋_GB2312" w:cs="仿宋_GB2312" w:eastAsia="仿宋_GB2312"/>
                <w:sz w:val="24"/>
                <w:color w:val="000000"/>
              </w:rPr>
              <w:t>张</w:t>
            </w:r>
          </w:p>
        </w:tc>
      </w:tr>
    </w:tbl>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自助打印服务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标的名称：自助打印服务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（一）总体需求 ★1、为满足临床科室打印要求，供应商提供的自助打印软件需满足一院多区的使用需求，实现多院区医技报告、图像数据的收集、汇总及共享，实现跨院区打印报告（提供证明材料并加盖公章）。</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全院（包括院本部、曲江院区、南院区）部署自助报告打印机≥23台，院本部影像科3台,检验科4台,功能科（超声和心电图）2台；曲江院区影像科1台，检验科2台，功能科（超声和心电图）2台；南院区影像科2台，检验科4台，功能科（超声和心电图）3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根据医院的发展情况，按需增加自助设备数量、提升设备硬件配置、调整设备放置地点等。同时根据医院需求在服务期内提供其他新增自助打印需求的服务，所供设备可以实现扫码，触摸等输入方式验证病人信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同时支持黑白、彩色及多种尺寸的打印，至少提供包括但不限于：影像诊断学报告（CT、MRI、DR等）、检验科报告、超声科报告、心电图报告等打印。根据科室需求提供黑白或彩色及对应尺寸报告等打印服务（提供证明材料并加盖公章）。</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★5、为保障软硬件产品的兼容性，系统运维服务质量等，软件系统、自助打印机为同一制造商生产制造（需出具证明文件）。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（二）软件需求 1、支持所有输出资料的一站式管理，实现医院影像科、检验科、功能科的图文报告、文件集中处理，所有图文资料统一通过业务服务器匹配、打印、分发。（提供证明材料并加盖公章）。</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2、通过打印服务器实现所有打印输出终端设备的统一管理、日常维护数据的安全存储。（提供证明材料并加盖公章）</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▲3、实现医院影像科、检验科、超声科报告的数据采集并与患者信息进行关联，存储在院内服务器。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▲4、可按终端统计印量，支持按日期、机型、终端、打印机、文件类型、尺寸、介质等自定义组合条件进行印量统计（提供证明材料并加盖公章）。</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5、可按医技科室统计印量，支持按日期、医技科室、报告类别、介质、尺寸等自定义组合条件进行印量统计。（提供证明材料并加盖公章）。</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6、可按日期、科室、报告类别等条件查询报告明细，包括科室、报告类别、颜色、打印终端、介质、尺寸、打印时间等信息。</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7、可区分黑白和彩色打印服务，方便统计印量与业务服务管理。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8、 对打印未成功、或者打印质量出问题等报告进行补打。</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9、支持在指定时间内发送第二份报告可以覆盖前一份报告。</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▲10、打印机状态监控功能：接收打印终端上报的打印机状态，并通过数据交换系统上传状态数据，可监控各终端运行状态。（提供证明材料并加盖公章）</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11、支持WEB端管理终端软件提示语内容。</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12、支持终端患者姓名隐藏规则配置。（提供证明材料并加盖公章）</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13、支持在报告上按科室自定义添加水印、引导语等信息。（提供证明材料并加盖公章）</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14、可对用户、角色进行权限配置。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15、可按院区、病区、门诊与住院、临床科室等条件进行报告分流，以满足各类定制需求。</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▲16、多科室报告同时打印：支持同时打印放射、检验、超声、心电等全院所有报告。</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▲17、多规格多材质打印：支持A4、A5等多规格打印、支持相纸/普通纸多种材质。（提供证明材料并加盖公章）</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18、全院自助打印服务的空窗期要求：为保障全院自助打印服务平稳过渡，供应商需承诺在合同签订后10个工作日内完成全院自助打印服务正常上线运行，保障全院自助打印服务系统正常使用及维护。</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★19、供应商承担与LIS、PACS、心电系统等系统对接的所有接口费用，并提供本项目所有功能所需服务器。</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（三）硬件需求 1、落地式自助机</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2、触摸显示界面：≥21英寸触摸显示屏</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3、打印类型：黑白激光打印、彩色喷墨打印，根据科室打印需求提供</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4、纸盒数量：≥2个，最大纸张容量：≥700页</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5、打印规格：支持A4、A5</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6、打印速度：A4纸张≥30页/分钟</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7、打印介质：普通纸、彩色相纸</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8、扫描功能：支持条形码、二维码</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9、打印纸规格： A4：白色，210mm×297mm，≥70g/㎡； A4：彩色，210mm×297mm，≥70g/㎡； A5：白色，148mm×210mm，≥70g/㎡； A4相纸：高光相纸，210mm×297mm，≥110g/㎡。</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四、服务要求 ★1、供应商提供自助报告打印机所需的耗材、纸张、配件等，配备7*8小时专业驻场工程师≥2名（院本部至少1人，南院区至少1人），负责设备的保养及耗材更换，指导病人使用。保证信息安全不泄露患者隐私，签订合同后2个工作日内常驻人员全部到位（提供证明材料并加盖公章）。</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2、纸质打印质量标准：黑白打印结果实心黑线，彩色打印结果无偏色；打印件无重影、断点和模糊；无直径或长度在2mm以上的脏污；无因漏印而导致的文章内容不明。确保打印质量的完好率，供应商承担错一罚十(即打印报告出错一次免收十次费用)的责任（提供证明材料并加盖公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1年。如遇不可抗力因素影响，可根据情况调整后续服务期限或条款。若合同期限未到期，但合同据实结算金额已达到合同预算上限，医院有权选择提前终止合同。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服务要求应按不低于国家、省、市有关部门规定的质量标准执行。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支付方式详见采购文件3.4其他要求中付款方式</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1.售后服务要求： 1.1服务期一年内，成交供应商负责提供全院自助打印设备及系统的维护、维修、配件更换等服务，采购人不再支付任何费用。 1.2成交供应商须提供7*24小时热线服务，对于服务请求，应在30分钟内响应，1小时内解决问题。 1.3经双方确认，自助打印设备无法修复，成交供应商必须及时提供同类型设备更换。 2. 付款方式（因系统编制受限，采购文件中关于付款方式的描述有不一致的地方以此处为准）：合同签订后，按照每月实际打印量据实结算。具体细节按照甲乙双方所签订合同执行（每次付款前，成交供应商必须开具等额发票给甲方，甲方收到发票后付款，否则，甲方有权暂不付款且不承担任何责任）。 支付方式：银行转账。 3、全院自助打印服务空窗期要求：为保障全院自助打印服务平稳过渡，供应商需承诺在合同签订后10个工作日内完成全院自助打印服务正常上线运行，保障全院自助打印服务系统正常使用及维护。 4、知识产权：采购人在中华人民共和国境内使用供应商提供的货物及服务时免受第三方提出的侵犯其专利权或其它知识产权的起诉。如果第三方提出侵权指控，成交供应商应承担由此而引起的一切法律责任和费用。 5、供应商未被列入相关部门“黑名单”以及有行贿、串标等违法违规行为；进入相关部门“黑名单”的供应商以及有行贿、串标等违法违规行为并经查实的供应商不能参与招标人采购项目的投标活动。对“黑名单”中供应商采取“一票否决”及“随时叫停”机制，在报名、资格审核、评审、公示、合同签订等各环节一旦发现并查实有行贿等违法违规行为的，立即取消其相关资格且终止合同签订。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完整的2024年或2025年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9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投标的，只须递交《法定代表人/负责人身份证明书》，法定代表人/负责人授权代表参加投标的，须递交《法定代表人/负责人授权委托书》，以及授权代表开标截止前近三个月社会保险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供应商需在项目电子化交易系统中按要求填写《无重大违法记录声明》完成承诺；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供应商需在项目电子化交易系统中按要求填写《具有履行合同所必需的设备和专业技术能力的承诺书》完成承诺。</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④评审小组基于专业判断，认为供应商报价过低，有可能影响产品质量或者不能诚信履约的其他情形。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小组应当将其作为无效投标（响应）处理。 2. 投标人提交的相关说明和证明材料，应当加盖投标人（法定名称）电子印章，在评审小组要求的时间内通过项目电子化交易系统进行提交，否则提交的相关证明材料无效。投标人不能证明其投标报价合理性的，评审小组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中小企业声明函 供应商业绩 响应文件封面 其他材料 残疾人福利性单位声明函 供应商企业关联关系声明函 供应商基本信息 服务方案 标的清单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供应商必须满足采购文件的实质性要求</w:t>
            </w:r>
          </w:p>
        </w:tc>
        <w:tc>
          <w:tcPr>
            <w:tcW w:type="dxa" w:w="1661"/>
          </w:tcPr>
          <w:p>
            <w:pPr>
              <w:pStyle w:val="null3"/>
            </w:pPr>
            <w:r>
              <w:rPr>
                <w:rFonts w:ascii="仿宋_GB2312" w:hAnsi="仿宋_GB2312" w:cs="仿宋_GB2312" w:eastAsia="仿宋_GB2312"/>
              </w:rPr>
              <w:t>服务响应偏离表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各单项报价不得超过单项限价</w:t>
            </w:r>
          </w:p>
        </w:tc>
        <w:tc>
          <w:tcPr>
            <w:tcW w:type="dxa" w:w="1661"/>
          </w:tcPr>
          <w:p>
            <w:pPr>
              <w:pStyle w:val="null3"/>
            </w:pPr>
            <w:r>
              <w:rPr>
                <w:rFonts w:ascii="仿宋_GB2312" w:hAnsi="仿宋_GB2312" w:cs="仿宋_GB2312" w:eastAsia="仿宋_GB2312"/>
              </w:rPr>
              <w:t>分项报价表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服务内容响应（25分） 供应商根据第三章 “服务内容及要求中 3.2.2服务要求”进行响应，完全满足或高于采购文件要求，得满分25分。 带“★”标识（共5项）的参数需求为实质性要求，必须响应并满足参数需求。 1、带“▲”号技术指标满分10分（共5项），有一项不满足扣2分； 2、非“▲”和非“★”号技术参数满分15分（共25项），每有一项负偏离扣0.6分。 备注：供应商应对每一项响应内容提供佐证材料（佐证材料不限于功能截图、产品功能说明书、承诺书等）以证明其服务参数的响应性。</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供应商针对本项目采购需求制定详细的服务方案，包括但不限于①实施规划、质量管理；②驻场运维服务方案；③耗材、纸张、配件供应保障方案等；④患者隐私与信息安全保障方案 二、评审标准 1、方案完整性：方案须全面合理，架构完整，对评审内容中的各项要求有详细描述； 2、方案可实施性：切合本项目实际情况，实施步骤清晰、合理； 3、针对性：方案能够紧扣项目实际情况。 三、赋分标准（满分10分） 上述4项评审内容全部满足评审标准最高得10分；每有一个评审内容缺项扣2.5分，扣完为止；每有一项评审内容存在缺陷，扣（0-2.5）分。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供应商针对本项目提供质量保证措施，包含但不限于①组织机构保障措施；②设备与硬件保障措施；③耗材与配件供应保障措施；④打印质量保障措施。 二、评审标准 1、方案完整性：方案须全面合理，架构完整，对评审内容中的各项要求有详细描述； 2、方案可实施性：切合本项目实际情况，实施步骤清晰、合理； 3、针对性：方案能够紧扣项目实际情况。 三、赋分标准（满分10分） 上述4项评审内容全部满足评审标准最高得10分；每有一个评审内容缺项扣2.5分，扣完为止；每有一项评审内容存在缺陷，扣（0-2.5）分。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样品一</w:t>
            </w:r>
          </w:p>
        </w:tc>
        <w:tc>
          <w:tcPr>
            <w:tcW w:type="dxa" w:w="2492"/>
          </w:tcPr>
          <w:p>
            <w:pPr>
              <w:pStyle w:val="null3"/>
            </w:pPr>
            <w:r>
              <w:rPr>
                <w:rFonts w:ascii="仿宋_GB2312" w:hAnsi="仿宋_GB2312" w:cs="仿宋_GB2312" w:eastAsia="仿宋_GB2312"/>
              </w:rPr>
              <w:t>（满分3分）黑白打印：供应商须提供A4：210mm×297mm，≥70g/㎡；A5：148mm×210mm，≥70g/㎡；黑白打印纸各一张作为评审样品。打印字体清晰得1分；辨识度高得1分；无变形失真得1分，未提供样品不计分。 注：（1）开标当日密封提交，截止时间同投标文件递交截止时间。未密封提交样品不予接受，密封样品标注单位名称。 （2）样品递交地址：西安市南稍门十字东南角大话南门壹中心1806室。 （3）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样品二</w:t>
            </w:r>
          </w:p>
        </w:tc>
        <w:tc>
          <w:tcPr>
            <w:tcW w:type="dxa" w:w="2492"/>
          </w:tcPr>
          <w:p>
            <w:pPr>
              <w:pStyle w:val="null3"/>
            </w:pPr>
            <w:r>
              <w:rPr>
                <w:rFonts w:ascii="仿宋_GB2312" w:hAnsi="仿宋_GB2312" w:cs="仿宋_GB2312" w:eastAsia="仿宋_GB2312"/>
              </w:rPr>
              <w:t>（满分3分）彩色打印：供应商须提供A4：彩色，210mm×297mm，≥70g/㎡；A4相纸：高光相纸，210mm×297mm，≥110g/㎡，彩色打印纸各一张作为评审样品。图像质量清晰、辨识度高得1分；分辨率高得1分；无色差、无失真得1分，未提供样品不计分。 注：（1）开标当日密封提交，截止时间同投标文件递交截止时间。未密封提交样品不予接受，密封样品标注单位名称。 （2）样品递交地址：西安市南稍门十字东南角大话南门壹中心1806室。 （3）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供应商提供的自助打印系统获得国家版权局颁发的《计算机软件著作权登记证书》。（复印件加盖供应商公章，提供得2分，未提供得0分）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供应商针对本项目提供售后服务方案，方案内不限于①故障响应与维修服务；②应急保障服务；③日常培训与指导服务等。 二、评审标准 1、方案完整性：方案须全面合理，架构完整，对评审内容中的各项要求有详细描述； 2、方案可实施性：切合本项目实际情况，实施步骤清晰、合理； 3、针对性：方案能够紧扣项目实际情况。 三、赋分标准（满分9分） 上述3项评审内容全部满足评审标准最高得9分；每有一个评审内容缺项扣3分，扣完为止；每有一项评审内容存在缺陷，扣（0-3）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供应商提供2023年1月1日（以合同签订时间为准）至今同类项目业绩，须提供完整合同复印件并加盖供应商公章，每提供1份得2分，最高得8分，未提供不计分。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价格分统一采用低价优先法计算，即满足磋商文件要求且最终磋商报价最低的为评标基准价，其价格分为满分。 各供应商最终磋商报价= A5黑白单价*30% + A4黑白单价*30% + A4彩色单价*10% + A4彩色相纸单价*30%。 其他供应商的价格分统一按照下列公式计算：磋商报价得分＝（评标基准价／最终磋商报价）×30。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