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版本号：SXZZ-采-【F2026-260512】20260509001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渭南全市检察机关检察工作网运维服务项目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SXZZ-采-【F2026-260512】</w:t>
      </w:r>
      <w:r>
        <w:br/>
      </w:r>
      <w:r>
        <w:br/>
      </w:r>
      <w:r>
        <w:br/>
      </w:r>
    </w:p>
    <w:p>
      <w:pPr>
        <w:pStyle w:val="null3"/>
        <w:jc w:val="center"/>
        <w:outlineLvl w:val="2"/>
      </w:pPr>
      <w:r>
        <w:rPr>
          <w:rFonts w:ascii="仿宋_GB2312" w:hAnsi="仿宋_GB2312" w:cs="仿宋_GB2312" w:eastAsia="仿宋_GB2312"/>
          <w:sz w:val="28"/>
          <w:b/>
        </w:rPr>
        <w:t>渭南市人民检察院</w:t>
      </w:r>
    </w:p>
    <w:p>
      <w:pPr>
        <w:pStyle w:val="null3"/>
        <w:jc w:val="center"/>
        <w:outlineLvl w:val="2"/>
      </w:pPr>
      <w:r>
        <w:rPr>
          <w:rFonts w:ascii="仿宋_GB2312" w:hAnsi="仿宋_GB2312" w:cs="仿宋_GB2312" w:eastAsia="仿宋_GB2312"/>
          <w:sz w:val="28"/>
          <w:b/>
        </w:rPr>
        <w:t>陕西中招招标有限责任公司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陕西中招招标有限责任公司</w:t>
      </w:r>
      <w:r>
        <w:rPr>
          <w:rFonts w:ascii="仿宋_GB2312" w:hAnsi="仿宋_GB2312" w:cs="仿宋_GB2312" w:eastAsia="仿宋_GB2312"/>
        </w:rPr>
        <w:t>（以下简称“代理机构”）受</w:t>
      </w:r>
      <w:r>
        <w:rPr>
          <w:rFonts w:ascii="仿宋_GB2312" w:hAnsi="仿宋_GB2312" w:cs="仿宋_GB2312" w:eastAsia="仿宋_GB2312"/>
        </w:rPr>
        <w:t>渭南市人民检察院</w:t>
      </w:r>
      <w:r>
        <w:rPr>
          <w:rFonts w:ascii="仿宋_GB2312" w:hAnsi="仿宋_GB2312" w:cs="仿宋_GB2312" w:eastAsia="仿宋_GB2312"/>
        </w:rPr>
        <w:t>委托，拟对</w:t>
      </w:r>
      <w:r>
        <w:rPr>
          <w:rFonts w:ascii="仿宋_GB2312" w:hAnsi="仿宋_GB2312" w:cs="仿宋_GB2312" w:eastAsia="仿宋_GB2312"/>
        </w:rPr>
        <w:t>渭南全市检察机关检察工作网运维服务项目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SXZZ-采-【F2026-260512】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渭南全市检察机关检察工作网运维服务项目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对渭南市本级及各区县检察机关安全平台、云平台、机房等的升级及运维服务进行采购。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1、法定代表人（或负责人）资格证明：提供法定代表人（或负责人）资格证明；</w:t>
      </w:r>
    </w:p>
    <w:p>
      <w:pPr>
        <w:pStyle w:val="null3"/>
      </w:pPr>
      <w:r>
        <w:rPr>
          <w:rFonts w:ascii="仿宋_GB2312" w:hAnsi="仿宋_GB2312" w:cs="仿宋_GB2312" w:eastAsia="仿宋_GB2312"/>
        </w:rPr>
        <w:t>2、营业执照或等同：国内合法注册，具有独立承担民事责任能力的法人或其他组织（分公司提供总公司合法有效授权）；</w:t>
      </w:r>
    </w:p>
    <w:p>
      <w:pPr>
        <w:pStyle w:val="null3"/>
      </w:pPr>
      <w:r>
        <w:rPr>
          <w:rFonts w:ascii="仿宋_GB2312" w:hAnsi="仿宋_GB2312" w:cs="仿宋_GB2312" w:eastAsia="仿宋_GB2312"/>
        </w:rPr>
        <w:t>3、供应商应提供健全的财务会计制度的证明材料：提供供应商2025年年度财务报表（包括资产负债表、利润表、现金流量表）或供应商针对本项目开具的银行资信证明；</w:t>
      </w:r>
    </w:p>
    <w:p>
      <w:pPr>
        <w:pStyle w:val="null3"/>
      </w:pPr>
      <w:r>
        <w:rPr>
          <w:rFonts w:ascii="仿宋_GB2312" w:hAnsi="仿宋_GB2312" w:cs="仿宋_GB2312" w:eastAsia="仿宋_GB2312"/>
        </w:rPr>
        <w:t>4、完税及社保缴纳证明：提供供应商2025年5月至今任意一个月完税证明及社保缴纳凭证（须含养老），依法免税提供免税相关证明材料。至投标截止时间成立不足一月的，提供供应商符合完税及社保缴纳的相关规定的证明或承诺。时间以税款/社保所属日期为准；凭证应有税务机关或代收机关的公章或业务专用章；</w:t>
      </w:r>
    </w:p>
    <w:p>
      <w:pPr>
        <w:pStyle w:val="null3"/>
      </w:pPr>
      <w:r>
        <w:rPr>
          <w:rFonts w:ascii="仿宋_GB2312" w:hAnsi="仿宋_GB2312" w:cs="仿宋_GB2312" w:eastAsia="仿宋_GB2312"/>
        </w:rPr>
        <w:t>5、供应商信用查询：供应商不得在“信用中国”（www.creditchina.gov.cn）和“中国政府采购网”（www.ccgp.gov.cn）有失信记录。（1.“信用中国：未被列入失信被执行人和重大税收违法案件当事人;2.“中国政府采购网”:未被列入严重违法失信行为记录名单。）；</w:t>
      </w:r>
    </w:p>
    <w:p>
      <w:pPr>
        <w:pStyle w:val="null3"/>
      </w:pPr>
      <w:r>
        <w:rPr>
          <w:rFonts w:ascii="仿宋_GB2312" w:hAnsi="仿宋_GB2312" w:cs="仿宋_GB2312" w:eastAsia="仿宋_GB2312"/>
        </w:rPr>
        <w:t>6、无违法违规行为声明：供应商参加本政府采购活动前三年内（2023年5月至投标截止时间止）在经营活动中无重大违法违规记录、无重大行政处罚、无重大安全事故的书面声明；</w:t>
      </w:r>
    </w:p>
    <w:p>
      <w:pPr>
        <w:pStyle w:val="null3"/>
      </w:pPr>
      <w:r>
        <w:rPr>
          <w:rFonts w:ascii="仿宋_GB2312" w:hAnsi="仿宋_GB2312" w:cs="仿宋_GB2312" w:eastAsia="仿宋_GB2312"/>
        </w:rPr>
        <w:t>7、缴纳投标保证金：提供投标保证金缴纳凭证或投标保函；</w:t>
      </w:r>
    </w:p>
    <w:p>
      <w:pPr>
        <w:pStyle w:val="null3"/>
      </w:pPr>
      <w:r>
        <w:rPr>
          <w:rFonts w:ascii="仿宋_GB2312" w:hAnsi="仿宋_GB2312" w:cs="仿宋_GB2312" w:eastAsia="仿宋_GB2312"/>
        </w:rPr>
        <w:t>8、禁止投标：禁止投标情形：①法定代表人或负责人为同一人或存在直接控股、管理关系的不同单位，不得同时参加本项目投标；②与采购人存在利害关系的单位不得参加本项目投标；③法律法规规定的其他禁止投标情形；</w:t>
      </w:r>
    </w:p>
    <w:p>
      <w:pPr>
        <w:pStyle w:val="null3"/>
      </w:pPr>
      <w:r>
        <w:rPr>
          <w:rFonts w:ascii="仿宋_GB2312" w:hAnsi="仿宋_GB2312" w:cs="仿宋_GB2312" w:eastAsia="仿宋_GB2312"/>
        </w:rPr>
        <w:t>9、非联合体投标：提供非联合体投标声明。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渭南市人民检察院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渭南市临渭区新区东路9号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17709138487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陕西中招招标有限责任公司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陕西省西安市莲湖区沣惠路南段艺腾国际商务大厦十楼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招标五部-范博、左金娟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029-81510917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采购包1：3,832,300.00元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开户名称：陕西中招招标有限责任公司</w:t>
            </w:r>
          </w:p>
          <w:p>
            <w:pPr>
              <w:pStyle w:val="null3"/>
            </w:pPr>
            <w:r>
              <w:rPr>
                <w:rFonts w:ascii="仿宋_GB2312" w:hAnsi="仿宋_GB2312" w:cs="仿宋_GB2312" w:eastAsia="仿宋_GB2312"/>
              </w:rPr>
              <w:t>开户银行：中国工商银行股份有限公司西安市解放路支行</w:t>
            </w:r>
          </w:p>
          <w:p>
            <w:pPr>
              <w:pStyle w:val="null3"/>
            </w:pPr>
            <w:r>
              <w:rPr>
                <w:rFonts w:ascii="仿宋_GB2312" w:hAnsi="仿宋_GB2312" w:cs="仿宋_GB2312" w:eastAsia="仿宋_GB2312"/>
              </w:rPr>
              <w:t>银行账号：3700020619005074459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120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代理服务费收费标准：1.以采购人与代理机构委托协议为准。参照《招标代理服务收费管理暂行办法》计价格[2002]1980号文及发改价格[2015]299号文件相关规定，按项目分项预算金额为基准计算收取（三年）。 2.收取时间：中标人确定之日代理机构即享有收取代理服务费的法定权利（非代理机构原因，服务费收取不退）。 3.支付时间：中标人确定之日起2日内由中标人一次性全额支付。费用包含在投标报价中（不需单列），无论计算与否，均视为已知。</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渭南市人民检察院</w:t>
      </w:r>
      <w:r>
        <w:rPr>
          <w:rFonts w:ascii="仿宋_GB2312" w:hAnsi="仿宋_GB2312" w:cs="仿宋_GB2312" w:eastAsia="仿宋_GB2312"/>
        </w:rPr>
        <w:t>和</w:t>
      </w:r>
      <w:r>
        <w:rPr>
          <w:rFonts w:ascii="仿宋_GB2312" w:hAnsi="仿宋_GB2312" w:cs="仿宋_GB2312" w:eastAsia="仿宋_GB2312"/>
        </w:rPr>
        <w:t>陕西中招招标有限责任公司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渭南市人民检察院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陕西中招招标有限责任公司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渭南市人民检察院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陕西中招招标有限责任公司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履约验收主体：采购人是履约验收的第一责任人，负有对履约验收工作的主体责任。2.履约单位义务与责任：①诚信履约：履约单位应严守契约精神，将诚信履约作为经营底线。签订采购合同后，应按照履约期限，向采购人提供符合招标文件要求、投标文件内容、合同约定交付标准的服务内容，不得擅自降低标准、缩减范围或变更服务人员及内容。②主动配合验收，承担违约责任：履约单位应积极配合采购人开展的履约验收工作，提供与项目验收相关的技术服务、质量等资料。对不按合同履约、阻挠正常验收、拒不整改或整改不到位、履约过程违约的，采购人应依据采购合同及《民法典》等相关法律法规，依法追究其法律责任，必要时，可将违法线索报送监督部门予以查处。3.履约验收方式：由采购人组织对中标人的技术服务工作内容、工作质量等进行验收，验收内容包括项目服务情况、技术方案实施进度、成果质量等，验收不合格的，中标人需及时整改完成。4.履约验收小组：验收小组由熟悉项目需求的人员、财务人员、资产管理人员、使用人员、专业人员等至少3人以上单数组成。对技术复杂、专业性较强的采购项目，验收小组必须包含专业技术人员，该人员可由采购人从本单位指定，也可邀请专家、第三方专业机构等人员参与验收,相关验收意见作为验收书的参考资料（服务项目，验收时可邀请服务对象）。5.履约验收内容：验收小组须严格落实法律法规、履约验收要求，按照招标文件、投标文件、合同约定的技术、服务以及履约期限、交付方式、售后服务条款等要求，客观、公正进行验收，出具验收意见、验收报告等。验收报告应载明验收依据、验收过程、各项验收内容的评价、发现的问题（如有）、处理建议及最终的验收结论（合格或不合格）等,由验收双方共同签署。6.履约验收依据：履约验收主体应当按照采购合同规定的标的、技术、标准、服务内容、质量和安全等要求，组织对供应商履约情况进行验收，并出具验收报告。验收报告包括：技术、服务、安全标准等的履约情况。7.履约验收标准：达到国家、行业相关现行标准，通过验收，满足采购要求。8.履约验收问题处理：验收合格的项目,采购人应当根据采购合同的约定及时向中标人支付资金、退还履约保证金。验收不合格的项目,采购人应当依法及时处理。9.履约争议、违约：采购合同履行、违约责任和解决争议的方式等适用采购合同及民法典。履约单位在履约过程中有相关法律法规规定的违法违规情形的,采购人应当及时报告监督部门。</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陕西中招招标有限责任公司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陕西中招招标有限责任公司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陕西中招招标有限责任公司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联系人：任老师</w:t>
      </w:r>
    </w:p>
    <w:p>
      <w:pPr>
        <w:pStyle w:val="null3"/>
      </w:pPr>
      <w:r>
        <w:rPr>
          <w:rFonts w:ascii="仿宋_GB2312" w:hAnsi="仿宋_GB2312" w:cs="仿宋_GB2312" w:eastAsia="仿宋_GB2312"/>
        </w:rPr>
        <w:t>联系电话：029-81510957</w:t>
      </w:r>
    </w:p>
    <w:p>
      <w:pPr>
        <w:pStyle w:val="null3"/>
      </w:pPr>
      <w:r>
        <w:rPr>
          <w:rFonts w:ascii="仿宋_GB2312" w:hAnsi="仿宋_GB2312" w:cs="仿宋_GB2312" w:eastAsia="仿宋_GB2312"/>
        </w:rPr>
        <w:t>地址：西安市沣惠路南段艺腾国际商务大厦1015室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对渭南市本级及各区县检察机关安全平台、云平台、机房等的升级及运维服务进行采购。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3,832,300.00</w:t>
      </w:r>
    </w:p>
    <w:p>
      <w:pPr>
        <w:pStyle w:val="null3"/>
      </w:pPr>
      <w:r>
        <w:rPr>
          <w:rFonts w:ascii="仿宋_GB2312" w:hAnsi="仿宋_GB2312" w:cs="仿宋_GB2312" w:eastAsia="仿宋_GB2312"/>
        </w:rPr>
        <w:t>采购包最高限价（元）: 3,832,300.00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渭南全市检察机关检察工作网运维服务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3,832,300.00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标的名称：渭南全市检察机关检察工作网运维服务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一、项目概况</w:t>
            </w:r>
          </w:p>
          <w:p>
            <w:pPr>
              <w:pStyle w:val="null3"/>
              <w:ind w:firstLine="420"/>
              <w:jc w:val="both"/>
            </w:pPr>
            <w:r>
              <w:rPr>
                <w:rFonts w:ascii="仿宋_GB2312" w:hAnsi="仿宋_GB2312" w:cs="仿宋_GB2312" w:eastAsia="仿宋_GB2312"/>
                <w:sz w:val="21"/>
              </w:rPr>
              <w:t>本项目为人民检察院检察工作网综合运维服务，覆盖检察工作网核心网络、中心机房、网络安全设备、业务终端及专线链路等全范畴运维保障</w:t>
            </w:r>
            <w:r>
              <w:rPr>
                <w:rFonts w:ascii="仿宋_GB2312" w:hAnsi="仿宋_GB2312" w:cs="仿宋_GB2312" w:eastAsia="仿宋_GB2312"/>
                <w:sz w:val="21"/>
              </w:rPr>
              <w:t>（涉密部分除外）</w:t>
            </w:r>
            <w:r>
              <w:rPr>
                <w:rFonts w:ascii="仿宋_GB2312" w:hAnsi="仿宋_GB2312" w:cs="仿宋_GB2312" w:eastAsia="仿宋_GB2312"/>
                <w:sz w:val="21"/>
              </w:rPr>
              <w:t>，严格遵循政法网络安全及检察信息化建设相关规范，通过专业化、标准化的运维管理与安全加固服务，实现现有运维服务的无缝、平稳承接，保障核心业务系统安全、合规、连续运行。同时推进安全平台国产化升级改造，全面加固工作网安全防线，强化系统安全纵深防御能力。</w:t>
            </w:r>
          </w:p>
          <w:p>
            <w:pPr>
              <w:pStyle w:val="null3"/>
              <w:jc w:val="both"/>
            </w:pPr>
            <w:r>
              <w:rPr>
                <w:rFonts w:ascii="仿宋_GB2312" w:hAnsi="仿宋_GB2312" w:cs="仿宋_GB2312" w:eastAsia="仿宋_GB2312"/>
                <w:sz w:val="21"/>
                <w:b/>
              </w:rPr>
              <w:t>二、服务区域</w:t>
            </w:r>
          </w:p>
          <w:p>
            <w:pPr>
              <w:pStyle w:val="null3"/>
              <w:ind w:firstLine="420"/>
              <w:jc w:val="both"/>
            </w:pPr>
            <w:r>
              <w:rPr>
                <w:rFonts w:ascii="仿宋_GB2312" w:hAnsi="仿宋_GB2312" w:cs="仿宋_GB2312" w:eastAsia="仿宋_GB2312"/>
                <w:sz w:val="21"/>
              </w:rPr>
              <w:t>渭南市人民检察院本级及所属各区、县人民检察院。</w:t>
            </w:r>
          </w:p>
          <w:p>
            <w:pPr>
              <w:pStyle w:val="null3"/>
              <w:jc w:val="both"/>
            </w:pPr>
            <w:r>
              <w:rPr>
                <w:rFonts w:ascii="仿宋_GB2312" w:hAnsi="仿宋_GB2312" w:cs="仿宋_GB2312" w:eastAsia="仿宋_GB2312"/>
                <w:sz w:val="21"/>
                <w:b/>
              </w:rPr>
              <w:t>三、实施目标</w:t>
            </w:r>
          </w:p>
          <w:p>
            <w:pPr>
              <w:pStyle w:val="null3"/>
              <w:ind w:firstLine="420"/>
              <w:jc w:val="both"/>
            </w:pPr>
            <w:r>
              <w:rPr>
                <w:rFonts w:ascii="仿宋_GB2312" w:hAnsi="仿宋_GB2312" w:cs="仿宋_GB2312" w:eastAsia="仿宋_GB2312"/>
                <w:sz w:val="21"/>
              </w:rPr>
              <w:t>1.业务连续性目标：核心业务系统全年可用率不低于99.9%，无因运维服务失误导致的业务中断或数据丢失；建立完善的故障应急响应机制。</w:t>
            </w:r>
          </w:p>
          <w:p>
            <w:pPr>
              <w:pStyle w:val="null3"/>
              <w:ind w:firstLine="420"/>
              <w:jc w:val="both"/>
            </w:pPr>
            <w:r>
              <w:rPr>
                <w:rFonts w:ascii="仿宋_GB2312" w:hAnsi="仿宋_GB2312" w:cs="仿宋_GB2312" w:eastAsia="仿宋_GB2312"/>
                <w:sz w:val="21"/>
              </w:rPr>
              <w:t>2.运维服务延续性目标：完成现有运维工作的平稳交接，建立完整的运维服务台账、知识库与应急方案，实现运维服务无脱节、无空档。</w:t>
            </w:r>
          </w:p>
          <w:p>
            <w:pPr>
              <w:pStyle w:val="null3"/>
              <w:ind w:firstLine="420"/>
              <w:jc w:val="both"/>
            </w:pPr>
            <w:r>
              <w:rPr>
                <w:rFonts w:ascii="仿宋_GB2312" w:hAnsi="仿宋_GB2312" w:cs="仿宋_GB2312" w:eastAsia="仿宋_GB2312"/>
                <w:sz w:val="21"/>
              </w:rPr>
              <w:t>3.安全加固目标：按要求完成安全平台国产化升级，升级后系统安全防护能力符合网络安全等级保护要求，安全漏洞整改率100%，构建完善的纵深防御体系。</w:t>
            </w:r>
          </w:p>
          <w:p>
            <w:pPr>
              <w:pStyle w:val="null3"/>
              <w:ind w:firstLine="420"/>
              <w:jc w:val="both"/>
            </w:pPr>
            <w:r>
              <w:rPr>
                <w:rFonts w:ascii="仿宋_GB2312" w:hAnsi="仿宋_GB2312" w:cs="仿宋_GB2312" w:eastAsia="仿宋_GB2312"/>
                <w:sz w:val="21"/>
              </w:rPr>
              <w:t>4.合规性目标：所有运维操作、安全改造工作均符合检察信息化管理规定、网络安全相关法律法规及保密管理要求。</w:t>
            </w:r>
          </w:p>
          <w:p>
            <w:pPr>
              <w:pStyle w:val="null3"/>
              <w:jc w:val="both"/>
            </w:pPr>
            <w:r>
              <w:rPr>
                <w:rFonts w:ascii="仿宋_GB2312" w:hAnsi="仿宋_GB2312" w:cs="仿宋_GB2312" w:eastAsia="仿宋_GB2312"/>
                <w:sz w:val="21"/>
              </w:rPr>
              <w:t xml:space="preserve">      5.检察工作网承载非涉密业务与办公，须与涉密网、互联网物理隔离，严禁交叉、数据互通，按等保分级管理</w:t>
            </w:r>
            <w:r>
              <w:rPr>
                <w:rFonts w:ascii="仿宋_GB2312" w:hAnsi="仿宋_GB2312" w:cs="仿宋_GB2312" w:eastAsia="仿宋_GB2312"/>
              </w:rPr>
              <w:t>。</w:t>
            </w:r>
          </w:p>
          <w:p>
            <w:pPr>
              <w:pStyle w:val="null3"/>
              <w:jc w:val="both"/>
            </w:pPr>
            <w:r>
              <w:rPr>
                <w:rFonts w:ascii="仿宋_GB2312" w:hAnsi="仿宋_GB2312" w:cs="仿宋_GB2312" w:eastAsia="仿宋_GB2312"/>
                <w:sz w:val="21"/>
                <w:b/>
              </w:rPr>
              <w:t>四、主要服务范围</w:t>
            </w:r>
            <w:r>
              <w:rPr>
                <w:rFonts w:ascii="仿宋_GB2312" w:hAnsi="仿宋_GB2312" w:cs="仿宋_GB2312" w:eastAsia="仿宋_GB2312"/>
                <w:sz w:val="21"/>
                <w:b/>
              </w:rPr>
              <w:t>（涉密除外）</w:t>
            </w:r>
          </w:p>
          <w:p>
            <w:pPr>
              <w:pStyle w:val="null3"/>
              <w:ind w:firstLine="420"/>
              <w:jc w:val="both"/>
            </w:pPr>
            <w:r>
              <w:rPr>
                <w:rFonts w:ascii="仿宋_GB2312" w:hAnsi="仿宋_GB2312" w:cs="仿宋_GB2312" w:eastAsia="仿宋_GB2312"/>
                <w:sz w:val="21"/>
              </w:rPr>
              <w:t>1.安全平台升级及运维服务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1）核心设备配置的定期备份、版本化管理及合规性检查（安全网关、安全探针等20余个设备定期登录、相关特征库/规则库实时更新与策略调优服务、配置信息数据定期更新维护等）；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2）全系列安全设备须按要求定期进行更新维保；</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3）对软硬件进行漏洞扫描服务，及时发现漏洞，并进行安全加固服务。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安全平台升级：原入侵防护（NIPSNX3-CH3330）、防火墙（NFNX3-CH3330）、网络安全漏洞扫描（RSASNX3-X）三台设备维保到期且退服，全面升级为信创平台。综合考虑本项目实际情况，为覆盖本项目全部资产及未来扩展需求，系统配备具体应满足如下参数要求：</w:t>
            </w:r>
          </w:p>
          <w:tbl>
            <w:tblPr>
              <w:tblBorders>
                <w:top w:val="none" w:color="000000" w:sz="4"/>
                <w:left w:val="none" w:color="000000" w:sz="4"/>
                <w:bottom w:val="none" w:color="000000" w:sz="4"/>
                <w:right w:val="none" w:color="000000" w:sz="4"/>
                <w:insideH w:val="none"/>
                <w:insideV w:val="none"/>
              </w:tblBorders>
            </w:tblPr>
            <w:tblGrid>
              <w:gridCol w:w="280"/>
              <w:gridCol w:w="1754"/>
              <w:gridCol w:w="259"/>
              <w:gridCol w:w="259"/>
            </w:tblGrid>
            <w:tr>
              <w:tc>
                <w:tcPr>
                  <w:tcW w:type="dxa" w:w="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服务名称</w:t>
                  </w:r>
                </w:p>
              </w:tc>
              <w:tc>
                <w:tcPr>
                  <w:tcW w:type="dxa" w:w="1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参数需求</w:t>
                  </w:r>
                </w:p>
              </w:tc>
              <w:tc>
                <w:tcPr>
                  <w:tcW w:type="dxa" w:w="2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单位</w:t>
                  </w:r>
                </w:p>
              </w:tc>
              <w:tc>
                <w:tcPr>
                  <w:tcW w:type="dxa" w:w="2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数量</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网络入侵防护系统</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采用国产处理器架构及国产操作系统，满足信创环境适配要求，网络层吞吐量≥10G，应用层吞吐量≥2G。标准1U机架式设备，配置交流冗余电源；USB接口≥2个，RJ45串口≥1个，RJ45管理口≥1个,电口（3路bypass）≥6个，千兆光口≥4个；接口扩展槽位≥2个；硬盘≥256G SSD+4T SATA。</w:t>
                  </w:r>
                  <w:r>
                    <w:br/>
                  </w:r>
                  <w:r>
                    <w:rPr>
                      <w:rFonts w:ascii="仿宋_GB2312" w:hAnsi="仿宋_GB2312" w:cs="仿宋_GB2312" w:eastAsia="仿宋_GB2312"/>
                      <w:sz w:val="21"/>
                    </w:rPr>
                    <w:t>2、▲系统攻击特征库数量不少于15000条，支持定期更新，具备针对主流网络攻击、漏洞利用、恶意代码等威胁的识别能力，可覆盖常见攻击场景。</w:t>
                  </w:r>
                  <w:r>
                    <w:br/>
                  </w:r>
                  <w:r>
                    <w:rPr>
                      <w:rFonts w:ascii="仿宋_GB2312" w:hAnsi="仿宋_GB2312" w:cs="仿宋_GB2312" w:eastAsia="仿宋_GB2312"/>
                      <w:sz w:val="21"/>
                    </w:rPr>
                    <w:t>3、攻击告警和攻击频率设置支持关联模版规则进行检测，支持高、中、低不同级别的检测灵敏度设置，支持设置诱饵IP的识别机制。</w:t>
                  </w:r>
                  <w:r>
                    <w:br/>
                  </w:r>
                  <w:r>
                    <w:rPr>
                      <w:rFonts w:ascii="仿宋_GB2312" w:hAnsi="仿宋_GB2312" w:cs="仿宋_GB2312" w:eastAsia="仿宋_GB2312"/>
                      <w:sz w:val="21"/>
                    </w:rPr>
                    <w:t>4、通过X-Forwarded-For、X-Real-IP等字段来识别通过HTTP代理或负载均衡方式连接到Web服务的客户端最原始/真实的IP地址，并可自定义IP识别字段的优先级顺序。</w:t>
                  </w:r>
                  <w:r>
                    <w:br/>
                  </w:r>
                  <w:r>
                    <w:rPr>
                      <w:rFonts w:ascii="仿宋_GB2312" w:hAnsi="仿宋_GB2312" w:cs="仿宋_GB2312" w:eastAsia="仿宋_GB2312"/>
                      <w:sz w:val="21"/>
                    </w:rPr>
                    <w:t>5、▲系统首页支持以可视化方式展示威胁事件分布、攻击类别分布与趋势、TOP入侵事件、TOP攻击源/目的IP、攻击源地理分布等信息；支持对威胁事件进行下钻分析，关联查看对应日志分类及详细信息。</w:t>
                  </w:r>
                  <w:r>
                    <w:br/>
                  </w:r>
                  <w:r>
                    <w:rPr>
                      <w:rFonts w:ascii="仿宋_GB2312" w:hAnsi="仿宋_GB2312" w:cs="仿宋_GB2312" w:eastAsia="仿宋_GB2312"/>
                      <w:sz w:val="21"/>
                    </w:rPr>
                    <w:t>6、▲支持与日志审计系统进行联动，同时支持通过标准协议（如Kafka）与第三方平台进行数据对接；通过Kafka服务器与第三方联动。</w:t>
                  </w:r>
                  <w:r>
                    <w:br/>
                  </w:r>
                  <w:r>
                    <w:rPr>
                      <w:rFonts w:ascii="仿宋_GB2312" w:hAnsi="仿宋_GB2312" w:cs="仿宋_GB2312" w:eastAsia="仿宋_GB2312"/>
                      <w:sz w:val="21"/>
                    </w:rPr>
                    <w:t>7、▲系统具备DoS/DDoS攻击防护能力，可识别并防护常见的Flood攻击（如SYN Flood、UDP Flood、DNS Flood、HTTP Flood等）、端口扫描（TCP/UDP端口扫描、PING Sweep）及ARP欺骗等攻击行为。</w:t>
                  </w:r>
                  <w:r>
                    <w:br/>
                  </w:r>
                  <w:r>
                    <w:rPr>
                      <w:rFonts w:ascii="仿宋_GB2312" w:hAnsi="仿宋_GB2312" w:cs="仿宋_GB2312" w:eastAsia="仿宋_GB2312"/>
                      <w:sz w:val="21"/>
                    </w:rPr>
                    <w:t>8、对高危漏洞、高危端口、弱口令进行有效识别，支持场景化配置与展示，支持关联高频高危漏洞、关联高危端口配置，支持关联漏洞动作自定义设置，支持开启高危端口访问拦截。</w:t>
                  </w:r>
                  <w:r>
                    <w:br/>
                  </w:r>
                  <w:r>
                    <w:rPr>
                      <w:rFonts w:ascii="仿宋_GB2312" w:hAnsi="仿宋_GB2312" w:cs="仿宋_GB2312" w:eastAsia="仿宋_GB2312"/>
                      <w:sz w:val="21"/>
                    </w:rPr>
                    <w:t>9、系统支持系统状态告警规则配置，可设置温度、电源、证书、升级管理、高可靠等告警项的规则与阈值，支持告警信息推送至消息中心。</w:t>
                  </w:r>
                  <w:r>
                    <w:br/>
                  </w:r>
                  <w:r>
                    <w:rPr>
                      <w:rFonts w:ascii="仿宋_GB2312" w:hAnsi="仿宋_GB2312" w:cs="仿宋_GB2312" w:eastAsia="仿宋_GB2312"/>
                      <w:sz w:val="21"/>
                    </w:rPr>
                    <w:t>10、▲提供软件著作权证明（代理商须提供软件厂商授权+权属证明），证明有效、合格，且与产品名称、内容匹配，否则佐证无效。</w:t>
                  </w:r>
                </w:p>
                <w:p>
                  <w:pPr>
                    <w:pStyle w:val="null3"/>
                    <w:ind w:firstLine="420"/>
                    <w:jc w:val="both"/>
                  </w:pPr>
                  <w:r>
                    <w:rPr>
                      <w:rFonts w:ascii="仿宋_GB2312" w:hAnsi="仿宋_GB2312" w:cs="仿宋_GB2312" w:eastAsia="仿宋_GB2312"/>
                      <w:sz w:val="21"/>
                    </w:rPr>
                    <w:t>以上参数、功能需提供有效佐证</w:t>
                  </w:r>
                  <w:r>
                    <w:rPr>
                      <w:rFonts w:ascii="仿宋_GB2312" w:hAnsi="仿宋_GB2312" w:cs="仿宋_GB2312" w:eastAsia="仿宋_GB2312"/>
                      <w:sz w:val="21"/>
                    </w:rPr>
                    <w:t>（指定要求的除外）</w:t>
                  </w:r>
                  <w:r>
                    <w:rPr>
                      <w:rFonts w:ascii="仿宋_GB2312" w:hAnsi="仿宋_GB2312" w:cs="仿宋_GB2312" w:eastAsia="仿宋_GB2312"/>
                      <w:sz w:val="21"/>
                    </w:rPr>
                    <w:t>：厂商向社会公开的功能截图</w:t>
                  </w:r>
                  <w:r>
                    <w:rPr>
                      <w:rFonts w:ascii="仿宋_GB2312" w:hAnsi="仿宋_GB2312" w:cs="仿宋_GB2312" w:eastAsia="仿宋_GB2312"/>
                      <w:sz w:val="21"/>
                    </w:rPr>
                    <w:t>/产品说明书/具备CNAS/CMA资质的第三方检测机构出具的检测报告（依据标准现行有效，检测结果满足要求）等。</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防火墙系统</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11、标准1U机架式设备，网络吞吐量≥10G，应用层吞吐量≥3G，最大并发连接数≥250万，新建连接数≥3万，千兆电口≥16个，千兆光口≥8个，万兆光口≥4个，接口卡扩展槽≥1个，配置双电源，支持SSL VPN功能，并发用户授权≥15个。提供入侵防御、防病毒、应用识别、URL过滤、Web应用防护等安全特征库升级授权，服务期不少于3年。</w:t>
                  </w:r>
                  <w:r>
                    <w:br/>
                  </w:r>
                  <w:r>
                    <w:rPr>
                      <w:rFonts w:ascii="仿宋_GB2312" w:hAnsi="仿宋_GB2312" w:cs="仿宋_GB2312" w:eastAsia="仿宋_GB2312"/>
                      <w:sz w:val="21"/>
                    </w:rPr>
                    <w:t>12、支持策略风险调优，支持安全策略优化分析，支持策略数冗余及命中分析，支持基于应用风险的策略调优，可根据流量、应用、风险类型等分类展示，并给出总体安全评分。</w:t>
                  </w:r>
                </w:p>
                <w:p>
                  <w:pPr>
                    <w:pStyle w:val="null3"/>
                    <w:jc w:val="both"/>
                  </w:pPr>
                  <w:r>
                    <w:rPr>
                      <w:rFonts w:ascii="仿宋_GB2312" w:hAnsi="仿宋_GB2312" w:cs="仿宋_GB2312" w:eastAsia="仿宋_GB2312"/>
                      <w:sz w:val="21"/>
                    </w:rPr>
                    <w:t>13、支持僵尸网络分析，攻击链推导及资产安全风险等级的可视化呈现。</w:t>
                  </w:r>
                </w:p>
                <w:p>
                  <w:pPr>
                    <w:pStyle w:val="null3"/>
                    <w:jc w:val="both"/>
                  </w:pPr>
                  <w:r>
                    <w:rPr>
                      <w:rFonts w:ascii="仿宋_GB2312" w:hAnsi="仿宋_GB2312" w:cs="仿宋_GB2312" w:eastAsia="仿宋_GB2312"/>
                      <w:sz w:val="21"/>
                    </w:rPr>
                    <w:t>14、支持HTTPS加密流量的安全检测，支持TCP代理和SSL代理，支持配置多维度过滤条件，包括源/目的安全域、源/目的地址、用户、服务等，支持配置多条匹配规则。</w:t>
                  </w:r>
                </w:p>
                <w:p>
                  <w:pPr>
                    <w:pStyle w:val="null3"/>
                    <w:jc w:val="both"/>
                  </w:pPr>
                  <w:r>
                    <w:rPr>
                      <w:rFonts w:ascii="仿宋_GB2312" w:hAnsi="仿宋_GB2312" w:cs="仿宋_GB2312" w:eastAsia="仿宋_GB2312"/>
                      <w:sz w:val="21"/>
                    </w:rPr>
                    <w:t>15、▲支持流量自学习功能，可设置自学习时间，并自动生成DDoS防范基线及防范策略。支持IPV6下的访问控制、IPSec VPN、DDoS防护等安全功能。</w:t>
                  </w:r>
                  <w:r>
                    <w:br/>
                  </w:r>
                  <w:r>
                    <w:rPr>
                      <w:rFonts w:ascii="仿宋_GB2312" w:hAnsi="仿宋_GB2312" w:cs="仿宋_GB2312" w:eastAsia="仿宋_GB2312"/>
                      <w:sz w:val="21"/>
                    </w:rPr>
                    <w:t>16、▲支持基于应用层协议设置流控策略，可设置最大带宽、保证带宽、协议流量优先级等,支持带宽通道独占以及共享管理模式。</w:t>
                  </w:r>
                </w:p>
                <w:p>
                  <w:pPr>
                    <w:pStyle w:val="null3"/>
                    <w:jc w:val="both"/>
                  </w:pPr>
                  <w:r>
                    <w:rPr>
                      <w:rFonts w:ascii="仿宋_GB2312" w:hAnsi="仿宋_GB2312" w:cs="仿宋_GB2312" w:eastAsia="仿宋_GB2312"/>
                      <w:sz w:val="21"/>
                    </w:rPr>
                    <w:t>17、支持对包括但不限于操作系统、网络设备、办公软件、网页服务等保护对象的入侵防御策略，支持基于对漏洞、恶意文件、信息收集类攻击等的攻击分类的防护策略，支持基于服务器、客户端的差异化防护策略。支持自动黑名单管理功能。</w:t>
                  </w:r>
                </w:p>
                <w:p>
                  <w:pPr>
                    <w:pStyle w:val="null3"/>
                    <w:jc w:val="both"/>
                  </w:pPr>
                  <w:r>
                    <w:rPr>
                      <w:rFonts w:ascii="仿宋_GB2312" w:hAnsi="仿宋_GB2312" w:cs="仿宋_GB2312" w:eastAsia="仿宋_GB2312"/>
                      <w:sz w:val="21"/>
                    </w:rPr>
                    <w:t>18、支持超过16000+种特征的全面攻击检测和防御能力，可识别并防护主流网络攻击、漏洞利用、恶意代码等威胁。</w:t>
                  </w:r>
                </w:p>
                <w:p>
                  <w:pPr>
                    <w:pStyle w:val="null3"/>
                    <w:jc w:val="both"/>
                  </w:pPr>
                  <w:r>
                    <w:rPr>
                      <w:rFonts w:ascii="仿宋_GB2312" w:hAnsi="仿宋_GB2312" w:cs="仿宋_GB2312" w:eastAsia="仿宋_GB2312"/>
                      <w:sz w:val="21"/>
                    </w:rPr>
                    <w:t>19、▲提供软件著作权证明（代理商须提供软件厂商授权+权属证明），证明有效、合格，且与产品名称、内容匹配，否则佐证无效。</w:t>
                  </w:r>
                </w:p>
                <w:p>
                  <w:pPr>
                    <w:pStyle w:val="null3"/>
                    <w:jc w:val="both"/>
                  </w:pPr>
                  <w:r>
                    <w:rPr>
                      <w:rFonts w:ascii="仿宋_GB2312" w:hAnsi="仿宋_GB2312" w:cs="仿宋_GB2312" w:eastAsia="仿宋_GB2312"/>
                      <w:sz w:val="21"/>
                    </w:rPr>
                    <w:t>以上参数、功能需提供有效佐证</w:t>
                  </w:r>
                  <w:r>
                    <w:rPr>
                      <w:rFonts w:ascii="仿宋_GB2312" w:hAnsi="仿宋_GB2312" w:cs="仿宋_GB2312" w:eastAsia="仿宋_GB2312"/>
                      <w:sz w:val="21"/>
                    </w:rPr>
                    <w:t>（指定要求的除外）</w:t>
                  </w:r>
                  <w:r>
                    <w:rPr>
                      <w:rFonts w:ascii="仿宋_GB2312" w:hAnsi="仿宋_GB2312" w:cs="仿宋_GB2312" w:eastAsia="仿宋_GB2312"/>
                      <w:sz w:val="21"/>
                    </w:rPr>
                    <w:t>：厂商向社会公开的功能截图</w:t>
                  </w:r>
                  <w:r>
                    <w:rPr>
                      <w:rFonts w:ascii="仿宋_GB2312" w:hAnsi="仿宋_GB2312" w:cs="仿宋_GB2312" w:eastAsia="仿宋_GB2312"/>
                      <w:sz w:val="21"/>
                    </w:rPr>
                    <w:t>/产品说明书/具备CNAS/CMA资质的第三方检测机构出具的检测报告（依据标准现行有效，检测结果满足要求）等。</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网络安全漏洞扫描系统</w:t>
                  </w:r>
                </w:p>
              </w:tc>
              <w:tc>
                <w:tcPr>
                  <w:tcW w:type="dxa" w:w="227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系统支持虚拟化部署，可适配主流虚拟化平台；支持授权IP/域名资产扫描，授权规模不低于项目实际资产需求（为覆盖本项目全部资产及未来扩展需求，授权可扫描总数量≥1000的IP地址或域名，最大并发主机数≥60,最大并发任务数≥10）；支持多任务并发扫描，可配置合理的并发主机数与并发任务数，满足本项目扫描效率要求。</w:t>
                  </w:r>
                </w:p>
                <w:p>
                  <w:pPr>
                    <w:pStyle w:val="null3"/>
                    <w:jc w:val="both"/>
                  </w:pPr>
                  <w:r>
                    <w:rPr>
                      <w:rFonts w:ascii="仿宋_GB2312" w:hAnsi="仿宋_GB2312" w:cs="仿宋_GB2312" w:eastAsia="仿宋_GB2312"/>
                      <w:sz w:val="21"/>
                    </w:rPr>
                    <w:t>21、系统具备全面的漏洞检测能力，支持主流漏洞标准（如CVE、CNNVD、CNVD等），可覆盖常见的系统漏洞、应用漏洞、配置漏洞等。</w:t>
                  </w:r>
                  <w:r>
                    <w:br/>
                  </w:r>
                  <w:r>
                    <w:rPr>
                      <w:rFonts w:ascii="仿宋_GB2312" w:hAnsi="仿宋_GB2312" w:cs="仿宋_GB2312" w:eastAsia="仿宋_GB2312"/>
                      <w:sz w:val="21"/>
                    </w:rPr>
                    <w:t>22、▲支持风险告警与闭环管理，可配置告警内容、方式及资产范围，支持邮件、平台告警等多种通知方式；支持风险状态的批量或单个管理。</w:t>
                  </w:r>
                  <w:r>
                    <w:br/>
                  </w:r>
                  <w:r>
                    <w:rPr>
                      <w:rFonts w:ascii="仿宋_GB2312" w:hAnsi="仿宋_GB2312" w:cs="仿宋_GB2312" w:eastAsia="仿宋_GB2312"/>
                      <w:sz w:val="21"/>
                    </w:rPr>
                    <w:t>23、▲支持可视化风险分析，可展示资产风险分布、风险等级、风险趋势等信息，支持详情查看。</w:t>
                  </w:r>
                  <w:r>
                    <w:br/>
                  </w:r>
                  <w:r>
                    <w:rPr>
                      <w:rFonts w:ascii="仿宋_GB2312" w:hAnsi="仿宋_GB2312" w:cs="仿宋_GB2312" w:eastAsia="仿宋_GB2312"/>
                      <w:sz w:val="21"/>
                    </w:rPr>
                    <w:t>24、支持自定义报表功能，可配置报表标题、页眉页脚、章节内容等。</w:t>
                  </w:r>
                  <w:r>
                    <w:br/>
                  </w:r>
                  <w:r>
                    <w:rPr>
                      <w:rFonts w:ascii="仿宋_GB2312" w:hAnsi="仿宋_GB2312" w:cs="仿宋_GB2312" w:eastAsia="仿宋_GB2312"/>
                      <w:sz w:val="21"/>
                    </w:rPr>
                    <w:t>25、支持弱口令/口令猜测检测，可针对主流操作系统、数据库、中间件、网络设备等常见协议进行口令安全检测；支持自定义用户字典、密码字典。</w:t>
                  </w:r>
                  <w:r>
                    <w:br/>
                  </w:r>
                  <w:r>
                    <w:rPr>
                      <w:rFonts w:ascii="仿宋_GB2312" w:hAnsi="仿宋_GB2312" w:cs="仿宋_GB2312" w:eastAsia="仿宋_GB2312"/>
                      <w:sz w:val="21"/>
                    </w:rPr>
                    <w:t>26、支持国产操作系统、国产数据库及国产应用软件的漏洞检测，具备针对国产环境的漏洞识别能力。</w:t>
                  </w:r>
                  <w:r>
                    <w:br/>
                  </w:r>
                  <w:r>
                    <w:rPr>
                      <w:rFonts w:ascii="仿宋_GB2312" w:hAnsi="仿宋_GB2312" w:cs="仿宋_GB2312" w:eastAsia="仿宋_GB2312"/>
                      <w:sz w:val="21"/>
                    </w:rPr>
                    <w:t>27、▲支持漏洞验证功能，可对扫描发现的漏洞进行验证，输出漏洞利用过程与风险分析报告。</w:t>
                  </w:r>
                  <w:r>
                    <w:br/>
                  </w:r>
                  <w:r>
                    <w:rPr>
                      <w:rFonts w:ascii="仿宋_GB2312" w:hAnsi="仿宋_GB2312" w:cs="仿宋_GB2312" w:eastAsia="仿宋_GB2312"/>
                      <w:sz w:val="21"/>
                    </w:rPr>
                    <w:t>28、支持资产探测功能，可实现主机资产、Web资产的自动探测与识别。</w:t>
                  </w:r>
                </w:p>
                <w:p>
                  <w:pPr>
                    <w:pStyle w:val="null3"/>
                    <w:jc w:val="both"/>
                  </w:pPr>
                  <w:r>
                    <w:rPr>
                      <w:rFonts w:ascii="仿宋_GB2312" w:hAnsi="仿宋_GB2312" w:cs="仿宋_GB2312" w:eastAsia="仿宋_GB2312"/>
                      <w:sz w:val="21"/>
                    </w:rPr>
                    <w:t>29、▲提供软件著作权证明（代理商须提供软件厂商授权+权属证明），证明有效、合格，且与产品名称、内容匹配，否则佐证无效。</w:t>
                  </w:r>
                </w:p>
                <w:p>
                  <w:pPr>
                    <w:pStyle w:val="null3"/>
                    <w:jc w:val="both"/>
                  </w:pPr>
                  <w:r>
                    <w:rPr>
                      <w:rFonts w:ascii="仿宋_GB2312" w:hAnsi="仿宋_GB2312" w:cs="仿宋_GB2312" w:eastAsia="仿宋_GB2312"/>
                      <w:sz w:val="21"/>
                    </w:rPr>
                    <w:t>以上参数、功能需提供有效佐证</w:t>
                  </w:r>
                  <w:r>
                    <w:rPr>
                      <w:rFonts w:ascii="仿宋_GB2312" w:hAnsi="仿宋_GB2312" w:cs="仿宋_GB2312" w:eastAsia="仿宋_GB2312"/>
                      <w:sz w:val="21"/>
                    </w:rPr>
                    <w:t>（指定要求的除外）</w:t>
                  </w:r>
                  <w:r>
                    <w:rPr>
                      <w:rFonts w:ascii="仿宋_GB2312" w:hAnsi="仿宋_GB2312" w:cs="仿宋_GB2312" w:eastAsia="仿宋_GB2312"/>
                      <w:sz w:val="21"/>
                    </w:rPr>
                    <w:t>：厂商向社会公开的功能截图</w:t>
                  </w:r>
                  <w:r>
                    <w:rPr>
                      <w:rFonts w:ascii="仿宋_GB2312" w:hAnsi="仿宋_GB2312" w:cs="仿宋_GB2312" w:eastAsia="仿宋_GB2312"/>
                      <w:sz w:val="21"/>
                    </w:rPr>
                    <w:t>/产品说明书/具备CNAS/CMA资质的第三方检测机构出具的检测报告（依据标准现行有效，检测结果满足要求）等。</w:t>
                  </w:r>
                </w:p>
              </w:tc>
            </w:tr>
            <w:tr>
              <w:tc>
                <w:tcPr>
                  <w:tcW w:type="dxa" w:w="255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★网络入侵防护系统、防火墙系统、网络安全漏洞扫描系统须经四部委</w:t>
                  </w:r>
                  <w:r>
                    <w:rPr>
                      <w:rFonts w:ascii="仿宋_GB2312" w:hAnsi="仿宋_GB2312" w:cs="仿宋_GB2312" w:eastAsia="仿宋_GB2312"/>
                      <w:sz w:val="21"/>
                    </w:rPr>
                    <w:t>（国家网信办、工信部、公安部、国家认监委）</w:t>
                  </w:r>
                  <w:r>
                    <w:rPr>
                      <w:rFonts w:ascii="仿宋_GB2312" w:hAnsi="仿宋_GB2312" w:cs="仿宋_GB2312" w:eastAsia="仿宋_GB2312"/>
                      <w:sz w:val="21"/>
                    </w:rPr>
                    <w:t>授权的机构进行网络关键设备和网络安全专用产品的安全认证或安全检测（结果合格且符合要求，同时提供该认证机构或检测机构在四部委授权机构的名单截图）。</w:t>
                  </w:r>
                </w:p>
              </w:tc>
            </w:tr>
          </w:tbl>
          <w:p>
            <w:pPr>
              <w:pStyle w:val="null3"/>
              <w:ind w:firstLine="420"/>
              <w:jc w:val="both"/>
            </w:pPr>
            <w:r>
              <w:rPr>
                <w:rFonts w:ascii="仿宋_GB2312" w:hAnsi="仿宋_GB2312" w:cs="仿宋_GB2312" w:eastAsia="仿宋_GB2312"/>
                <w:sz w:val="21"/>
              </w:rPr>
              <w:t>2.云平台升级及运维服务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1）平台、软件定义存储与网络的日常监控、故障处理、性能优化及补丁升级服务；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2）38台物理服务器</w:t>
            </w:r>
            <w:r>
              <w:rPr>
                <w:rFonts w:ascii="仿宋_GB2312" w:hAnsi="仿宋_GB2312" w:cs="仿宋_GB2312" w:eastAsia="仿宋_GB2312"/>
                <w:sz w:val="21"/>
              </w:rPr>
              <w:t>（品牌：锐捷</w:t>
            </w:r>
            <w:r>
              <w:rPr>
                <w:rFonts w:ascii="仿宋_GB2312" w:hAnsi="仿宋_GB2312" w:cs="仿宋_GB2312" w:eastAsia="仿宋_GB2312"/>
                <w:sz w:val="21"/>
              </w:rPr>
              <w:t>RG-CS5020等）</w:t>
            </w:r>
            <w:r>
              <w:rPr>
                <w:rFonts w:ascii="仿宋_GB2312" w:hAnsi="仿宋_GB2312" w:cs="仿宋_GB2312" w:eastAsia="仿宋_GB2312"/>
                <w:sz w:val="21"/>
              </w:rPr>
              <w:t>、3套超融合一体机硬件状态监控，并进行故障诊断、备件更换及性能优化等服务。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3）云平台</w:t>
            </w:r>
            <w:r>
              <w:rPr>
                <w:rFonts w:ascii="仿宋_GB2312" w:hAnsi="仿宋_GB2312" w:cs="仿宋_GB2312" w:eastAsia="仿宋_GB2312"/>
                <w:sz w:val="21"/>
              </w:rPr>
              <w:t>（品牌：深信服等）</w:t>
            </w:r>
            <w:r>
              <w:rPr>
                <w:rFonts w:ascii="仿宋_GB2312" w:hAnsi="仿宋_GB2312" w:cs="仿宋_GB2312" w:eastAsia="仿宋_GB2312"/>
                <w:sz w:val="21"/>
              </w:rPr>
              <w:t>升级，麒麟内核OS授权、虚拟桌面接入管理软件授权。</w:t>
            </w:r>
          </w:p>
          <w:p>
            <w:pPr>
              <w:pStyle w:val="null3"/>
              <w:ind w:firstLine="420"/>
              <w:jc w:val="both"/>
            </w:pPr>
            <w:r>
              <w:rPr>
                <w:rFonts w:ascii="仿宋_GB2312" w:hAnsi="仿宋_GB2312" w:cs="仿宋_GB2312" w:eastAsia="仿宋_GB2312"/>
                <w:sz w:val="21"/>
              </w:rPr>
              <w:t>3.机房运维服务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1）动力环境运维（机房空调、UPS、配电、精密列头柜等动力系统）；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2）环境监控与预警、定期巡检、维护保养(安防监控、硬盘录像、硬盘、消防报警、烟感、温感、气体灭火装置、LED显示系统)；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3）容灾备份系统维护。</w:t>
            </w:r>
          </w:p>
          <w:p>
            <w:pPr>
              <w:pStyle w:val="null3"/>
              <w:ind w:firstLine="420"/>
              <w:jc w:val="both"/>
            </w:pPr>
            <w:r>
              <w:rPr>
                <w:rFonts w:ascii="仿宋_GB2312" w:hAnsi="仿宋_GB2312" w:cs="仿宋_GB2312" w:eastAsia="仿宋_GB2312"/>
                <w:sz w:val="21"/>
              </w:rPr>
              <w:t>4.网络与通信服务保障服务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1）12条骨干线路维护（含各区县）；</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2）对核心、汇聚及接入层交换机（共计26台，</w:t>
            </w:r>
            <w:r>
              <w:rPr>
                <w:rFonts w:ascii="仿宋_GB2312" w:hAnsi="仿宋_GB2312" w:cs="仿宋_GB2312" w:eastAsia="仿宋_GB2312"/>
                <w:sz w:val="21"/>
              </w:rPr>
              <w:t>品牌：华为</w:t>
            </w:r>
            <w:r>
              <w:rPr>
                <w:rFonts w:ascii="仿宋_GB2312" w:hAnsi="仿宋_GB2312" w:cs="仿宋_GB2312" w:eastAsia="仿宋_GB2312"/>
                <w:sz w:val="21"/>
              </w:rPr>
              <w:t>S5735-S48S4X、CE6881-48S6CQ-B等</w:t>
            </w:r>
            <w:r>
              <w:rPr>
                <w:rFonts w:ascii="仿宋_GB2312" w:hAnsi="仿宋_GB2312" w:cs="仿宋_GB2312" w:eastAsia="仿宋_GB2312"/>
                <w:sz w:val="21"/>
              </w:rPr>
              <w:t>）进行配置管理、性能监控及故障排查；</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3）各单位桌面终端及接入层信息点的系统维护及故障排查。</w:t>
            </w:r>
          </w:p>
          <w:p>
            <w:pPr>
              <w:pStyle w:val="null3"/>
              <w:ind w:firstLine="420"/>
              <w:jc w:val="both"/>
            </w:pPr>
            <w:r>
              <w:rPr>
                <w:rFonts w:ascii="仿宋_GB2312" w:hAnsi="仿宋_GB2312" w:cs="仿宋_GB2312" w:eastAsia="仿宋_GB2312"/>
                <w:sz w:val="21"/>
              </w:rPr>
              <w:t>5.交付资料</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1）系统运行操作说明书、维护手册、软件著作权、安全认证证书/检测报告等；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2）试运行报告、定期运维报告、漏洞扫描报告、性能分析报告、备份报告等；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3）人员培训记录表、相关专业证书、派驻人员服务日志等。</w:t>
            </w:r>
          </w:p>
          <w:p>
            <w:pPr>
              <w:pStyle w:val="null3"/>
              <w:jc w:val="both"/>
            </w:pPr>
            <w:r>
              <w:rPr>
                <w:rFonts w:ascii="仿宋_GB2312" w:hAnsi="仿宋_GB2312" w:cs="仿宋_GB2312" w:eastAsia="仿宋_GB2312"/>
                <w:sz w:val="21"/>
                <w:b/>
              </w:rPr>
              <w:t>五、主要服务内容</w:t>
            </w:r>
          </w:p>
          <w:p>
            <w:pPr>
              <w:pStyle w:val="null3"/>
              <w:ind w:firstLine="420"/>
              <w:jc w:val="both"/>
            </w:pPr>
            <w:r>
              <w:rPr>
                <w:rFonts w:ascii="仿宋_GB2312" w:hAnsi="仿宋_GB2312" w:cs="仿宋_GB2312" w:eastAsia="仿宋_GB2312"/>
                <w:sz w:val="21"/>
              </w:rPr>
              <w:t>（一）日常巡检值守服务</w:t>
            </w:r>
          </w:p>
          <w:p>
            <w:pPr>
              <w:pStyle w:val="null3"/>
              <w:ind w:firstLine="420"/>
              <w:jc w:val="both"/>
            </w:pPr>
            <w:r>
              <w:rPr>
                <w:rFonts w:ascii="仿宋_GB2312" w:hAnsi="仿宋_GB2312" w:cs="仿宋_GB2312" w:eastAsia="仿宋_GB2312"/>
                <w:sz w:val="21"/>
              </w:rPr>
              <w:t>1.实行7×24小时电话+远程响应，工作日安排驻场运维工程师在岗值守。</w:t>
            </w:r>
          </w:p>
          <w:p>
            <w:pPr>
              <w:pStyle w:val="null3"/>
              <w:ind w:firstLine="420"/>
              <w:jc w:val="both"/>
            </w:pPr>
            <w:r>
              <w:rPr>
                <w:rFonts w:ascii="仿宋_GB2312" w:hAnsi="仿宋_GB2312" w:cs="仿宋_GB2312" w:eastAsia="仿宋_GB2312"/>
                <w:sz w:val="21"/>
              </w:rPr>
              <w:t>2.每日全网设备在线状态、链路带宽、机房温湿度、UPS负载、动环告警巡查。</w:t>
            </w:r>
          </w:p>
          <w:p>
            <w:pPr>
              <w:pStyle w:val="null3"/>
              <w:ind w:firstLine="420"/>
              <w:jc w:val="both"/>
            </w:pPr>
            <w:r>
              <w:rPr>
                <w:rFonts w:ascii="仿宋_GB2312" w:hAnsi="仿宋_GB2312" w:cs="仿宋_GB2312" w:eastAsia="仿宋_GB2312"/>
                <w:sz w:val="21"/>
              </w:rPr>
              <w:t>3.每周全覆盖网络配置、安全策略、服务器运行巡检。</w:t>
            </w:r>
          </w:p>
          <w:p>
            <w:pPr>
              <w:pStyle w:val="null3"/>
              <w:ind w:firstLine="420"/>
              <w:jc w:val="both"/>
            </w:pPr>
            <w:r>
              <w:rPr>
                <w:rFonts w:ascii="仿宋_GB2312" w:hAnsi="仿宋_GB2312" w:cs="仿宋_GB2312" w:eastAsia="仿宋_GB2312"/>
                <w:sz w:val="21"/>
              </w:rPr>
              <w:t>4.每月出具巡检报告、隐患整改清单。</w:t>
            </w:r>
          </w:p>
          <w:p>
            <w:pPr>
              <w:pStyle w:val="null3"/>
              <w:ind w:firstLine="420"/>
              <w:jc w:val="both"/>
            </w:pPr>
            <w:r>
              <w:rPr>
                <w:rFonts w:ascii="仿宋_GB2312" w:hAnsi="仿宋_GB2312" w:cs="仿宋_GB2312" w:eastAsia="仿宋_GB2312"/>
                <w:sz w:val="21"/>
              </w:rPr>
              <w:t>5.建立运维台账：设备资产清单、配置备份、巡检记录、故障工单、整改记录、值班日志等，全程可追溯。</w:t>
            </w:r>
          </w:p>
          <w:p>
            <w:pPr>
              <w:pStyle w:val="null3"/>
              <w:ind w:firstLine="420"/>
              <w:jc w:val="both"/>
            </w:pPr>
            <w:r>
              <w:rPr>
                <w:rFonts w:ascii="仿宋_GB2312" w:hAnsi="仿宋_GB2312" w:cs="仿宋_GB2312" w:eastAsia="仿宋_GB2312"/>
                <w:sz w:val="21"/>
              </w:rPr>
              <w:t>（二）网络设备运维</w:t>
            </w:r>
          </w:p>
          <w:p>
            <w:pPr>
              <w:pStyle w:val="null3"/>
              <w:ind w:firstLine="420"/>
              <w:jc w:val="both"/>
            </w:pPr>
            <w:r>
              <w:rPr>
                <w:rFonts w:ascii="仿宋_GB2312" w:hAnsi="仿宋_GB2312" w:cs="仿宋_GB2312" w:eastAsia="仿宋_GB2312"/>
                <w:sz w:val="21"/>
              </w:rPr>
              <w:t>1.负责工作网所有网络、安全设备日常配置维护、固件版本升级、配置定期备份、异常告警处置等。</w:t>
            </w:r>
          </w:p>
          <w:p>
            <w:pPr>
              <w:pStyle w:val="null3"/>
              <w:ind w:firstLine="420"/>
              <w:jc w:val="both"/>
            </w:pPr>
            <w:r>
              <w:rPr>
                <w:rFonts w:ascii="仿宋_GB2312" w:hAnsi="仿宋_GB2312" w:cs="仿宋_GB2312" w:eastAsia="仿宋_GB2312"/>
                <w:sz w:val="21"/>
              </w:rPr>
              <w:t>2.网络卡顿、环路、IP冲突、端口宕机、跨网访问异常等故障快速排查修复等。</w:t>
            </w:r>
          </w:p>
          <w:p>
            <w:pPr>
              <w:pStyle w:val="null3"/>
              <w:ind w:firstLine="420"/>
              <w:jc w:val="both"/>
            </w:pPr>
            <w:r>
              <w:rPr>
                <w:rFonts w:ascii="仿宋_GB2312" w:hAnsi="仿宋_GB2312" w:cs="仿宋_GB2312" w:eastAsia="仿宋_GB2312"/>
                <w:sz w:val="21"/>
              </w:rPr>
              <w:t>3.配合完成网络拓扑调整、VLAN划分、权限隔离、路由策略优化，严格落实工作网与互联网物理隔离要求。</w:t>
            </w:r>
          </w:p>
          <w:p>
            <w:pPr>
              <w:pStyle w:val="null3"/>
              <w:ind w:firstLine="420"/>
              <w:jc w:val="both"/>
            </w:pPr>
            <w:r>
              <w:rPr>
                <w:rFonts w:ascii="仿宋_GB2312" w:hAnsi="仿宋_GB2312" w:cs="仿宋_GB2312" w:eastAsia="仿宋_GB2312"/>
                <w:sz w:val="21"/>
              </w:rPr>
              <w:t>（三）中心机房运维</w:t>
            </w:r>
          </w:p>
          <w:p>
            <w:pPr>
              <w:pStyle w:val="null3"/>
              <w:ind w:firstLine="420"/>
              <w:jc w:val="both"/>
            </w:pPr>
            <w:r>
              <w:rPr>
                <w:rFonts w:ascii="仿宋_GB2312" w:hAnsi="仿宋_GB2312" w:cs="仿宋_GB2312" w:eastAsia="仿宋_GB2312"/>
                <w:sz w:val="21"/>
              </w:rPr>
              <w:t>1.机房环境、供电、制冷、消防、安防、动环系统日常维护，及时处理断电、温湿度超标、设备告警等问题。</w:t>
            </w:r>
          </w:p>
          <w:p>
            <w:pPr>
              <w:pStyle w:val="null3"/>
              <w:ind w:firstLine="420"/>
              <w:jc w:val="both"/>
            </w:pPr>
            <w:r>
              <w:rPr>
                <w:rFonts w:ascii="仿宋_GB2312" w:hAnsi="仿宋_GB2312" w:cs="仿宋_GB2312" w:eastAsia="仿宋_GB2312"/>
                <w:sz w:val="21"/>
              </w:rPr>
              <w:t>2.服务器操作系统、数据库日常监控、启停维护、磁盘空间清理、资源负载优化。</w:t>
            </w:r>
          </w:p>
          <w:p>
            <w:pPr>
              <w:pStyle w:val="null3"/>
              <w:ind w:firstLine="420"/>
              <w:jc w:val="both"/>
            </w:pPr>
            <w:r>
              <w:rPr>
                <w:rFonts w:ascii="仿宋_GB2312" w:hAnsi="仿宋_GB2312" w:cs="仿宋_GB2312" w:eastAsia="仿宋_GB2312"/>
                <w:sz w:val="21"/>
              </w:rPr>
              <w:t>3.每季度机房全面安全体检，排查线路老化、机柜布线混乱、接地不规范等隐患并整改。</w:t>
            </w:r>
          </w:p>
          <w:p>
            <w:pPr>
              <w:pStyle w:val="null3"/>
              <w:ind w:firstLine="420"/>
              <w:jc w:val="both"/>
            </w:pPr>
            <w:r>
              <w:rPr>
                <w:rFonts w:ascii="仿宋_GB2312" w:hAnsi="仿宋_GB2312" w:cs="仿宋_GB2312" w:eastAsia="仿宋_GB2312"/>
                <w:sz w:val="21"/>
              </w:rPr>
              <w:t>（四）终端及系统运维</w:t>
            </w:r>
          </w:p>
          <w:p>
            <w:pPr>
              <w:pStyle w:val="null3"/>
              <w:ind w:firstLine="420"/>
              <w:jc w:val="both"/>
            </w:pPr>
            <w:r>
              <w:rPr>
                <w:rFonts w:ascii="仿宋_GB2312" w:hAnsi="仿宋_GB2312" w:cs="仿宋_GB2312" w:eastAsia="仿宋_GB2312"/>
                <w:sz w:val="21"/>
              </w:rPr>
              <w:t>1.工作网终端系统重装、软件安装、病毒查杀、账号权限配置、密码重置、外设故障调试。</w:t>
            </w:r>
          </w:p>
          <w:p>
            <w:pPr>
              <w:pStyle w:val="null3"/>
              <w:ind w:firstLine="420"/>
              <w:jc w:val="both"/>
            </w:pPr>
            <w:r>
              <w:rPr>
                <w:rFonts w:ascii="仿宋_GB2312" w:hAnsi="仿宋_GB2312" w:cs="仿宋_GB2312" w:eastAsia="仿宋_GB2312"/>
                <w:sz w:val="21"/>
              </w:rPr>
              <w:t>（五）网络安全运维</w:t>
            </w:r>
          </w:p>
          <w:p>
            <w:pPr>
              <w:pStyle w:val="null3"/>
              <w:ind w:firstLine="420"/>
              <w:jc w:val="both"/>
            </w:pPr>
            <w:r>
              <w:rPr>
                <w:rFonts w:ascii="仿宋_GB2312" w:hAnsi="仿宋_GB2312" w:cs="仿宋_GB2312" w:eastAsia="仿宋_GB2312"/>
                <w:sz w:val="21"/>
              </w:rPr>
              <w:t>1.定期开展漏洞扫描、弱口令核查、恶意行为监测，及时安装安全补丁、封堵安全漏洞。</w:t>
            </w:r>
          </w:p>
          <w:p>
            <w:pPr>
              <w:pStyle w:val="null3"/>
              <w:ind w:firstLine="420"/>
              <w:jc w:val="both"/>
            </w:pPr>
            <w:r>
              <w:rPr>
                <w:rFonts w:ascii="仿宋_GB2312" w:hAnsi="仿宋_GB2312" w:cs="仿宋_GB2312" w:eastAsia="仿宋_GB2312"/>
                <w:sz w:val="21"/>
              </w:rPr>
              <w:t>2.防火墙、网闸、安全审计设备策略常态化优化，定期导出安全日志、留存审计记录。</w:t>
            </w:r>
          </w:p>
          <w:p>
            <w:pPr>
              <w:pStyle w:val="null3"/>
              <w:ind w:firstLine="420"/>
              <w:jc w:val="both"/>
            </w:pPr>
            <w:r>
              <w:rPr>
                <w:rFonts w:ascii="仿宋_GB2312" w:hAnsi="仿宋_GB2312" w:cs="仿宋_GB2312" w:eastAsia="仿宋_GB2312"/>
                <w:sz w:val="21"/>
              </w:rPr>
              <w:t>3.配合完成网络安全等级保护测评、涉密信息检查、上级网信及检察系统安全督查整改。</w:t>
            </w:r>
          </w:p>
          <w:p>
            <w:pPr>
              <w:pStyle w:val="null3"/>
              <w:ind w:firstLine="420"/>
              <w:jc w:val="both"/>
            </w:pPr>
            <w:r>
              <w:rPr>
                <w:rFonts w:ascii="仿宋_GB2312" w:hAnsi="仿宋_GB2312" w:cs="仿宋_GB2312" w:eastAsia="仿宋_GB2312"/>
                <w:sz w:val="21"/>
              </w:rPr>
              <w:t>4.重大节假日、重大会议、专项检察工作重保专项值守，落实7×24小时零间断保障。</w:t>
            </w:r>
          </w:p>
          <w:p>
            <w:pPr>
              <w:pStyle w:val="null3"/>
              <w:ind w:firstLine="420"/>
              <w:jc w:val="both"/>
            </w:pPr>
            <w:r>
              <w:rPr>
                <w:rFonts w:ascii="仿宋_GB2312" w:hAnsi="仿宋_GB2312" w:cs="仿宋_GB2312" w:eastAsia="仿宋_GB2312"/>
                <w:sz w:val="21"/>
              </w:rPr>
              <w:t>（六）应急故障处置</w:t>
            </w:r>
          </w:p>
          <w:p>
            <w:pPr>
              <w:pStyle w:val="null3"/>
              <w:ind w:firstLine="420"/>
              <w:jc w:val="both"/>
            </w:pPr>
            <w:r>
              <w:rPr>
                <w:rFonts w:ascii="仿宋_GB2312" w:hAnsi="仿宋_GB2312" w:cs="仿宋_GB2312" w:eastAsia="仿宋_GB2312"/>
                <w:sz w:val="21"/>
              </w:rPr>
              <w:t>1.一般故障：</w:t>
            </w:r>
            <w:r>
              <w:rPr>
                <w:rFonts w:ascii="仿宋_GB2312" w:hAnsi="仿宋_GB2312" w:cs="仿宋_GB2312" w:eastAsia="仿宋_GB2312"/>
                <w:sz w:val="21"/>
              </w:rPr>
              <w:t>1小时内响应并到场，2小时内处置完毕。</w:t>
            </w:r>
          </w:p>
          <w:p>
            <w:pPr>
              <w:pStyle w:val="null3"/>
              <w:jc w:val="both"/>
            </w:pPr>
            <w:r>
              <w:rPr>
                <w:rFonts w:ascii="仿宋_GB2312" w:hAnsi="仿宋_GB2312" w:cs="仿宋_GB2312" w:eastAsia="仿宋_GB2312"/>
                <w:sz w:val="21"/>
              </w:rPr>
              <w:t xml:space="preserve">       2.重大故障：30分钟内响应并到场，4小时内处置完毕</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3.故障处置完成后形成专项处置报告，分析原因、制定预防措施，杜绝同类问题重复发生。</w:t>
            </w:r>
          </w:p>
          <w:p>
            <w:pPr>
              <w:pStyle w:val="null3"/>
              <w:ind w:firstLine="420"/>
              <w:jc w:val="both"/>
            </w:pPr>
            <w:r>
              <w:rPr>
                <w:rFonts w:ascii="仿宋_GB2312" w:hAnsi="仿宋_GB2312" w:cs="仿宋_GB2312" w:eastAsia="仿宋_GB2312"/>
                <w:sz w:val="21"/>
              </w:rPr>
              <w:t>（七）其他服务</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提供现场技术指导、信息化建设咨询、网络改造方案建议、设备升级替换技术论证服务。</w:t>
            </w:r>
          </w:p>
          <w:p>
            <w:pPr>
              <w:pStyle w:val="null3"/>
              <w:ind w:firstLine="420"/>
              <w:jc w:val="both"/>
            </w:pPr>
            <w:r>
              <w:rPr>
                <w:rFonts w:ascii="仿宋_GB2312" w:hAnsi="仿宋_GB2312" w:cs="仿宋_GB2312" w:eastAsia="仿宋_GB2312"/>
                <w:sz w:val="21"/>
              </w:rPr>
              <w:t>2.整理年度运维总结、资产盘点报告、安全合规自查报告，配合采购人完成验收及上级检查。</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检察工作网承载非涉密业务与办公，须与涉密网、互联网物理隔离，严禁交叉、数据互通，按等保分级管理。</w:t>
            </w:r>
          </w:p>
          <w:p>
            <w:pPr>
              <w:pStyle w:val="null3"/>
              <w:jc w:val="both"/>
            </w:pPr>
            <w:r>
              <w:rPr>
                <w:rFonts w:ascii="仿宋_GB2312" w:hAnsi="仿宋_GB2312" w:cs="仿宋_GB2312" w:eastAsia="仿宋_GB2312"/>
                <w:sz w:val="21"/>
              </w:rPr>
              <w:t xml:space="preserve">       4.</w:t>
            </w:r>
            <w:r>
              <w:rPr>
                <w:rFonts w:ascii="仿宋_GB2312" w:hAnsi="仿宋_GB2312" w:cs="仿宋_GB2312" w:eastAsia="仿宋_GB2312"/>
                <w:sz w:val="21"/>
              </w:rPr>
              <w:t>服务期间采购人要求的其他相关服务。</w:t>
            </w:r>
          </w:p>
          <w:p>
            <w:pPr>
              <w:pStyle w:val="null3"/>
              <w:jc w:val="both"/>
            </w:pPr>
            <w:r>
              <w:rPr>
                <w:rFonts w:ascii="仿宋_GB2312" w:hAnsi="仿宋_GB2312" w:cs="仿宋_GB2312" w:eastAsia="仿宋_GB2312"/>
                <w:sz w:val="21"/>
                <w:b/>
              </w:rPr>
              <w:t>六、服务考核与验收要求</w:t>
            </w:r>
          </w:p>
          <w:p>
            <w:pPr>
              <w:pStyle w:val="null3"/>
              <w:ind w:firstLine="420"/>
              <w:jc w:val="both"/>
            </w:pPr>
            <w:r>
              <w:rPr>
                <w:rFonts w:ascii="仿宋_GB2312" w:hAnsi="仿宋_GB2312" w:cs="仿宋_GB2312" w:eastAsia="仿宋_GB2312"/>
                <w:sz w:val="21"/>
              </w:rPr>
              <w:t>1.按月提交运维工作简报、工作记录，按季度提交巡检及整改报告，年末提交全年运维总结报告。</w:t>
            </w:r>
          </w:p>
          <w:p>
            <w:pPr>
              <w:pStyle w:val="null3"/>
              <w:ind w:firstLine="420"/>
              <w:jc w:val="both"/>
            </w:pPr>
            <w:r>
              <w:rPr>
                <w:rFonts w:ascii="仿宋_GB2312" w:hAnsi="仿宋_GB2312" w:cs="仿宋_GB2312" w:eastAsia="仿宋_GB2312"/>
                <w:sz w:val="21"/>
              </w:rPr>
              <w:t>2.建立故障工单闭环管理，响应时效、故障处置率、隐患整改完成率纳入月度考核。</w:t>
            </w:r>
          </w:p>
          <w:p>
            <w:pPr>
              <w:pStyle w:val="null3"/>
              <w:ind w:firstLine="420"/>
              <w:jc w:val="both"/>
            </w:pPr>
            <w:r>
              <w:rPr>
                <w:rFonts w:ascii="仿宋_GB2312" w:hAnsi="仿宋_GB2312" w:cs="仿宋_GB2312" w:eastAsia="仿宋_GB2312"/>
                <w:sz w:val="21"/>
              </w:rPr>
              <w:t>3.按采购需求、服务台账、故障记录、培训及重保保障情况进行考核验收，验收不合格按合同约定扣减服务费用、限期整改。</w:t>
            </w:r>
          </w:p>
          <w:p>
            <w:pPr>
              <w:pStyle w:val="null3"/>
              <w:jc w:val="both"/>
            </w:pPr>
            <w:r>
              <w:rPr>
                <w:rFonts w:ascii="仿宋_GB2312" w:hAnsi="仿宋_GB2312" w:cs="仿宋_GB2312" w:eastAsia="仿宋_GB2312"/>
                <w:sz w:val="21"/>
                <w:b/>
              </w:rPr>
              <w:t>七、工作场景</w:t>
            </w:r>
            <w:r>
              <w:rPr>
                <w:rFonts w:ascii="仿宋_GB2312" w:hAnsi="仿宋_GB2312" w:cs="仿宋_GB2312" w:eastAsia="仿宋_GB2312"/>
                <w:sz w:val="21"/>
              </w:rPr>
              <w:t>：检察系统工作网运维</w:t>
            </w:r>
          </w:p>
          <w:p>
            <w:pPr>
              <w:pStyle w:val="null3"/>
              <w:jc w:val="both"/>
            </w:pPr>
            <w:r>
              <w:rPr>
                <w:rFonts w:ascii="仿宋_GB2312" w:hAnsi="仿宋_GB2312" w:cs="仿宋_GB2312" w:eastAsia="仿宋_GB2312"/>
                <w:sz w:val="21"/>
                <w:b/>
              </w:rPr>
              <w:t>八、其他要求</w:t>
            </w:r>
          </w:p>
          <w:p>
            <w:pPr>
              <w:pStyle w:val="null3"/>
              <w:ind w:firstLine="420"/>
              <w:jc w:val="both"/>
            </w:pPr>
            <w:r>
              <w:rPr>
                <w:rFonts w:ascii="仿宋_GB2312" w:hAnsi="仿宋_GB2312" w:cs="仿宋_GB2312" w:eastAsia="仿宋_GB2312"/>
                <w:sz w:val="21"/>
              </w:rPr>
              <w:t>1、运维单位须遵守法律、行政法规，尊重社会公德，遵守商业道德，诚实信用，履行网络安全保护义务，接受采购人、政府和社会的监督，承担社会责任。</w:t>
            </w:r>
          </w:p>
          <w:p>
            <w:pPr>
              <w:pStyle w:val="null3"/>
              <w:ind w:firstLine="420"/>
              <w:jc w:val="both"/>
            </w:pPr>
            <w:r>
              <w:rPr>
                <w:rFonts w:ascii="仿宋_GB2312" w:hAnsi="仿宋_GB2312" w:cs="仿宋_GB2312" w:eastAsia="仿宋_GB2312"/>
                <w:sz w:val="21"/>
              </w:rPr>
              <w:t>2、网络运营服务，应当依照法律、行政法规的规定和国家标准的强制性要求，采取技术措施和其他必要措施，保障网络安全、稳定运行，有效应对网络安全事件，防范网络违法犯罪活动，维护网络数据的完整性、保密性和可用性。</w:t>
            </w:r>
          </w:p>
          <w:p>
            <w:pPr>
              <w:pStyle w:val="null3"/>
              <w:ind w:firstLine="420"/>
              <w:jc w:val="both"/>
            </w:pPr>
            <w:r>
              <w:rPr>
                <w:rFonts w:ascii="仿宋_GB2312" w:hAnsi="仿宋_GB2312" w:cs="仿宋_GB2312" w:eastAsia="仿宋_GB2312"/>
                <w:sz w:val="21"/>
              </w:rPr>
              <w:t>3、运维单位应制定详细的内部运维管理制度、安全管理制度和操作规程。组建科学合理的运维团队，明确团队人员的岗位职责和责任义务，合规合法用工。</w:t>
            </w:r>
          </w:p>
          <w:p>
            <w:pPr>
              <w:pStyle w:val="null3"/>
              <w:ind w:firstLine="420"/>
              <w:jc w:val="both"/>
            </w:pPr>
            <w:r>
              <w:rPr>
                <w:rFonts w:ascii="仿宋_GB2312" w:hAnsi="仿宋_GB2312" w:cs="仿宋_GB2312" w:eastAsia="仿宋_GB2312"/>
                <w:sz w:val="21"/>
              </w:rPr>
              <w:t>4、按照网络安全等级保护制度的要求，履行安全保护义务，制定防范计算机病毒和网络攻击、网络侵入等危害网络安全行为的技术措施，保障网络免受干扰、破坏或者未经授权的访问，防止网络数据泄露或者被窃取、篡改。</w:t>
            </w:r>
          </w:p>
          <w:p>
            <w:pPr>
              <w:pStyle w:val="null3"/>
              <w:ind w:firstLine="420"/>
              <w:jc w:val="both"/>
            </w:pPr>
            <w:r>
              <w:rPr>
                <w:rFonts w:ascii="仿宋_GB2312" w:hAnsi="仿宋_GB2312" w:cs="仿宋_GB2312" w:eastAsia="仿宋_GB2312"/>
                <w:sz w:val="21"/>
              </w:rPr>
              <w:t>5、提供的网络产品应当符合相关国家标准的强制性要求，与现有设施设备匹配，不得设置恶意程序，发现安全缺陷、漏洞等风险时，应当立即采取补救措施，在规定或者当事人约定的期限内，不得终止为其提供的产品、服务持续提供安全维护。</w:t>
            </w:r>
          </w:p>
          <w:p>
            <w:pPr>
              <w:pStyle w:val="null3"/>
              <w:ind w:firstLine="420"/>
              <w:jc w:val="both"/>
            </w:pPr>
            <w:r>
              <w:rPr>
                <w:rFonts w:ascii="仿宋_GB2312" w:hAnsi="仿宋_GB2312" w:cs="仿宋_GB2312" w:eastAsia="仿宋_GB2312"/>
                <w:sz w:val="21"/>
              </w:rPr>
              <w:t>6、运维单位须制定网络安全事件应急预案，有明确的响应、到场、处置时间和措施方案，及时处置系统漏洞、计算机病毒、网络攻击、网络侵入等安全风险；在发生危害网络安全的事件时，立即启动应急预案，采取相应的补救措施，并按照规定向有关主管部门报告。</w:t>
            </w:r>
          </w:p>
          <w:p>
            <w:pPr>
              <w:pStyle w:val="null3"/>
              <w:ind w:firstLine="420"/>
              <w:jc w:val="both"/>
            </w:pPr>
            <w:r>
              <w:rPr>
                <w:rFonts w:ascii="仿宋_GB2312" w:hAnsi="仿宋_GB2312" w:cs="仿宋_GB2312" w:eastAsia="仿宋_GB2312"/>
                <w:sz w:val="21"/>
              </w:rPr>
              <w:t>7、协助开展网络等保测评、安全认证、检测、风险评估等活动，配合有关部门依法实施的监督检查，向社会发布系统漏洞、计算机病毒、网络攻击、网络侵入等网络安全信息时，应当遵守国家有关规定。</w:t>
            </w:r>
          </w:p>
          <w:p>
            <w:pPr>
              <w:pStyle w:val="null3"/>
              <w:ind w:firstLine="420"/>
              <w:jc w:val="both"/>
            </w:pPr>
            <w:r>
              <w:rPr>
                <w:rFonts w:ascii="仿宋_GB2312" w:hAnsi="仿宋_GB2312" w:cs="仿宋_GB2312" w:eastAsia="仿宋_GB2312"/>
                <w:sz w:val="21"/>
              </w:rPr>
              <w:t>8、运维服务期间，不得从事非法活动或为非法活动提供帮助，不得侵入他人网络、干扰他人网络正常功能、窃取网络数据等危害网络安全的活动。</w:t>
            </w:r>
          </w:p>
          <w:p>
            <w:pPr>
              <w:pStyle w:val="null3"/>
              <w:ind w:firstLine="420"/>
              <w:jc w:val="both"/>
            </w:pPr>
            <w:r>
              <w:rPr>
                <w:rFonts w:ascii="仿宋_GB2312" w:hAnsi="仿宋_GB2312" w:cs="仿宋_GB2312" w:eastAsia="仿宋_GB2312"/>
                <w:sz w:val="21"/>
              </w:rPr>
              <w:t>9、设置专门安全管理机构和通过安全审查的安全管理负责人；定期对从业人员、检察人员进行网络安全教育、技术培训和技能考核。</w:t>
            </w:r>
          </w:p>
          <w:p>
            <w:pPr>
              <w:pStyle w:val="null3"/>
              <w:ind w:firstLine="420"/>
              <w:jc w:val="both"/>
            </w:pPr>
            <w:r>
              <w:rPr>
                <w:rFonts w:ascii="仿宋_GB2312" w:hAnsi="仿宋_GB2312" w:cs="仿宋_GB2312" w:eastAsia="仿宋_GB2312"/>
                <w:sz w:val="21"/>
              </w:rPr>
              <w:t>10、应当采取技术措施和其他必要措施，建立健全信息保护制度，设置专人负责对其收集的各种信息严格保密，防止信息泄露、毁损、丢失。若发生或者可能发生信息泄露、毁损、丢失时，应立即采取补救措施。</w:t>
            </w:r>
          </w:p>
          <w:p>
            <w:pPr>
              <w:pStyle w:val="null3"/>
              <w:ind w:firstLine="420"/>
              <w:jc w:val="both"/>
            </w:pPr>
            <w:r>
              <w:rPr>
                <w:rFonts w:ascii="仿宋_GB2312" w:hAnsi="仿宋_GB2312" w:cs="仿宋_GB2312" w:eastAsia="仿宋_GB2312"/>
                <w:sz w:val="21"/>
              </w:rPr>
              <w:t>11、运营单位应当自行或者委托网络安全服务机构对其运营管理的网络安全性和可能存在的风险每年至少进行一次检测评估，并将检测评估情况和改进措施报送相关采购人或负责关键信息基础设施安全保护工作的部门。</w:t>
            </w:r>
          </w:p>
          <w:p>
            <w:pPr>
              <w:pStyle w:val="null3"/>
              <w:ind w:firstLine="420"/>
              <w:jc w:val="both"/>
            </w:pPr>
            <w:r>
              <w:rPr>
                <w:rFonts w:ascii="仿宋_GB2312" w:hAnsi="仿宋_GB2312" w:cs="仿宋_GB2312" w:eastAsia="仿宋_GB2312"/>
                <w:sz w:val="21"/>
              </w:rPr>
              <w:t>12、运维单位应当建立网络信息安全投诉、举报制度，及时受理并处理有关网络信息安全的投诉和举报。</w:t>
            </w:r>
          </w:p>
          <w:p>
            <w:pPr>
              <w:pStyle w:val="null3"/>
              <w:ind w:firstLine="420"/>
              <w:jc w:val="both"/>
            </w:pPr>
            <w:r>
              <w:rPr>
                <w:rFonts w:ascii="仿宋_GB2312" w:hAnsi="仿宋_GB2312" w:cs="仿宋_GB2312" w:eastAsia="仿宋_GB2312"/>
                <w:sz w:val="21"/>
              </w:rPr>
              <w:t>13、定期与采购人组织会议，沟通阶段服务成果及工作中存在的问题和后续的改进计划，完整记录服务过程和结果。</w:t>
            </w:r>
          </w:p>
          <w:p>
            <w:pPr>
              <w:pStyle w:val="null3"/>
              <w:jc w:val="both"/>
            </w:pPr>
            <w:r>
              <w:rPr>
                <w:rFonts w:ascii="仿宋_GB2312" w:hAnsi="仿宋_GB2312" w:cs="仿宋_GB2312" w:eastAsia="仿宋_GB2312"/>
              </w:rPr>
              <w:t xml:space="preserve">       </w:t>
            </w:r>
            <w:r>
              <w:rPr>
                <w:rFonts w:ascii="仿宋_GB2312" w:hAnsi="仿宋_GB2312" w:cs="仿宋_GB2312" w:eastAsia="仿宋_GB2312"/>
                <w:sz w:val="21"/>
                <w:b/>
              </w:rPr>
              <w:t>说明：本文中</w:t>
            </w:r>
            <w:r>
              <w:rPr>
                <w:rFonts w:ascii="仿宋_GB2312" w:hAnsi="仿宋_GB2312" w:cs="仿宋_GB2312" w:eastAsia="仿宋_GB2312"/>
                <w:sz w:val="21"/>
                <w:b/>
              </w:rPr>
              <w:t>“服务时间/服务期限”=“合同履行期限”。</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团队配置：不仅限项目经理、技术负责、安全负责、保密负责、运维技术工程师（至少2人）等，并指派其中1名工程师驻市检察院。配备的团队，应具备丰富的网络安全、运维等与本项目相关的工作经验和专业知识，人员数量、岗位和专业构成应满足项目工作需要及市本级及各区县检察院工作网运维服务要求，人员为供应商在职员工。 2.派驻渭南市检察院工程师，主要负责现场值守、日常操作、首问接待、应急协同、与现用软硬件设施设备厂商间的技术协调及备品备件采购更换等相关事宜。</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供应商应配备履约所需各项设施设备，做好系统升级、集成及功能调试工作，保证系统的对接及后续工作顺利开展，满足采购人要求。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合同签订生效之日起三年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渭南市人民检察院及辖区内各区县检察院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1.验收标准：按照招标文件、投标文件、合同约定及国家、行业相关现行标准进行验收，满足采购要求。 2.验收方法：①采购人自行验收/委托第三方验收②对服务质量、产品质量、履约记录以及应具备的相关文件资料等内容进行验收。③详细记录验收情况，发现问题及时整改，并由双方签字确认。验收整改产生的费用由供应商承担。详见履约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合同签订之日起3个月内，乙方运维服务正常且完成系统信创升级并试运行正常，甲方向乙方一次性支付第一年服务费和系统信创升级费用（若期间有合同约定的扣罚，则甲方应在当期支付款项中扣除）</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第二年（合同年），甲方在上年度款项支付的对应月份，向乙方支付当年度的运维服务费（若期间有合同约定的扣罚，则甲方应在当期支付款项中扣除）</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27.50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第三年（合同年），甲方在上年度款项支付的对应月份，向乙方支付当年度的运维服务费（若期间有合同约定的扣罚，则甲方应在当期支付款项中扣除）</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27.50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提供的服务不符合招标文件、投标文件或合同规定，或乙方怠于履行合同，经催告后，仍未严格按照合同履行相关服务内容，甲方有权解除合同，已支付的服务费乙方应如数退回，未支付的服务费不再支付，并且乙方须向甲方支付合同总价10%的违约金。 2、乙方未能按合同规定的服务时间提供服务，从逾期之日起每日按合同总价0.3%的数额向甲方支付违约金；逾期半个月以上的，甲方有权解除合同，已支付的费用乙方应如数退回，未支付的服务费不再支付，由此造成的甲方经济损失由乙方承担。 3、乙方工作人员在履行合同过程中发生的人身伤亡等，与甲方无关，由乙方自行承担。 4、乙方在履行合同过程中产生的民事、行政及刑事责任，与甲方无关，由乙方自行承担。5、乙方违约造成甲方损失的，乙方除应负法律责任外，还应赔偿给甲方造成的损失(包括直接经济损失、间接经济损失以及可得利益损失)，甲方有权要求乙方赔偿相应损失以及甲方维护合法权益产生的合理费用(包括但不限于律师费、诉讼费、保全费、公告费、公证费、鉴定费差旅费等)。 6、因采购有关事项发生的争议，由甲乙双方友好协商解决。协商不成时，可以向有关组织申请调解。合同一方或双方不愿调解或调解不成的，可以通过向甲方所在地法院提起诉讼的方式解决争议。</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供应商投标须知见附件补充说明。（二）其他要求：线下纸质文件编制、提交：为方便复核线上评标结果和留存备案，要求供应商须提交线下纸质投标文件，具体要求如下：①线上文件编制完成定稿后，应将其完整下载并打印、装订，线上线下不一致或未按要求提交纸质投标文件造成的后果自负。②装订形式：按资质、商务、技术等顺序装订成一册，并编制目录。（可分上中下或第一、二、...册等多册，以胶装或线装等非活页形式装订）。③数量：两套。④提交时间、地点：在投标文件线上提交时间截止后一小时内，由供应商授权人提交至代理机构指定地点（地点：渭南市公共资源交易中心评标室三）。④线下与线上文件不一致以线上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法定代表人（或负责人）资格证明</w:t>
            </w:r>
          </w:p>
        </w:tc>
        <w:tc>
          <w:tcPr>
            <w:tcW w:type="dxa" w:w="3322"/>
          </w:tcPr>
          <w:p>
            <w:pPr>
              <w:pStyle w:val="null3"/>
            </w:pPr>
            <w:r>
              <w:rPr>
                <w:rFonts w:ascii="仿宋_GB2312" w:hAnsi="仿宋_GB2312" w:cs="仿宋_GB2312" w:eastAsia="仿宋_GB2312"/>
              </w:rPr>
              <w:t>提供法定代表人（或负责人）资格证明；</w:t>
            </w:r>
          </w:p>
        </w:tc>
        <w:tc>
          <w:tcPr>
            <w:tcW w:type="dxa" w:w="1661"/>
          </w:tcPr>
          <w:p>
            <w:pPr>
              <w:pStyle w:val="null3"/>
            </w:pPr>
            <w:r>
              <w:rPr>
                <w:rFonts w:ascii="仿宋_GB2312" w:hAnsi="仿宋_GB2312" w:cs="仿宋_GB2312" w:eastAsia="仿宋_GB2312"/>
              </w:rPr>
              <w:t>法定代表人（负责人）资格证明</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营业执照或等同</w:t>
            </w:r>
          </w:p>
        </w:tc>
        <w:tc>
          <w:tcPr>
            <w:tcW w:type="dxa" w:w="3322"/>
          </w:tcPr>
          <w:p>
            <w:pPr>
              <w:pStyle w:val="null3"/>
            </w:pPr>
            <w:r>
              <w:rPr>
                <w:rFonts w:ascii="仿宋_GB2312" w:hAnsi="仿宋_GB2312" w:cs="仿宋_GB2312" w:eastAsia="仿宋_GB2312"/>
              </w:rPr>
              <w:t>国内合法注册，具有独立承担民事责任能力的法人或其他组织（分公司提供总公司合法有效授权）；</w:t>
            </w:r>
          </w:p>
        </w:tc>
        <w:tc>
          <w:tcPr>
            <w:tcW w:type="dxa" w:w="1661"/>
          </w:tcPr>
          <w:p>
            <w:pPr>
              <w:pStyle w:val="null3"/>
            </w:pPr>
            <w:r>
              <w:rPr>
                <w:rFonts w:ascii="仿宋_GB2312" w:hAnsi="仿宋_GB2312" w:cs="仿宋_GB2312" w:eastAsia="仿宋_GB2312"/>
              </w:rPr>
              <w:t>营业执照 总公司授权</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提供供应商2025年年度财务报表（包括资产负债表、利润表、现金流量表）或供应商针对本项目开具的银行资信证明；</w:t>
            </w:r>
          </w:p>
        </w:tc>
        <w:tc>
          <w:tcPr>
            <w:tcW w:type="dxa" w:w="1661"/>
          </w:tcPr>
          <w:p>
            <w:pPr>
              <w:pStyle w:val="null3"/>
            </w:pPr>
            <w:r>
              <w:rPr>
                <w:rFonts w:ascii="仿宋_GB2312" w:hAnsi="仿宋_GB2312" w:cs="仿宋_GB2312" w:eastAsia="仿宋_GB2312"/>
              </w:rPr>
              <w:t>财务报表或资信证明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完税及社保缴纳证明</w:t>
            </w:r>
          </w:p>
        </w:tc>
        <w:tc>
          <w:tcPr>
            <w:tcW w:type="dxa" w:w="3322"/>
          </w:tcPr>
          <w:p>
            <w:pPr>
              <w:pStyle w:val="null3"/>
            </w:pPr>
            <w:r>
              <w:rPr>
                <w:rFonts w:ascii="仿宋_GB2312" w:hAnsi="仿宋_GB2312" w:cs="仿宋_GB2312" w:eastAsia="仿宋_GB2312"/>
              </w:rPr>
              <w:t>提供供应商2025年5月至今任意一个月完税证明及社保缴纳凭证（须含养老），依法免税提供免税相关证明材料。至投标截止时间成立不足一月的，提供供应商符合完税及社保缴纳的相关规定的证明或承诺。时间以税款/社保所属日期为准；凭证应有税务机关或代收机关的公章或业务专用章；</w:t>
            </w:r>
          </w:p>
        </w:tc>
        <w:tc>
          <w:tcPr>
            <w:tcW w:type="dxa" w:w="1661"/>
          </w:tcPr>
          <w:p>
            <w:pPr>
              <w:pStyle w:val="null3"/>
            </w:pPr>
            <w:r>
              <w:rPr>
                <w:rFonts w:ascii="仿宋_GB2312" w:hAnsi="仿宋_GB2312" w:cs="仿宋_GB2312" w:eastAsia="仿宋_GB2312"/>
              </w:rPr>
              <w:t>完税及社保缴纳证明</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供应商信用查询</w:t>
            </w:r>
          </w:p>
        </w:tc>
        <w:tc>
          <w:tcPr>
            <w:tcW w:type="dxa" w:w="3322"/>
          </w:tcPr>
          <w:p>
            <w:pPr>
              <w:pStyle w:val="null3"/>
            </w:pPr>
            <w:r>
              <w:rPr>
                <w:rFonts w:ascii="仿宋_GB2312" w:hAnsi="仿宋_GB2312" w:cs="仿宋_GB2312" w:eastAsia="仿宋_GB2312"/>
              </w:rPr>
              <w:t>供应商不得在“信用中国”（www.creditchina.gov.cn）和“中国政府采购网”（www.ccgp.gov.cn）有失信记录。（1.“信用中国：未被列入失信被执行人和重大税收违法案件当事人;2.“中国政府采购网”:未被列入严重违法失信行为记录名单。）；</w:t>
            </w:r>
          </w:p>
        </w:tc>
        <w:tc>
          <w:tcPr>
            <w:tcW w:type="dxa" w:w="1661"/>
          </w:tcPr>
          <w:p>
            <w:pPr>
              <w:pStyle w:val="null3"/>
            </w:pPr>
            <w:r>
              <w:rPr>
                <w:rFonts w:ascii="仿宋_GB2312" w:hAnsi="仿宋_GB2312" w:cs="仿宋_GB2312" w:eastAsia="仿宋_GB2312"/>
              </w:rPr>
              <w:t>供应商信用截图</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无违法违规行为声明</w:t>
            </w:r>
          </w:p>
        </w:tc>
        <w:tc>
          <w:tcPr>
            <w:tcW w:type="dxa" w:w="3322"/>
          </w:tcPr>
          <w:p>
            <w:pPr>
              <w:pStyle w:val="null3"/>
            </w:pPr>
            <w:r>
              <w:rPr>
                <w:rFonts w:ascii="仿宋_GB2312" w:hAnsi="仿宋_GB2312" w:cs="仿宋_GB2312" w:eastAsia="仿宋_GB2312"/>
              </w:rPr>
              <w:t>供应商参加本政府采购活动前三年内（2023年5月至投标截止时间止）在经营活动中无重大违法违规记录、无重大行政处罚、无重大安全事故的书面声明；</w:t>
            </w:r>
          </w:p>
        </w:tc>
        <w:tc>
          <w:tcPr>
            <w:tcW w:type="dxa" w:w="1661"/>
          </w:tcPr>
          <w:p>
            <w:pPr>
              <w:pStyle w:val="null3"/>
            </w:pPr>
            <w:r>
              <w:rPr>
                <w:rFonts w:ascii="仿宋_GB2312" w:hAnsi="仿宋_GB2312" w:cs="仿宋_GB2312" w:eastAsia="仿宋_GB2312"/>
              </w:rPr>
              <w:t>无违法违规行为声明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缴纳投标保证金</w:t>
            </w:r>
          </w:p>
        </w:tc>
        <w:tc>
          <w:tcPr>
            <w:tcW w:type="dxa" w:w="3322"/>
          </w:tcPr>
          <w:p>
            <w:pPr>
              <w:pStyle w:val="null3"/>
            </w:pPr>
            <w:r>
              <w:rPr>
                <w:rFonts w:ascii="仿宋_GB2312" w:hAnsi="仿宋_GB2312" w:cs="仿宋_GB2312" w:eastAsia="仿宋_GB2312"/>
              </w:rPr>
              <w:t>提供投标保证金缴纳凭证或投标保函；</w:t>
            </w:r>
          </w:p>
        </w:tc>
        <w:tc>
          <w:tcPr>
            <w:tcW w:type="dxa" w:w="1661"/>
          </w:tcPr>
          <w:p>
            <w:pPr>
              <w:pStyle w:val="null3"/>
            </w:pPr>
            <w:r>
              <w:rPr>
                <w:rFonts w:ascii="仿宋_GB2312" w:hAnsi="仿宋_GB2312" w:cs="仿宋_GB2312" w:eastAsia="仿宋_GB2312"/>
              </w:rPr>
              <w:t>投标保证金缴纳凭证 投标保函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禁止投标</w:t>
            </w:r>
          </w:p>
        </w:tc>
        <w:tc>
          <w:tcPr>
            <w:tcW w:type="dxa" w:w="3322"/>
          </w:tcPr>
          <w:p>
            <w:pPr>
              <w:pStyle w:val="null3"/>
            </w:pPr>
            <w:r>
              <w:rPr>
                <w:rFonts w:ascii="仿宋_GB2312" w:hAnsi="仿宋_GB2312" w:cs="仿宋_GB2312" w:eastAsia="仿宋_GB2312"/>
              </w:rPr>
              <w:t>禁止投标情形：①法定代表人或负责人为同一人或存在直接控股、管理关系的不同单位，不得同时参加本项目投标；②与采购人存在利害关系的单位不得参加本项目投标；③法律法规规定的其他禁止投标情形；</w:t>
            </w:r>
          </w:p>
        </w:tc>
        <w:tc>
          <w:tcPr>
            <w:tcW w:type="dxa" w:w="1661"/>
          </w:tcPr>
          <w:p>
            <w:pPr>
              <w:pStyle w:val="null3"/>
            </w:pPr>
            <w:r>
              <w:rPr>
                <w:rFonts w:ascii="仿宋_GB2312" w:hAnsi="仿宋_GB2312" w:cs="仿宋_GB2312" w:eastAsia="仿宋_GB2312"/>
              </w:rPr>
              <w:t>供应商关联关系声明 禁止投标情形承诺书 法定代表人（负责人）关联关系声明</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提供非联合体投标声明。</w:t>
            </w:r>
          </w:p>
        </w:tc>
        <w:tc>
          <w:tcPr>
            <w:tcW w:type="dxa" w:w="1661"/>
          </w:tcPr>
          <w:p>
            <w:pPr>
              <w:pStyle w:val="null3"/>
            </w:pPr>
            <w:r>
              <w:rPr>
                <w:rFonts w:ascii="仿宋_GB2312" w:hAnsi="仿宋_GB2312" w:cs="仿宋_GB2312" w:eastAsia="仿宋_GB2312"/>
              </w:rPr>
              <w:t>非联合体投标声明</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对评审中出现下列情形之一的，评标小组应当启动异常低价审查（按报价分总报价、年服务费报价、平台信创升级系统报价分别评审）从：①投标（响应）报价低于全部通过符合性审查供应商报价平均值的60%（报价平均值*60%）； ②投标（响应）报价低于通过符合性审查的次低报价的60%（次低报价*60%）； ③投标（响应）报价低于本项目采购预算的55%（采购预算*55%）； ④评标小组基于专业判断，认为供应商报价过低可能影响技术服务质量、交付时效或不能诚信履约的其他情形。</w:t>
            </w:r>
          </w:p>
        </w:tc>
        <w:tc>
          <w:tcPr>
            <w:tcW w:type="dxa" w:w="1661"/>
          </w:tcPr>
          <w:p>
            <w:pPr>
              <w:pStyle w:val="null3"/>
            </w:pPr>
            <w:r>
              <w:rPr>
                <w:rFonts w:ascii="仿宋_GB2312" w:hAnsi="仿宋_GB2312" w:cs="仿宋_GB2312" w:eastAsia="仿宋_GB2312"/>
              </w:rPr>
              <w:t>开标一览表 明细报价表1 标的清单 明细报价表2</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报价合计（投标报价）</w:t>
            </w:r>
          </w:p>
        </w:tc>
        <w:tc>
          <w:tcPr>
            <w:tcW w:type="dxa" w:w="3322"/>
          </w:tcPr>
          <w:p>
            <w:pPr>
              <w:pStyle w:val="null3"/>
            </w:pPr>
            <w:r>
              <w:rPr>
                <w:rFonts w:ascii="仿宋_GB2312" w:hAnsi="仿宋_GB2312" w:cs="仿宋_GB2312" w:eastAsia="仿宋_GB2312"/>
              </w:rPr>
              <w:t>1.唯一/无选择性且未超过项目最高限价 2.“明细报价表1”汇总A×3+“明细报价表2”汇总B≠“开标一览表”中“报价合计（投标报价）”，视为投标报价不唯一，投标无效</w:t>
            </w:r>
          </w:p>
        </w:tc>
        <w:tc>
          <w:tcPr>
            <w:tcW w:type="dxa" w:w="1661"/>
          </w:tcPr>
          <w:p>
            <w:pPr>
              <w:pStyle w:val="null3"/>
            </w:pPr>
            <w:r>
              <w:rPr>
                <w:rFonts w:ascii="仿宋_GB2312" w:hAnsi="仿宋_GB2312" w:cs="仿宋_GB2312" w:eastAsia="仿宋_GB2312"/>
              </w:rPr>
              <w:t>开标一览表 明细报价表1 标的清单 明细报价表2</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年服务费报价</w:t>
            </w:r>
          </w:p>
        </w:tc>
        <w:tc>
          <w:tcPr>
            <w:tcW w:type="dxa" w:w="3322"/>
          </w:tcPr>
          <w:p>
            <w:pPr>
              <w:pStyle w:val="null3"/>
            </w:pPr>
            <w:r>
              <w:rPr>
                <w:rFonts w:ascii="仿宋_GB2312" w:hAnsi="仿宋_GB2312" w:cs="仿宋_GB2312" w:eastAsia="仿宋_GB2312"/>
              </w:rPr>
              <w:t>唯一/无选择性且未超过该项最高限价</w:t>
            </w:r>
          </w:p>
        </w:tc>
        <w:tc>
          <w:tcPr>
            <w:tcW w:type="dxa" w:w="1661"/>
          </w:tcPr>
          <w:p>
            <w:pPr>
              <w:pStyle w:val="null3"/>
            </w:pPr>
            <w:r>
              <w:rPr>
                <w:rFonts w:ascii="仿宋_GB2312" w:hAnsi="仿宋_GB2312" w:cs="仿宋_GB2312" w:eastAsia="仿宋_GB2312"/>
              </w:rPr>
              <w:t>明细报价表1</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平台信创升级系统报价</w:t>
            </w:r>
          </w:p>
        </w:tc>
        <w:tc>
          <w:tcPr>
            <w:tcW w:type="dxa" w:w="3322"/>
          </w:tcPr>
          <w:p>
            <w:pPr>
              <w:pStyle w:val="null3"/>
            </w:pPr>
            <w:r>
              <w:rPr>
                <w:rFonts w:ascii="仿宋_GB2312" w:hAnsi="仿宋_GB2312" w:cs="仿宋_GB2312" w:eastAsia="仿宋_GB2312"/>
              </w:rPr>
              <w:t>唯一/无选择性且未超过该项最高限价</w:t>
            </w:r>
          </w:p>
        </w:tc>
        <w:tc>
          <w:tcPr>
            <w:tcW w:type="dxa" w:w="1661"/>
          </w:tcPr>
          <w:p>
            <w:pPr>
              <w:pStyle w:val="null3"/>
            </w:pPr>
            <w:r>
              <w:rPr>
                <w:rFonts w:ascii="仿宋_GB2312" w:hAnsi="仿宋_GB2312" w:cs="仿宋_GB2312" w:eastAsia="仿宋_GB2312"/>
              </w:rPr>
              <w:t>明细报价表2</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团队人员最低工资及社保</w:t>
            </w:r>
          </w:p>
        </w:tc>
        <w:tc>
          <w:tcPr>
            <w:tcW w:type="dxa" w:w="3322"/>
          </w:tcPr>
          <w:p>
            <w:pPr>
              <w:pStyle w:val="null3"/>
            </w:pPr>
            <w:r>
              <w:rPr>
                <w:rFonts w:ascii="仿宋_GB2312" w:hAnsi="仿宋_GB2312" w:cs="仿宋_GB2312" w:eastAsia="仿宋_GB2312"/>
              </w:rPr>
              <w:t>人员工资及社保（须含养老）符合相关法规要求</w:t>
            </w:r>
          </w:p>
        </w:tc>
        <w:tc>
          <w:tcPr>
            <w:tcW w:type="dxa" w:w="1661"/>
          </w:tcPr>
          <w:p>
            <w:pPr>
              <w:pStyle w:val="null3"/>
            </w:pPr>
            <w:r>
              <w:rPr>
                <w:rFonts w:ascii="仿宋_GB2312" w:hAnsi="仿宋_GB2312" w:cs="仿宋_GB2312" w:eastAsia="仿宋_GB2312"/>
              </w:rPr>
              <w:t>明细报价表1</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平台信创升级三系统</w:t>
            </w:r>
          </w:p>
        </w:tc>
        <w:tc>
          <w:tcPr>
            <w:tcW w:type="dxa" w:w="3322"/>
          </w:tcPr>
          <w:p>
            <w:pPr>
              <w:pStyle w:val="null3"/>
            </w:pPr>
            <w:r>
              <w:rPr>
                <w:rFonts w:ascii="仿宋_GB2312" w:hAnsi="仿宋_GB2312" w:cs="仿宋_GB2312" w:eastAsia="仿宋_GB2312"/>
              </w:rPr>
              <w:t>安全认证或安全检测合规有效</w:t>
            </w:r>
          </w:p>
        </w:tc>
        <w:tc>
          <w:tcPr>
            <w:tcW w:type="dxa" w:w="1661"/>
          </w:tcPr>
          <w:p>
            <w:pPr>
              <w:pStyle w:val="null3"/>
            </w:pPr>
            <w:r>
              <w:rPr>
                <w:rFonts w:ascii="仿宋_GB2312" w:hAnsi="仿宋_GB2312" w:cs="仿宋_GB2312" w:eastAsia="仿宋_GB2312"/>
              </w:rPr>
              <w:t>系统佐证</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服务时间（合同履行期限）</w:t>
            </w:r>
          </w:p>
        </w:tc>
        <w:tc>
          <w:tcPr>
            <w:tcW w:type="dxa" w:w="3322"/>
          </w:tcPr>
          <w:p>
            <w:pPr>
              <w:pStyle w:val="null3"/>
            </w:pPr>
            <w:r>
              <w:rPr>
                <w:rFonts w:ascii="仿宋_GB2312" w:hAnsi="仿宋_GB2312" w:cs="仿宋_GB2312" w:eastAsia="仿宋_GB2312"/>
              </w:rPr>
              <w:t>合同签订生效之日起三年</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投标截止之日起120日历日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付款</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商务响应（偏离）表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运维服务方案</w:t>
            </w:r>
          </w:p>
        </w:tc>
        <w:tc>
          <w:tcPr>
            <w:tcW w:type="dxa" w:w="2492"/>
          </w:tcPr>
          <w:p>
            <w:pPr>
              <w:pStyle w:val="null3"/>
            </w:pPr>
            <w:r>
              <w:rPr>
                <w:rFonts w:ascii="仿宋_GB2312" w:hAnsi="仿宋_GB2312" w:cs="仿宋_GB2312" w:eastAsia="仿宋_GB2312"/>
              </w:rPr>
              <w:t>1.评审内容：①该运维服务重点难点分析；②针对本项目运维管理制度及组织机构、服务网点设置；③质量管理保障及风险识别控制机制；④安全平台升级集成及运维服务方案；⑤云平台升级及运维服务方案；⑥机房运维服务方案；⑦（包含市本级及所属各区县检察院）网络与通信服务保障服务方案。（服务方案须包含设备及网络的日常与定期的巡检、维护作业计划等）。 2.赋分规则：每项最高得3分，每项有1个缺陷扣1分。缺陷是指：各项主题不明确；内容与主题针对性不强/有明显抄袭；与项目不匹配/不完整，落地有效性不显著。</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运维服务方案</w:t>
            </w:r>
          </w:p>
        </w:tc>
      </w:tr>
      <w:tr>
        <w:tc>
          <w:tcPr>
            <w:tcW w:type="dxa" w:w="831"/>
            <w:vMerge/>
          </w:tcP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一、技术服务响应 依据技术响应（偏离）表，第三章 3.2条（除信创升级系统外），有1条负偏离，该“技术响应”项得0分且不进入平台信创升级系统评审，若全部响应则进入平台信创升级系统评审。 二、平台信创升级系统： 1.网络入侵防护系统、防火墙系统、网络安全漏洞扫描系统“▲”参数（12项，共6分）：依据提供的相关证明材料进行评审，完全符合招标要求得6分，一项不符合扣0.5分，6分扣完为止。 2.依据技术佐证对（①网络入侵防护系统、②防火墙系统、③网络安全漏洞扫描系统）三系统一般参数进行评审，每系统得1分，有1项负偏离该系统得0分，共计3分。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w:t>
            </w:r>
          </w:p>
          <w:p>
            <w:pPr>
              <w:pStyle w:val="null3"/>
            </w:pPr>
            <w:r>
              <w:rPr>
                <w:rFonts w:ascii="仿宋_GB2312" w:hAnsi="仿宋_GB2312" w:cs="仿宋_GB2312" w:eastAsia="仿宋_GB2312"/>
              </w:rPr>
              <w:t>佐证材料</w:t>
            </w:r>
          </w:p>
        </w:tc>
      </w:tr>
      <w:tr>
        <w:tc>
          <w:tcPr>
            <w:tcW w:type="dxa" w:w="831"/>
            <w:vMerge/>
          </w:tcPr>
          <w:p/>
        </w:tc>
        <w:tc>
          <w:tcPr>
            <w:tcW w:type="dxa" w:w="1661"/>
          </w:tcPr>
          <w:p>
            <w:pPr>
              <w:pStyle w:val="null3"/>
            </w:pPr>
            <w:r>
              <w:rPr>
                <w:rFonts w:ascii="仿宋_GB2312" w:hAnsi="仿宋_GB2312" w:cs="仿宋_GB2312" w:eastAsia="仿宋_GB2312"/>
              </w:rPr>
              <w:t>供应商履约能力保障</w:t>
            </w:r>
          </w:p>
        </w:tc>
        <w:tc>
          <w:tcPr>
            <w:tcW w:type="dxa" w:w="2492"/>
          </w:tcPr>
          <w:p>
            <w:pPr>
              <w:pStyle w:val="null3"/>
            </w:pPr>
            <w:r>
              <w:rPr>
                <w:rFonts w:ascii="仿宋_GB2312" w:hAnsi="仿宋_GB2312" w:cs="仿宋_GB2312" w:eastAsia="仿宋_GB2312"/>
              </w:rPr>
              <w:t>1.评审内容： ①ISO9001质量管理体系认证②ISO27001信息安全管理体系认证③ISO20000信息技术服务管理体系认证 2.赋分规则：①项有效得0.2分；②-③项有效各得0.4分，未提供不得分。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体系认证</w:t>
            </w:r>
          </w:p>
        </w:tc>
      </w:tr>
      <w:tr>
        <w:tc>
          <w:tcPr>
            <w:tcW w:type="dxa" w:w="831"/>
            <w:vMerge/>
          </w:tcPr>
          <w:p/>
        </w:tc>
        <w:tc>
          <w:tcPr>
            <w:tcW w:type="dxa" w:w="1661"/>
          </w:tcPr>
          <w:p>
            <w:pPr>
              <w:pStyle w:val="null3"/>
            </w:pPr>
            <w:r>
              <w:rPr>
                <w:rFonts w:ascii="仿宋_GB2312" w:hAnsi="仿宋_GB2312" w:cs="仿宋_GB2312" w:eastAsia="仿宋_GB2312"/>
              </w:rPr>
              <w:t>备品备件方案</w:t>
            </w:r>
          </w:p>
        </w:tc>
        <w:tc>
          <w:tcPr>
            <w:tcW w:type="dxa" w:w="2492"/>
          </w:tcPr>
          <w:p>
            <w:pPr>
              <w:pStyle w:val="null3"/>
            </w:pPr>
            <w:r>
              <w:rPr>
                <w:rFonts w:ascii="仿宋_GB2312" w:hAnsi="仿宋_GB2312" w:cs="仿宋_GB2312" w:eastAsia="仿宋_GB2312"/>
              </w:rPr>
              <w:t>1.评审内容： 对备品备件、易损件、耗材辅料等①购置更换成本控制方案；②质量保证方案；③与现有软硬件适配性方案。 2.赋分规则：每项最高得3分，每项有1个缺陷扣1分。缺陷是指：各项主题不明确；内容与主题针对性不强；内容有明显抄袭/堆砌/不完整，与项目不匹配，落地有效性不显著。</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备品备件方案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1.评审内容： 根据明细报价表1中的人员配置进行评审。 2.赋分规则：岗位及人员信息齐全，满足6人得6分，超过6人的每1人加1分，最多加2分；不足6人或人员信息不齐全不得分。（人员信息：身份证、相关技术职称证书、供应商缴纳的个人社保）。</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明细报价表1</w:t>
            </w:r>
          </w:p>
          <w:p>
            <w:pPr>
              <w:pStyle w:val="null3"/>
            </w:pPr>
            <w:r>
              <w:rPr>
                <w:rFonts w:ascii="仿宋_GB2312" w:hAnsi="仿宋_GB2312" w:cs="仿宋_GB2312" w:eastAsia="仿宋_GB2312"/>
              </w:rPr>
              <w:t>团队人员配置清单</w:t>
            </w:r>
          </w:p>
        </w:tc>
      </w:tr>
      <w:tr>
        <w:tc>
          <w:tcPr>
            <w:tcW w:type="dxa" w:w="831"/>
            <w:vMerge/>
          </w:tcPr>
          <w:p/>
        </w:tc>
        <w:tc>
          <w:tcPr>
            <w:tcW w:type="dxa" w:w="1661"/>
          </w:tcPr>
          <w:p>
            <w:pPr>
              <w:pStyle w:val="null3"/>
            </w:pPr>
            <w:r>
              <w:rPr>
                <w:rFonts w:ascii="仿宋_GB2312" w:hAnsi="仿宋_GB2312" w:cs="仿宋_GB2312" w:eastAsia="仿宋_GB2312"/>
              </w:rPr>
              <w:t>安全运维防护措施</w:t>
            </w:r>
          </w:p>
        </w:tc>
        <w:tc>
          <w:tcPr>
            <w:tcW w:type="dxa" w:w="2492"/>
          </w:tcPr>
          <w:p>
            <w:pPr>
              <w:pStyle w:val="null3"/>
            </w:pPr>
            <w:r>
              <w:rPr>
                <w:rFonts w:ascii="仿宋_GB2312" w:hAnsi="仿宋_GB2312" w:cs="仿宋_GB2312" w:eastAsia="仿宋_GB2312"/>
              </w:rPr>
              <w:t>1.评审内容： ①安全扫描与漏洞检测计划(含安全扫描周期、漏洞扫描覆盖率、漏洞修复、漏洞分级处置流程、修复时效等）；②入侵检测与防御措施（含实时监测网络安全威胁、防范病毒攻击/网络入侵/数据泄露/恶意攻击等安全风险的措施）；③数据安全保护措施（含访问控制策略、数据加密措施、数据备份与恢复方案等）；④重大活动、专项检查等安全运维保障措施。 2.赋分规则：每项最高得3分，每项有1个缺陷扣1分。缺陷是指：各项主题不明确；内容与主题针对性不强；内容有明显抄袭/堆砌/不完整，与项目不匹配，落地有效性不显著。</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安全运维防护措施方案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1.评审内容： 针对运维服务人员和检察方人员①培训内容设计；②培训计划（含培训师资、培训频次安排等）。 2.赋分规则：每项最高得2分，每项有1个缺陷扣0.5分。缺陷是指：各项主题不明确；内容与主题针对性不强；内容有明显抄袭、堆砌/内容不完整；与项目不匹配，落地有效性不显著。</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1.评审内容： ①对一般问题及重大问题到场、处置时效响应；②设备及网络紧急事故的解决方案。 2.赋分规则：①一般问题到场时间、处置时间由短到长依次分别得0.5分，0.3分，0.1分，计1分；重大问题到场时间、处置时间由短到长依次分别得0.5分，0.3分，0.1分，计1分。未响应或第四名及以后不得分。该项共2分。 ②项最高得2分，有1个缺陷扣0.5分。缺陷是指：各项主题不明确；内容与主题针对性不强；内容有明显抄袭/堆砌；与项目不匹配，落地有效性不显著。</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1.评审内容： ①保密管理制度②泄密事件处置措施。 2.赋分规则：每项最高得2分，每项有1个缺陷扣0.5分。缺陷是指：各项主题不明确；内容与主题针对性不强；内容有明显抄袭/堆砌；与项目不匹配，落地有效性不显著。</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保密方案</w:t>
            </w:r>
          </w:p>
          <w:p>
            <w:pPr>
              <w:pStyle w:val="null3"/>
            </w:pPr>
            <w:r>
              <w:rPr>
                <w:rFonts w:ascii="仿宋_GB2312" w:hAnsi="仿宋_GB2312" w:cs="仿宋_GB2312" w:eastAsia="仿宋_GB2312"/>
              </w:rPr>
              <w:t>保密承诺书</w:t>
            </w:r>
          </w:p>
        </w:tc>
      </w:tr>
      <w:tr>
        <w:tc>
          <w:tcPr>
            <w:tcW w:type="dxa" w:w="831"/>
            <w:vMerge/>
          </w:tcPr>
          <w:p/>
        </w:tc>
        <w:tc>
          <w:tcPr>
            <w:tcW w:type="dxa" w:w="1661"/>
          </w:tcPr>
          <w:p>
            <w:pPr>
              <w:pStyle w:val="null3"/>
            </w:pPr>
            <w:r>
              <w:rPr>
                <w:rFonts w:ascii="仿宋_GB2312" w:hAnsi="仿宋_GB2312" w:cs="仿宋_GB2312" w:eastAsia="仿宋_GB2312"/>
              </w:rPr>
              <w:t>技术支持与协同服务方案</w:t>
            </w:r>
          </w:p>
        </w:tc>
        <w:tc>
          <w:tcPr>
            <w:tcW w:type="dxa" w:w="2492"/>
          </w:tcPr>
          <w:p>
            <w:pPr>
              <w:pStyle w:val="null3"/>
            </w:pPr>
            <w:r>
              <w:rPr>
                <w:rFonts w:ascii="仿宋_GB2312" w:hAnsi="仿宋_GB2312" w:cs="仿宋_GB2312" w:eastAsia="仿宋_GB2312"/>
              </w:rPr>
              <w:t>1.评审内容： ①提供服务期内技术指导方案；②协助配合等保测评、安检、测试以及监督检查工作的协同工作方案。 2.赋分规则：每项最高得2分，每项有1个缺陷扣0.5分。缺陷是指：各项主题不明确；内容与主题针对性不强；内容有明显抄袭/堆砌；与项目不匹配，落地有效性不显著。</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技术支持与协同服务方案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提供供应商2023年至今类似业绩（工作网相关服务）证明，1份得2分，最高4分，未提供或不符合要求得0分。时间以合同落款时间为准，无合同签订时间无效。要求：合同页面完整、清晰。若无法辨别，则不计分。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1）评标基准价：即最低投标总报价＝评标基准价；低价优先法。 2）投标总报价得分=评标基准价/投标总报价×20。 3）四舍五入，取小数点后两位，不计负分。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一、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二、1.政府采购活动中既有本国产品又有非本国产品参与竞争的，依法对本国产品给予价格评审优惠，对本国产品的报价给予20%的价格扣除，用扣除后的价格参与评审。 2.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详见附件：法定代表人（负责人）资格证明</w:t>
      </w:r>
    </w:p>
    <w:p>
      <w:pPr>
        <w:pStyle w:val="null3"/>
        <w:ind w:firstLine="960"/>
      </w:pPr>
      <w:r>
        <w:rPr>
          <w:rFonts w:ascii="仿宋_GB2312" w:hAnsi="仿宋_GB2312" w:cs="仿宋_GB2312" w:eastAsia="仿宋_GB2312"/>
        </w:rPr>
        <w:t>详见附件：营业执照</w:t>
      </w:r>
    </w:p>
    <w:p>
      <w:pPr>
        <w:pStyle w:val="null3"/>
        <w:ind w:firstLine="960"/>
      </w:pPr>
      <w:r>
        <w:rPr>
          <w:rFonts w:ascii="仿宋_GB2312" w:hAnsi="仿宋_GB2312" w:cs="仿宋_GB2312" w:eastAsia="仿宋_GB2312"/>
        </w:rPr>
        <w:t>详见附件：总公司授权</w:t>
      </w:r>
    </w:p>
    <w:p>
      <w:pPr>
        <w:pStyle w:val="null3"/>
        <w:ind w:firstLine="960"/>
      </w:pPr>
      <w:r>
        <w:rPr>
          <w:rFonts w:ascii="仿宋_GB2312" w:hAnsi="仿宋_GB2312" w:cs="仿宋_GB2312" w:eastAsia="仿宋_GB2312"/>
        </w:rPr>
        <w:t>详见附件：财务报表或资信证明</w:t>
      </w:r>
    </w:p>
    <w:p>
      <w:pPr>
        <w:pStyle w:val="null3"/>
        <w:ind w:firstLine="960"/>
      </w:pPr>
      <w:r>
        <w:rPr>
          <w:rFonts w:ascii="仿宋_GB2312" w:hAnsi="仿宋_GB2312" w:cs="仿宋_GB2312" w:eastAsia="仿宋_GB2312"/>
        </w:rPr>
        <w:t>详见附件：完税及社保缴纳证明</w:t>
      </w:r>
    </w:p>
    <w:p>
      <w:pPr>
        <w:pStyle w:val="null3"/>
        <w:ind w:firstLine="960"/>
      </w:pPr>
      <w:r>
        <w:rPr>
          <w:rFonts w:ascii="仿宋_GB2312" w:hAnsi="仿宋_GB2312" w:cs="仿宋_GB2312" w:eastAsia="仿宋_GB2312"/>
        </w:rPr>
        <w:t>详见附件：供应商信用截图</w:t>
      </w:r>
    </w:p>
    <w:p>
      <w:pPr>
        <w:pStyle w:val="null3"/>
        <w:ind w:firstLine="960"/>
      </w:pPr>
      <w:r>
        <w:rPr>
          <w:rFonts w:ascii="仿宋_GB2312" w:hAnsi="仿宋_GB2312" w:cs="仿宋_GB2312" w:eastAsia="仿宋_GB2312"/>
        </w:rPr>
        <w:t>详见附件：无违法违规行为声明</w:t>
      </w:r>
    </w:p>
    <w:p>
      <w:pPr>
        <w:pStyle w:val="null3"/>
        <w:ind w:firstLine="960"/>
      </w:pPr>
      <w:r>
        <w:rPr>
          <w:rFonts w:ascii="仿宋_GB2312" w:hAnsi="仿宋_GB2312" w:cs="仿宋_GB2312" w:eastAsia="仿宋_GB2312"/>
        </w:rPr>
        <w:t>详见附件：投标保证金缴纳凭证</w:t>
      </w:r>
    </w:p>
    <w:p>
      <w:pPr>
        <w:pStyle w:val="null3"/>
        <w:ind w:firstLine="960"/>
      </w:pPr>
      <w:r>
        <w:rPr>
          <w:rFonts w:ascii="仿宋_GB2312" w:hAnsi="仿宋_GB2312" w:cs="仿宋_GB2312" w:eastAsia="仿宋_GB2312"/>
        </w:rPr>
        <w:t>详见附件：投标保函</w:t>
      </w:r>
    </w:p>
    <w:p>
      <w:pPr>
        <w:pStyle w:val="null3"/>
        <w:ind w:firstLine="960"/>
      </w:pPr>
      <w:r>
        <w:rPr>
          <w:rFonts w:ascii="仿宋_GB2312" w:hAnsi="仿宋_GB2312" w:cs="仿宋_GB2312" w:eastAsia="仿宋_GB2312"/>
        </w:rPr>
        <w:t>详见附件：禁止投标情形承诺书</w:t>
      </w:r>
    </w:p>
    <w:p>
      <w:pPr>
        <w:pStyle w:val="null3"/>
        <w:ind w:firstLine="960"/>
      </w:pPr>
      <w:r>
        <w:rPr>
          <w:rFonts w:ascii="仿宋_GB2312" w:hAnsi="仿宋_GB2312" w:cs="仿宋_GB2312" w:eastAsia="仿宋_GB2312"/>
        </w:rPr>
        <w:t>详见附件：供应商关联关系声明</w:t>
      </w:r>
    </w:p>
    <w:p>
      <w:pPr>
        <w:pStyle w:val="null3"/>
        <w:ind w:firstLine="960"/>
      </w:pPr>
      <w:r>
        <w:rPr>
          <w:rFonts w:ascii="仿宋_GB2312" w:hAnsi="仿宋_GB2312" w:cs="仿宋_GB2312" w:eastAsia="仿宋_GB2312"/>
        </w:rPr>
        <w:t>详见附件：法定代表人（负责人）关联关系声明</w:t>
      </w:r>
    </w:p>
    <w:p>
      <w:pPr>
        <w:pStyle w:val="null3"/>
        <w:ind w:firstLine="960"/>
      </w:pPr>
      <w:r>
        <w:rPr>
          <w:rFonts w:ascii="仿宋_GB2312" w:hAnsi="仿宋_GB2312" w:cs="仿宋_GB2312" w:eastAsia="仿宋_GB2312"/>
        </w:rPr>
        <w:t>详见附件：非联合体投标声明</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详见附件：明细报价表1</w:t>
      </w:r>
    </w:p>
    <w:p>
      <w:pPr>
        <w:pStyle w:val="null3"/>
        <w:ind w:firstLine="960"/>
      </w:pPr>
      <w:r>
        <w:rPr>
          <w:rFonts w:ascii="仿宋_GB2312" w:hAnsi="仿宋_GB2312" w:cs="仿宋_GB2312" w:eastAsia="仿宋_GB2312"/>
        </w:rPr>
        <w:t>详见附件：明细报价表2</w:t>
      </w:r>
    </w:p>
    <w:p>
      <w:pPr>
        <w:pStyle w:val="null3"/>
        <w:ind w:firstLine="960"/>
      </w:pPr>
      <w:r>
        <w:rPr>
          <w:rFonts w:ascii="仿宋_GB2312" w:hAnsi="仿宋_GB2312" w:cs="仿宋_GB2312" w:eastAsia="仿宋_GB2312"/>
        </w:rPr>
        <w:t>详见附件：系统佐证</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详见附件：运维服务方案</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详见附件：佐证材料</w:t>
      </w:r>
    </w:p>
    <w:p>
      <w:pPr>
        <w:pStyle w:val="null3"/>
        <w:ind w:firstLine="960"/>
      </w:pPr>
      <w:r>
        <w:rPr>
          <w:rFonts w:ascii="仿宋_GB2312" w:hAnsi="仿宋_GB2312" w:cs="仿宋_GB2312" w:eastAsia="仿宋_GB2312"/>
        </w:rPr>
        <w:t>详见附件：体系认证</w:t>
      </w:r>
    </w:p>
    <w:p>
      <w:pPr>
        <w:pStyle w:val="null3"/>
        <w:ind w:firstLine="960"/>
      </w:pPr>
      <w:r>
        <w:rPr>
          <w:rFonts w:ascii="仿宋_GB2312" w:hAnsi="仿宋_GB2312" w:cs="仿宋_GB2312" w:eastAsia="仿宋_GB2312"/>
        </w:rPr>
        <w:t>详见附件：备品备件方案</w:t>
      </w:r>
    </w:p>
    <w:p>
      <w:pPr>
        <w:pStyle w:val="null3"/>
        <w:ind w:firstLine="960"/>
      </w:pPr>
      <w:r>
        <w:rPr>
          <w:rFonts w:ascii="仿宋_GB2312" w:hAnsi="仿宋_GB2312" w:cs="仿宋_GB2312" w:eastAsia="仿宋_GB2312"/>
        </w:rPr>
        <w:t>详见附件：团队人员配置清单</w:t>
      </w:r>
    </w:p>
    <w:p>
      <w:pPr>
        <w:pStyle w:val="null3"/>
        <w:ind w:firstLine="960"/>
      </w:pPr>
      <w:r>
        <w:rPr>
          <w:rFonts w:ascii="仿宋_GB2312" w:hAnsi="仿宋_GB2312" w:cs="仿宋_GB2312" w:eastAsia="仿宋_GB2312"/>
        </w:rPr>
        <w:t>详见附件：安全运维防护措施方案</w:t>
      </w:r>
    </w:p>
    <w:p>
      <w:pPr>
        <w:pStyle w:val="null3"/>
        <w:ind w:firstLine="960"/>
      </w:pPr>
      <w:r>
        <w:rPr>
          <w:rFonts w:ascii="仿宋_GB2312" w:hAnsi="仿宋_GB2312" w:cs="仿宋_GB2312" w:eastAsia="仿宋_GB2312"/>
        </w:rPr>
        <w:t>详见附件：培训方案</w:t>
      </w:r>
    </w:p>
    <w:p>
      <w:pPr>
        <w:pStyle w:val="null3"/>
        <w:ind w:firstLine="960"/>
      </w:pPr>
      <w:r>
        <w:rPr>
          <w:rFonts w:ascii="仿宋_GB2312" w:hAnsi="仿宋_GB2312" w:cs="仿宋_GB2312" w:eastAsia="仿宋_GB2312"/>
        </w:rPr>
        <w:t>详见附件：应急预案</w:t>
      </w:r>
    </w:p>
    <w:p>
      <w:pPr>
        <w:pStyle w:val="null3"/>
        <w:ind w:firstLine="960"/>
      </w:pPr>
      <w:r>
        <w:rPr>
          <w:rFonts w:ascii="仿宋_GB2312" w:hAnsi="仿宋_GB2312" w:cs="仿宋_GB2312" w:eastAsia="仿宋_GB2312"/>
        </w:rPr>
        <w:t>详见附件：保密方案</w:t>
      </w:r>
    </w:p>
    <w:p>
      <w:pPr>
        <w:pStyle w:val="null3"/>
        <w:ind w:firstLine="960"/>
      </w:pPr>
      <w:r>
        <w:rPr>
          <w:rFonts w:ascii="仿宋_GB2312" w:hAnsi="仿宋_GB2312" w:cs="仿宋_GB2312" w:eastAsia="仿宋_GB2312"/>
        </w:rPr>
        <w:t>详见附件：保密承诺书</w:t>
      </w:r>
    </w:p>
    <w:p>
      <w:pPr>
        <w:pStyle w:val="null3"/>
        <w:ind w:firstLine="960"/>
      </w:pPr>
      <w:r>
        <w:rPr>
          <w:rFonts w:ascii="仿宋_GB2312" w:hAnsi="仿宋_GB2312" w:cs="仿宋_GB2312" w:eastAsia="仿宋_GB2312"/>
        </w:rPr>
        <w:t>详见附件：技术支持与协同服务方案</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