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6DE246">
      <w:pPr>
        <w:pStyle w:val="2"/>
        <w:pageBreakBefore w:val="0"/>
        <w:overflowPunct/>
        <w:topLinePunct w:val="0"/>
        <w:bidi w:val="0"/>
        <w:spacing w:line="600" w:lineRule="exact"/>
        <w:jc w:val="center"/>
        <w:rPr>
          <w:rFonts w:hint="default" w:ascii="仿宋" w:hAnsi="仿宋" w:eastAsia="仿宋" w:cs="仿宋"/>
          <w:b/>
          <w:bCs/>
          <w:spacing w:val="11"/>
          <w:kern w:val="2"/>
          <w:sz w:val="32"/>
          <w:szCs w:val="32"/>
          <w:lang w:val="en-US" w:eastAsia="zh-CN" w:bidi="ar-SA"/>
        </w:rPr>
      </w:pPr>
      <w:r>
        <w:rPr>
          <w:rFonts w:hint="eastAsia" w:ascii="仿宋" w:hAnsi="仿宋" w:eastAsia="仿宋" w:cs="仿宋"/>
          <w:b/>
          <w:bCs/>
          <w:spacing w:val="11"/>
          <w:kern w:val="2"/>
          <w:sz w:val="32"/>
          <w:szCs w:val="32"/>
          <w:lang w:val="en-US" w:eastAsia="zh-CN" w:bidi="ar-SA"/>
        </w:rPr>
        <w:t>明细报价表1-年服务费报价</w:t>
      </w:r>
    </w:p>
    <w:p w14:paraId="57BAA3D7">
      <w:pPr>
        <w:keepNext w:val="0"/>
        <w:keepLines w:val="0"/>
        <w:pageBreakBefore w:val="0"/>
        <w:widowControl w:val="0"/>
        <w:kinsoku/>
        <w:wordWrap/>
        <w:overflowPunct/>
        <w:topLinePunct w:val="0"/>
        <w:autoSpaceDE/>
        <w:autoSpaceDN/>
        <w:bidi w:val="0"/>
        <w:adjustRightInd/>
        <w:snapToGrid/>
        <w:spacing w:line="500" w:lineRule="exact"/>
        <w:ind w:left="-20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采购编号： {采购编号}</w:t>
      </w:r>
    </w:p>
    <w:p w14:paraId="4E047534">
      <w:pPr>
        <w:keepNext w:val="0"/>
        <w:keepLines w:val="0"/>
        <w:pageBreakBefore w:val="0"/>
        <w:widowControl w:val="0"/>
        <w:kinsoku/>
        <w:wordWrap/>
        <w:overflowPunct/>
        <w:topLinePunct w:val="0"/>
        <w:autoSpaceDE/>
        <w:autoSpaceDN/>
        <w:bidi w:val="0"/>
        <w:adjustRightInd/>
        <w:snapToGrid/>
        <w:spacing w:line="500" w:lineRule="exact"/>
        <w:ind w:left="-20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项目名称： {项目名称}                               </w:t>
      </w:r>
    </w:p>
    <w:p w14:paraId="0AA0B5AC">
      <w:pPr>
        <w:keepNext w:val="0"/>
        <w:keepLines w:val="0"/>
        <w:pageBreakBefore w:val="0"/>
        <w:widowControl w:val="0"/>
        <w:kinsoku/>
        <w:wordWrap/>
        <w:overflowPunct/>
        <w:topLinePunct w:val="0"/>
        <w:autoSpaceDE/>
        <w:autoSpaceDN/>
        <w:bidi w:val="0"/>
        <w:adjustRightInd/>
        <w:snapToGrid/>
        <w:spacing w:line="500" w:lineRule="exact"/>
        <w:ind w:left="-20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投标人名称： {供应商名称}</w:t>
      </w:r>
    </w:p>
    <w:p w14:paraId="2DEF93A3">
      <w:pPr>
        <w:pStyle w:val="2"/>
        <w:pageBreakBefore w:val="0"/>
        <w:overflowPunct/>
        <w:topLinePunct w:val="0"/>
        <w:bidi w:val="0"/>
        <w:spacing w:line="600" w:lineRule="exact"/>
        <w:jc w:val="center"/>
        <w:rPr>
          <w:rFonts w:hint="default" w:ascii="仿宋" w:hAnsi="仿宋" w:eastAsia="仿宋" w:cs="仿宋"/>
          <w:b/>
          <w:bCs/>
          <w:spacing w:val="11"/>
          <w:kern w:val="2"/>
          <w:sz w:val="32"/>
          <w:szCs w:val="32"/>
          <w:lang w:val="en-US" w:eastAsia="zh-CN" w:bidi="ar-SA"/>
        </w:rPr>
      </w:pPr>
      <w:r>
        <w:rPr>
          <w:rFonts w:hint="eastAsia" w:ascii="仿宋" w:hAnsi="仿宋" w:eastAsia="仿宋" w:cs="仿宋"/>
          <w:b/>
          <w:bCs/>
          <w:sz w:val="24"/>
          <w:szCs w:val="24"/>
          <w:lang w:val="en-US" w:eastAsia="zh-CN"/>
        </w:rPr>
        <w:t>明细报价表1</w:t>
      </w:r>
    </w:p>
    <w:tbl>
      <w:tblPr>
        <w:tblStyle w:val="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3"/>
        <w:gridCol w:w="609"/>
        <w:gridCol w:w="668"/>
        <w:gridCol w:w="533"/>
        <w:gridCol w:w="885"/>
        <w:gridCol w:w="854"/>
        <w:gridCol w:w="791"/>
        <w:gridCol w:w="1002"/>
        <w:gridCol w:w="791"/>
        <w:gridCol w:w="871"/>
        <w:gridCol w:w="740"/>
      </w:tblGrid>
      <w:tr w14:paraId="6FAE5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pct"/>
            <w:vAlign w:val="center"/>
          </w:tcPr>
          <w:p w14:paraId="5918F7EA">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 w:hAnsi="仿宋" w:eastAsia="仿宋" w:cs="仿宋"/>
                <w:color w:val="auto"/>
                <w:spacing w:val="11"/>
                <w:sz w:val="24"/>
                <w:szCs w:val="24"/>
                <w:highlight w:val="none"/>
                <w:lang w:val="en-US" w:eastAsia="zh-CN"/>
              </w:rPr>
            </w:pPr>
            <w:r>
              <w:rPr>
                <w:rFonts w:hint="eastAsia" w:ascii="仿宋" w:hAnsi="仿宋" w:eastAsia="仿宋" w:cs="仿宋"/>
                <w:color w:val="auto"/>
                <w:spacing w:val="11"/>
                <w:sz w:val="24"/>
                <w:szCs w:val="24"/>
                <w:highlight w:val="none"/>
                <w:lang w:val="en-US" w:eastAsia="zh-CN"/>
              </w:rPr>
              <w:t>分项</w:t>
            </w:r>
          </w:p>
        </w:tc>
        <w:tc>
          <w:tcPr>
            <w:tcW w:w="323" w:type="pct"/>
            <w:vAlign w:val="center"/>
          </w:tcPr>
          <w:p w14:paraId="0C8ACBE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 w:hAnsi="仿宋" w:eastAsia="仿宋" w:cs="仿宋"/>
                <w:color w:val="auto"/>
                <w:spacing w:val="11"/>
                <w:sz w:val="24"/>
                <w:szCs w:val="24"/>
                <w:highlight w:val="none"/>
                <w:lang w:val="en-US" w:eastAsia="zh-CN"/>
              </w:rPr>
            </w:pPr>
            <w:r>
              <w:rPr>
                <w:rFonts w:hint="eastAsia" w:ascii="仿宋" w:hAnsi="仿宋" w:eastAsia="仿宋" w:cs="仿宋"/>
                <w:color w:val="auto"/>
                <w:spacing w:val="11"/>
                <w:sz w:val="24"/>
                <w:szCs w:val="24"/>
                <w:highlight w:val="none"/>
                <w:lang w:val="en-US" w:eastAsia="zh-CN"/>
              </w:rPr>
              <w:t>序号</w:t>
            </w:r>
          </w:p>
        </w:tc>
        <w:tc>
          <w:tcPr>
            <w:tcW w:w="434" w:type="pct"/>
            <w:vAlign w:val="center"/>
          </w:tcPr>
          <w:p w14:paraId="67D7291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 w:hAnsi="仿宋" w:eastAsia="仿宋" w:cs="仿宋"/>
                <w:color w:val="auto"/>
                <w:spacing w:val="11"/>
                <w:sz w:val="24"/>
                <w:szCs w:val="24"/>
                <w:highlight w:val="none"/>
                <w:lang w:val="en-US" w:eastAsia="zh-CN"/>
              </w:rPr>
            </w:pPr>
            <w:r>
              <w:rPr>
                <w:rFonts w:hint="eastAsia" w:ascii="仿宋" w:hAnsi="仿宋" w:eastAsia="仿宋" w:cs="仿宋"/>
                <w:color w:val="auto"/>
                <w:spacing w:val="11"/>
                <w:sz w:val="24"/>
                <w:szCs w:val="24"/>
                <w:highlight w:val="none"/>
                <w:lang w:val="en-US" w:eastAsia="zh-CN"/>
              </w:rPr>
              <w:t>姓名</w:t>
            </w:r>
          </w:p>
        </w:tc>
        <w:tc>
          <w:tcPr>
            <w:tcW w:w="355" w:type="pct"/>
            <w:shd w:val="clear" w:color="auto" w:fill="auto"/>
            <w:vAlign w:val="center"/>
          </w:tcPr>
          <w:p w14:paraId="36BB67F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 w:hAnsi="仿宋" w:eastAsia="仿宋" w:cs="仿宋"/>
                <w:color w:val="auto"/>
                <w:spacing w:val="11"/>
                <w:kern w:val="2"/>
                <w:sz w:val="24"/>
                <w:szCs w:val="24"/>
                <w:highlight w:val="none"/>
                <w:lang w:val="en-US" w:eastAsia="zh-CN" w:bidi="ar-SA"/>
              </w:rPr>
            </w:pPr>
            <w:r>
              <w:rPr>
                <w:rFonts w:hint="eastAsia" w:ascii="仿宋" w:hAnsi="仿宋" w:eastAsia="仿宋" w:cs="仿宋"/>
                <w:color w:val="auto"/>
                <w:spacing w:val="11"/>
                <w:kern w:val="2"/>
                <w:sz w:val="24"/>
                <w:szCs w:val="24"/>
                <w:highlight w:val="none"/>
                <w:lang w:val="en-US" w:eastAsia="zh-CN" w:bidi="ar-SA"/>
              </w:rPr>
              <w:t>岗位</w:t>
            </w:r>
          </w:p>
        </w:tc>
        <w:tc>
          <w:tcPr>
            <w:tcW w:w="561" w:type="pct"/>
            <w:shd w:val="clear" w:color="auto" w:fill="auto"/>
            <w:vAlign w:val="center"/>
          </w:tcPr>
          <w:p w14:paraId="24C71C69">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kern w:val="2"/>
                <w:sz w:val="24"/>
                <w:szCs w:val="24"/>
                <w:highlight w:val="none"/>
                <w:lang w:val="en-US" w:eastAsia="zh-CN" w:bidi="ar-SA"/>
              </w:rPr>
            </w:pPr>
            <w:r>
              <w:rPr>
                <w:rFonts w:hint="eastAsia" w:ascii="仿宋" w:hAnsi="仿宋" w:eastAsia="仿宋" w:cs="仿宋"/>
                <w:color w:val="auto"/>
                <w:spacing w:val="11"/>
                <w:sz w:val="24"/>
                <w:szCs w:val="24"/>
                <w:highlight w:val="none"/>
                <w:lang w:val="en-US" w:eastAsia="zh-CN"/>
              </w:rPr>
              <w:t>应发工资（元/月/人）</w:t>
            </w:r>
          </w:p>
        </w:tc>
        <w:tc>
          <w:tcPr>
            <w:tcW w:w="543" w:type="pct"/>
            <w:shd w:val="clear" w:color="auto" w:fill="auto"/>
            <w:vAlign w:val="center"/>
          </w:tcPr>
          <w:p w14:paraId="437DDFE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kern w:val="2"/>
                <w:sz w:val="24"/>
                <w:szCs w:val="24"/>
                <w:highlight w:val="none"/>
                <w:lang w:val="en-US" w:eastAsia="zh-CN" w:bidi="ar-SA"/>
              </w:rPr>
            </w:pPr>
            <w:r>
              <w:rPr>
                <w:rFonts w:hint="eastAsia" w:ascii="仿宋" w:hAnsi="仿宋" w:eastAsia="仿宋" w:cs="仿宋"/>
                <w:color w:val="auto"/>
                <w:spacing w:val="11"/>
                <w:sz w:val="24"/>
                <w:szCs w:val="24"/>
                <w:highlight w:val="none"/>
                <w:lang w:val="en-US" w:eastAsia="zh-CN"/>
              </w:rPr>
              <w:t>应缴社保（元/月/人）</w:t>
            </w:r>
          </w:p>
        </w:tc>
        <w:tc>
          <w:tcPr>
            <w:tcW w:w="506" w:type="pct"/>
            <w:shd w:val="clear" w:color="auto" w:fill="auto"/>
            <w:vAlign w:val="center"/>
          </w:tcPr>
          <w:p w14:paraId="0885D2A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kern w:val="2"/>
                <w:sz w:val="24"/>
                <w:szCs w:val="24"/>
                <w:highlight w:val="none"/>
                <w:lang w:val="en-US" w:eastAsia="zh-CN" w:bidi="ar-SA"/>
              </w:rPr>
            </w:pPr>
            <w:r>
              <w:rPr>
                <w:rFonts w:hint="eastAsia" w:ascii="仿宋" w:hAnsi="仿宋" w:eastAsia="仿宋" w:cs="仿宋"/>
                <w:color w:val="auto"/>
                <w:spacing w:val="11"/>
                <w:sz w:val="24"/>
                <w:szCs w:val="24"/>
                <w:highlight w:val="none"/>
                <w:lang w:val="en-US" w:eastAsia="zh-CN"/>
              </w:rPr>
              <w:t>人员补贴、福利等</w:t>
            </w:r>
          </w:p>
        </w:tc>
        <w:tc>
          <w:tcPr>
            <w:tcW w:w="379" w:type="pct"/>
            <w:shd w:val="clear" w:color="auto" w:fill="auto"/>
            <w:vAlign w:val="center"/>
          </w:tcPr>
          <w:p w14:paraId="5F8946AC">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 w:hAnsi="仿宋" w:eastAsia="仿宋" w:cs="仿宋"/>
                <w:color w:val="auto"/>
                <w:spacing w:val="11"/>
                <w:kern w:val="2"/>
                <w:sz w:val="24"/>
                <w:szCs w:val="24"/>
                <w:highlight w:val="none"/>
                <w:lang w:val="en-US" w:eastAsia="zh-CN" w:bidi="ar-SA"/>
              </w:rPr>
            </w:pPr>
            <w:r>
              <w:rPr>
                <w:rFonts w:hint="eastAsia" w:ascii="仿宋" w:hAnsi="仿宋" w:eastAsia="仿宋" w:cs="仿宋"/>
                <w:color w:val="auto"/>
                <w:spacing w:val="11"/>
                <w:sz w:val="24"/>
                <w:szCs w:val="24"/>
                <w:highlight w:val="none"/>
                <w:lang w:val="en-US" w:eastAsia="zh-CN"/>
              </w:rPr>
              <w:t>人数（个）</w:t>
            </w:r>
          </w:p>
        </w:tc>
        <w:tc>
          <w:tcPr>
            <w:tcW w:w="506" w:type="pct"/>
            <w:shd w:val="clear" w:color="auto" w:fill="auto"/>
            <w:vAlign w:val="center"/>
          </w:tcPr>
          <w:p w14:paraId="2B2EC1D2">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 w:hAnsi="仿宋" w:eastAsia="仿宋" w:cs="仿宋"/>
                <w:color w:val="auto"/>
                <w:spacing w:val="11"/>
                <w:kern w:val="2"/>
                <w:sz w:val="24"/>
                <w:szCs w:val="24"/>
                <w:highlight w:val="none"/>
                <w:lang w:val="en-US" w:eastAsia="zh-CN" w:bidi="ar-SA"/>
              </w:rPr>
            </w:pPr>
            <w:r>
              <w:rPr>
                <w:rFonts w:hint="eastAsia" w:ascii="仿宋" w:hAnsi="仿宋" w:eastAsia="仿宋" w:cs="仿宋"/>
                <w:color w:val="auto"/>
                <w:spacing w:val="11"/>
                <w:sz w:val="24"/>
                <w:szCs w:val="24"/>
                <w:highlight w:val="none"/>
                <w:lang w:val="en-US" w:eastAsia="zh-CN"/>
              </w:rPr>
              <w:t>月小计（元/月/岗位）</w:t>
            </w:r>
          </w:p>
        </w:tc>
        <w:tc>
          <w:tcPr>
            <w:tcW w:w="452" w:type="pct"/>
            <w:shd w:val="clear" w:color="auto" w:fill="auto"/>
            <w:vAlign w:val="center"/>
          </w:tcPr>
          <w:p w14:paraId="48AB0A0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kern w:val="2"/>
                <w:sz w:val="24"/>
                <w:szCs w:val="24"/>
                <w:highlight w:val="none"/>
                <w:lang w:val="en-US" w:eastAsia="zh-CN" w:bidi="ar-SA"/>
              </w:rPr>
            </w:pPr>
            <w:r>
              <w:rPr>
                <w:rFonts w:hint="eastAsia" w:ascii="仿宋" w:hAnsi="仿宋" w:eastAsia="仿宋" w:cs="仿宋"/>
                <w:color w:val="auto"/>
                <w:spacing w:val="11"/>
                <w:sz w:val="24"/>
                <w:szCs w:val="24"/>
                <w:highlight w:val="none"/>
                <w:lang w:val="en-US" w:eastAsia="zh-CN"/>
              </w:rPr>
              <w:t>年小计（元/年/岗位）</w:t>
            </w:r>
          </w:p>
        </w:tc>
        <w:tc>
          <w:tcPr>
            <w:tcW w:w="440" w:type="pct"/>
            <w:shd w:val="clear" w:color="auto" w:fill="auto"/>
            <w:vAlign w:val="center"/>
          </w:tcPr>
          <w:p w14:paraId="05A90A2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kern w:val="2"/>
                <w:sz w:val="24"/>
                <w:szCs w:val="24"/>
                <w:highlight w:val="none"/>
                <w:lang w:val="en-US" w:eastAsia="zh-CN" w:bidi="ar-SA"/>
              </w:rPr>
            </w:pPr>
            <w:r>
              <w:rPr>
                <w:rFonts w:hint="eastAsia" w:ascii="仿宋" w:hAnsi="仿宋" w:eastAsia="仿宋" w:cs="仿宋"/>
                <w:color w:val="auto"/>
                <w:spacing w:val="11"/>
                <w:sz w:val="24"/>
                <w:szCs w:val="24"/>
                <w:highlight w:val="none"/>
                <w:lang w:val="en-US" w:eastAsia="zh-CN"/>
              </w:rPr>
              <w:t>备注</w:t>
            </w:r>
          </w:p>
        </w:tc>
      </w:tr>
      <w:tr w14:paraId="4915B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pct"/>
            <w:vMerge w:val="restart"/>
            <w:vAlign w:val="center"/>
          </w:tcPr>
          <w:p w14:paraId="51C6AD1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 w:hAnsi="仿宋" w:eastAsia="仿宋" w:cs="仿宋"/>
                <w:color w:val="auto"/>
                <w:spacing w:val="11"/>
                <w:sz w:val="24"/>
                <w:szCs w:val="24"/>
                <w:highlight w:val="none"/>
                <w:lang w:val="en-US" w:eastAsia="zh-CN"/>
              </w:rPr>
            </w:pPr>
            <w:r>
              <w:rPr>
                <w:rFonts w:hint="eastAsia" w:ascii="仿宋" w:hAnsi="仿宋" w:eastAsia="仿宋" w:cs="仿宋"/>
                <w:color w:val="auto"/>
                <w:spacing w:val="11"/>
                <w:sz w:val="24"/>
                <w:szCs w:val="24"/>
                <w:highlight w:val="none"/>
                <w:lang w:val="en-US" w:eastAsia="zh-CN"/>
              </w:rPr>
              <w:t>人工</w:t>
            </w:r>
          </w:p>
        </w:tc>
        <w:tc>
          <w:tcPr>
            <w:tcW w:w="323" w:type="pct"/>
            <w:vAlign w:val="center"/>
          </w:tcPr>
          <w:p w14:paraId="677F150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 w:hAnsi="仿宋" w:eastAsia="仿宋" w:cs="仿宋"/>
                <w:color w:val="auto"/>
                <w:spacing w:val="11"/>
                <w:sz w:val="24"/>
                <w:szCs w:val="24"/>
                <w:highlight w:val="none"/>
                <w:lang w:val="en-US" w:eastAsia="zh-CN"/>
              </w:rPr>
            </w:pPr>
            <w:r>
              <w:rPr>
                <w:rFonts w:hint="eastAsia" w:ascii="仿宋" w:hAnsi="仿宋" w:eastAsia="仿宋" w:cs="仿宋"/>
                <w:color w:val="auto"/>
                <w:spacing w:val="11"/>
                <w:sz w:val="24"/>
                <w:szCs w:val="24"/>
                <w:highlight w:val="none"/>
                <w:lang w:val="en-US" w:eastAsia="zh-CN"/>
              </w:rPr>
              <w:t>1</w:t>
            </w:r>
          </w:p>
        </w:tc>
        <w:tc>
          <w:tcPr>
            <w:tcW w:w="434" w:type="pct"/>
            <w:vAlign w:val="center"/>
          </w:tcPr>
          <w:p w14:paraId="3E4FE06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355" w:type="pct"/>
            <w:vAlign w:val="center"/>
          </w:tcPr>
          <w:p w14:paraId="76DB7F36">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default" w:ascii="仿宋" w:hAnsi="仿宋" w:eastAsia="仿宋" w:cs="仿宋"/>
                <w:color w:val="auto"/>
                <w:spacing w:val="11"/>
                <w:sz w:val="24"/>
                <w:szCs w:val="24"/>
                <w:highlight w:val="none"/>
                <w:lang w:val="en-US" w:eastAsia="zh-CN"/>
              </w:rPr>
            </w:pPr>
          </w:p>
        </w:tc>
        <w:tc>
          <w:tcPr>
            <w:tcW w:w="561" w:type="pct"/>
            <w:vAlign w:val="center"/>
          </w:tcPr>
          <w:p w14:paraId="7D3D47B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543" w:type="pct"/>
            <w:vAlign w:val="center"/>
          </w:tcPr>
          <w:p w14:paraId="6A6BFB9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506" w:type="pct"/>
            <w:vAlign w:val="center"/>
          </w:tcPr>
          <w:p w14:paraId="766D838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379" w:type="pct"/>
            <w:vAlign w:val="center"/>
          </w:tcPr>
          <w:p w14:paraId="68E9B31A">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506" w:type="pct"/>
            <w:vAlign w:val="center"/>
          </w:tcPr>
          <w:p w14:paraId="017B821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452" w:type="pct"/>
            <w:vAlign w:val="center"/>
          </w:tcPr>
          <w:p w14:paraId="62E842F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440" w:type="pct"/>
            <w:vAlign w:val="center"/>
          </w:tcPr>
          <w:p w14:paraId="5278340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r>
      <w:tr w14:paraId="00C0A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pct"/>
            <w:vMerge w:val="continue"/>
            <w:vAlign w:val="center"/>
          </w:tcPr>
          <w:p w14:paraId="05009C8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323" w:type="pct"/>
            <w:vAlign w:val="center"/>
          </w:tcPr>
          <w:p w14:paraId="60394CC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 w:hAnsi="仿宋" w:eastAsia="仿宋" w:cs="仿宋"/>
                <w:color w:val="auto"/>
                <w:spacing w:val="11"/>
                <w:sz w:val="24"/>
                <w:szCs w:val="24"/>
                <w:highlight w:val="none"/>
                <w:lang w:val="en-US" w:eastAsia="zh-CN"/>
              </w:rPr>
            </w:pPr>
            <w:r>
              <w:rPr>
                <w:rFonts w:hint="eastAsia" w:ascii="仿宋" w:hAnsi="仿宋" w:eastAsia="仿宋" w:cs="仿宋"/>
                <w:color w:val="auto"/>
                <w:spacing w:val="11"/>
                <w:sz w:val="24"/>
                <w:szCs w:val="24"/>
                <w:highlight w:val="none"/>
                <w:lang w:val="en-US" w:eastAsia="zh-CN"/>
              </w:rPr>
              <w:t>2</w:t>
            </w:r>
          </w:p>
        </w:tc>
        <w:tc>
          <w:tcPr>
            <w:tcW w:w="434" w:type="pct"/>
            <w:vAlign w:val="center"/>
          </w:tcPr>
          <w:p w14:paraId="6FB6AF4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355" w:type="pct"/>
            <w:vAlign w:val="center"/>
          </w:tcPr>
          <w:p w14:paraId="3DFB9CF9">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561" w:type="pct"/>
            <w:vAlign w:val="center"/>
          </w:tcPr>
          <w:p w14:paraId="26C9DB4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543" w:type="pct"/>
            <w:vAlign w:val="center"/>
          </w:tcPr>
          <w:p w14:paraId="0E05026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506" w:type="pct"/>
            <w:vAlign w:val="center"/>
          </w:tcPr>
          <w:p w14:paraId="2F79F6B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379" w:type="pct"/>
            <w:vAlign w:val="center"/>
          </w:tcPr>
          <w:p w14:paraId="7374721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506" w:type="pct"/>
            <w:vAlign w:val="center"/>
          </w:tcPr>
          <w:p w14:paraId="64193AD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452" w:type="pct"/>
            <w:vAlign w:val="center"/>
          </w:tcPr>
          <w:p w14:paraId="5D809DA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440" w:type="pct"/>
            <w:vAlign w:val="center"/>
          </w:tcPr>
          <w:p w14:paraId="1D82D8D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r>
      <w:tr w14:paraId="3A919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pct"/>
            <w:vMerge w:val="continue"/>
            <w:vAlign w:val="center"/>
          </w:tcPr>
          <w:p w14:paraId="0B64884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323" w:type="pct"/>
            <w:vAlign w:val="center"/>
          </w:tcPr>
          <w:p w14:paraId="10047EF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r>
              <w:rPr>
                <w:rFonts w:hint="eastAsia" w:ascii="仿宋" w:hAnsi="仿宋" w:eastAsia="仿宋" w:cs="仿宋"/>
                <w:color w:val="auto"/>
                <w:spacing w:val="11"/>
                <w:sz w:val="24"/>
                <w:szCs w:val="24"/>
                <w:highlight w:val="none"/>
                <w:lang w:val="en-US" w:eastAsia="zh-CN"/>
              </w:rPr>
              <w:t>...</w:t>
            </w:r>
          </w:p>
        </w:tc>
        <w:tc>
          <w:tcPr>
            <w:tcW w:w="434" w:type="pct"/>
            <w:shd w:val="clear" w:color="auto" w:fill="auto"/>
            <w:vAlign w:val="top"/>
          </w:tcPr>
          <w:p w14:paraId="3CFF546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 w:hAnsi="仿宋" w:eastAsia="仿宋" w:cs="仿宋"/>
                <w:color w:val="auto"/>
                <w:spacing w:val="11"/>
                <w:sz w:val="24"/>
                <w:szCs w:val="24"/>
                <w:highlight w:val="none"/>
                <w:lang w:val="en-US" w:eastAsia="zh-CN"/>
              </w:rPr>
            </w:pPr>
          </w:p>
        </w:tc>
        <w:tc>
          <w:tcPr>
            <w:tcW w:w="355" w:type="pct"/>
            <w:vAlign w:val="center"/>
          </w:tcPr>
          <w:p w14:paraId="14C160B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561" w:type="pct"/>
            <w:vAlign w:val="center"/>
          </w:tcPr>
          <w:p w14:paraId="013DA2E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543" w:type="pct"/>
            <w:vAlign w:val="center"/>
          </w:tcPr>
          <w:p w14:paraId="6380F52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506" w:type="pct"/>
            <w:vAlign w:val="center"/>
          </w:tcPr>
          <w:p w14:paraId="15B930C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379" w:type="pct"/>
            <w:vAlign w:val="center"/>
          </w:tcPr>
          <w:p w14:paraId="493F4E1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506" w:type="pct"/>
            <w:vAlign w:val="center"/>
          </w:tcPr>
          <w:p w14:paraId="3AEFC4F2">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452" w:type="pct"/>
            <w:vAlign w:val="center"/>
          </w:tcPr>
          <w:p w14:paraId="14469CC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440" w:type="pct"/>
            <w:vAlign w:val="center"/>
          </w:tcPr>
          <w:p w14:paraId="03E21679">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r>
      <w:tr w14:paraId="55CD4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pct"/>
            <w:vAlign w:val="center"/>
          </w:tcPr>
          <w:p w14:paraId="0F25DD0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 w:hAnsi="仿宋" w:eastAsia="仿宋" w:cs="仿宋"/>
                <w:color w:val="auto"/>
                <w:spacing w:val="11"/>
                <w:sz w:val="24"/>
                <w:szCs w:val="24"/>
                <w:highlight w:val="none"/>
                <w:lang w:val="en-US" w:eastAsia="zh-CN"/>
              </w:rPr>
            </w:pPr>
            <w:r>
              <w:rPr>
                <w:rFonts w:hint="eastAsia" w:ascii="仿宋" w:hAnsi="仿宋" w:eastAsia="仿宋" w:cs="仿宋"/>
                <w:color w:val="auto"/>
                <w:spacing w:val="11"/>
                <w:sz w:val="24"/>
                <w:szCs w:val="24"/>
                <w:highlight w:val="none"/>
                <w:lang w:val="en-US" w:eastAsia="zh-CN"/>
              </w:rPr>
              <w:t>年服务费中包含的其他项目报价</w:t>
            </w:r>
          </w:p>
        </w:tc>
        <w:tc>
          <w:tcPr>
            <w:tcW w:w="323" w:type="pct"/>
            <w:vAlign w:val="center"/>
          </w:tcPr>
          <w:p w14:paraId="0610203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434" w:type="pct"/>
            <w:shd w:val="clear" w:color="auto" w:fill="auto"/>
            <w:vAlign w:val="top"/>
          </w:tcPr>
          <w:p w14:paraId="17CA7C3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355" w:type="pct"/>
            <w:vAlign w:val="center"/>
          </w:tcPr>
          <w:p w14:paraId="56925F5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561" w:type="pct"/>
            <w:vAlign w:val="center"/>
          </w:tcPr>
          <w:p w14:paraId="3E58153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543" w:type="pct"/>
            <w:vAlign w:val="center"/>
          </w:tcPr>
          <w:p w14:paraId="12A3245C">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506" w:type="pct"/>
            <w:vAlign w:val="center"/>
          </w:tcPr>
          <w:p w14:paraId="0D4CB90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379" w:type="pct"/>
            <w:vAlign w:val="center"/>
          </w:tcPr>
          <w:p w14:paraId="3A211E7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506" w:type="pct"/>
            <w:vAlign w:val="center"/>
          </w:tcPr>
          <w:p w14:paraId="111E6AF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452" w:type="pct"/>
            <w:vAlign w:val="center"/>
          </w:tcPr>
          <w:p w14:paraId="3E55D9A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bookmarkStart w:id="0" w:name="_GoBack"/>
            <w:bookmarkEnd w:id="0"/>
          </w:p>
        </w:tc>
        <w:tc>
          <w:tcPr>
            <w:tcW w:w="440" w:type="pct"/>
            <w:vAlign w:val="center"/>
          </w:tcPr>
          <w:p w14:paraId="29DB8B0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 w:hAnsi="仿宋" w:eastAsia="仿宋" w:cs="仿宋"/>
                <w:color w:val="auto"/>
                <w:spacing w:val="11"/>
                <w:sz w:val="24"/>
                <w:szCs w:val="24"/>
                <w:highlight w:val="none"/>
                <w:lang w:val="en-US" w:eastAsia="zh-CN"/>
              </w:rPr>
            </w:pPr>
            <w:r>
              <w:rPr>
                <w:rFonts w:hint="eastAsia" w:ascii="仿宋" w:hAnsi="仿宋" w:eastAsia="仿宋" w:cs="仿宋"/>
                <w:color w:val="auto"/>
                <w:spacing w:val="11"/>
                <w:sz w:val="24"/>
                <w:szCs w:val="24"/>
                <w:highlight w:val="none"/>
                <w:lang w:val="en-US" w:eastAsia="zh-CN"/>
              </w:rPr>
              <w:t>自行分类，格式自定</w:t>
            </w:r>
          </w:p>
        </w:tc>
      </w:tr>
      <w:tr w14:paraId="0414E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pct"/>
            <w:vAlign w:val="center"/>
          </w:tcPr>
          <w:p w14:paraId="726E521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323" w:type="pct"/>
            <w:vAlign w:val="center"/>
          </w:tcPr>
          <w:p w14:paraId="7DC7023C">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434" w:type="pct"/>
            <w:shd w:val="clear" w:color="auto" w:fill="auto"/>
            <w:vAlign w:val="top"/>
          </w:tcPr>
          <w:p w14:paraId="01AB26E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355" w:type="pct"/>
            <w:vAlign w:val="center"/>
          </w:tcPr>
          <w:p w14:paraId="41FB74D2">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561" w:type="pct"/>
            <w:vAlign w:val="center"/>
          </w:tcPr>
          <w:p w14:paraId="27C2F0B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543" w:type="pct"/>
            <w:vAlign w:val="center"/>
          </w:tcPr>
          <w:p w14:paraId="68DD350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506" w:type="pct"/>
            <w:vAlign w:val="center"/>
          </w:tcPr>
          <w:p w14:paraId="6857870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379" w:type="pct"/>
            <w:vAlign w:val="center"/>
          </w:tcPr>
          <w:p w14:paraId="3ECD034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506" w:type="pct"/>
            <w:vAlign w:val="center"/>
          </w:tcPr>
          <w:p w14:paraId="1C4E533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c>
          <w:tcPr>
            <w:tcW w:w="452" w:type="pct"/>
            <w:vAlign w:val="center"/>
          </w:tcPr>
          <w:p w14:paraId="29D2DDAA">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r>
              <w:rPr>
                <w:rFonts w:hint="eastAsia" w:ascii="仿宋" w:hAnsi="仿宋" w:eastAsia="仿宋" w:cs="仿宋"/>
                <w:color w:val="auto"/>
                <w:spacing w:val="11"/>
                <w:sz w:val="24"/>
                <w:szCs w:val="24"/>
                <w:highlight w:val="none"/>
                <w:lang w:val="en-US" w:eastAsia="zh-CN"/>
              </w:rPr>
              <w:t>汇总A（元/年）：</w:t>
            </w:r>
          </w:p>
        </w:tc>
        <w:tc>
          <w:tcPr>
            <w:tcW w:w="440" w:type="pct"/>
            <w:vAlign w:val="center"/>
          </w:tcPr>
          <w:p w14:paraId="0ABEB2B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11"/>
                <w:sz w:val="24"/>
                <w:szCs w:val="24"/>
                <w:highlight w:val="none"/>
                <w:lang w:val="en-US" w:eastAsia="zh-CN"/>
              </w:rPr>
            </w:pPr>
          </w:p>
        </w:tc>
      </w:tr>
    </w:tbl>
    <w:p w14:paraId="4FDABCB3">
      <w:pPr>
        <w:rPr>
          <w:rFonts w:hint="eastAsia" w:ascii="仿宋" w:hAnsi="仿宋" w:eastAsia="仿宋" w:cs="仿宋"/>
          <w:spacing w:val="11"/>
          <w:sz w:val="24"/>
          <w:szCs w:val="24"/>
          <w:lang w:val="en-US" w:eastAsia="zh-CN"/>
        </w:rPr>
      </w:pPr>
    </w:p>
    <w:p w14:paraId="41D4037E">
      <w:pPr>
        <w:rPr>
          <w:rFonts w:hint="eastAsia" w:ascii="仿宋" w:hAnsi="仿宋" w:eastAsia="仿宋" w:cs="仿宋"/>
          <w:spacing w:val="11"/>
          <w:sz w:val="24"/>
          <w:szCs w:val="24"/>
          <w:lang w:val="en-US" w:eastAsia="zh-CN"/>
        </w:rPr>
      </w:pPr>
      <w:r>
        <w:rPr>
          <w:rFonts w:hint="eastAsia" w:ascii="仿宋" w:hAnsi="仿宋" w:eastAsia="仿宋" w:cs="仿宋"/>
          <w:spacing w:val="11"/>
          <w:sz w:val="24"/>
          <w:szCs w:val="24"/>
          <w:lang w:val="en-US" w:eastAsia="zh-CN"/>
        </w:rPr>
        <w:t>（一）报价说明：</w:t>
      </w:r>
    </w:p>
    <w:p w14:paraId="60DC5B38">
      <w:pPr>
        <w:keepNext w:val="0"/>
        <w:keepLines w:val="0"/>
        <w:pageBreakBefore w:val="0"/>
        <w:widowControl w:val="0"/>
        <w:kinsoku/>
        <w:wordWrap/>
        <w:overflowPunct/>
        <w:topLinePunct w:val="0"/>
        <w:autoSpaceDE/>
        <w:autoSpaceDN/>
        <w:bidi w:val="0"/>
        <w:adjustRightInd/>
        <w:snapToGrid/>
        <w:spacing w:line="440" w:lineRule="exact"/>
        <w:ind w:left="-200" w:firstLine="524" w:firstLineChars="200"/>
        <w:textAlignment w:val="auto"/>
        <w:rPr>
          <w:rFonts w:hint="eastAsia" w:ascii="仿宋" w:hAnsi="仿宋" w:eastAsia="仿宋" w:cs="仿宋"/>
          <w:spacing w:val="11"/>
          <w:sz w:val="24"/>
          <w:szCs w:val="24"/>
          <w:lang w:val="en-US" w:eastAsia="zh-CN"/>
        </w:rPr>
      </w:pPr>
      <w:r>
        <w:rPr>
          <w:rFonts w:hint="eastAsia" w:ascii="仿宋" w:hAnsi="仿宋" w:eastAsia="仿宋" w:cs="仿宋"/>
          <w:spacing w:val="11"/>
          <w:sz w:val="24"/>
          <w:szCs w:val="24"/>
          <w:lang w:val="en-US" w:eastAsia="zh-CN"/>
        </w:rPr>
        <w:t>1.投标报价为含税价。运维服务费为总价包干，报价包含完成本项目全部工作所需的人工、驻场、巡检、故障处置、技术升级、更新、加固、项目运维周期内所需全部易损备品备件、耗材辅料的购置、备货、更换、调试、运输、税费及所有或预见和不可预见费用。中标后采购方不再另行支付任何备品备件相关费用，供应商需自行踏勘、自行评估设备老化、易损件更换频次及数量，综合全部风险自主报价，后期不得以备件数量多、型号不明、价格上涨等任何理由申请加价、增补、变更，风险自担（风险已知晓）。</w:t>
      </w:r>
    </w:p>
    <w:p w14:paraId="14E18A4F">
      <w:pPr>
        <w:keepNext w:val="0"/>
        <w:keepLines w:val="0"/>
        <w:pageBreakBefore w:val="0"/>
        <w:widowControl w:val="0"/>
        <w:kinsoku/>
        <w:wordWrap/>
        <w:overflowPunct/>
        <w:topLinePunct w:val="0"/>
        <w:autoSpaceDE/>
        <w:autoSpaceDN/>
        <w:bidi w:val="0"/>
        <w:adjustRightInd/>
        <w:snapToGrid/>
        <w:spacing w:line="440" w:lineRule="exact"/>
        <w:ind w:left="-200" w:firstLine="524" w:firstLineChars="200"/>
        <w:textAlignment w:val="auto"/>
        <w:rPr>
          <w:rFonts w:hint="eastAsia" w:ascii="仿宋" w:hAnsi="仿宋" w:eastAsia="仿宋" w:cs="仿宋"/>
          <w:spacing w:val="11"/>
          <w:sz w:val="24"/>
          <w:szCs w:val="24"/>
          <w:lang w:val="en-US" w:eastAsia="zh-CN"/>
        </w:rPr>
      </w:pPr>
      <w:r>
        <w:rPr>
          <w:rFonts w:hint="eastAsia" w:ascii="仿宋" w:hAnsi="仿宋" w:eastAsia="仿宋" w:cs="仿宋"/>
          <w:spacing w:val="11"/>
          <w:sz w:val="24"/>
          <w:szCs w:val="24"/>
          <w:lang w:val="en-US" w:eastAsia="zh-CN"/>
        </w:rPr>
        <w:t>2.年服务费报价中的人工成本，应按人、岗位、人数分别单列出应发工资、应缴社保、其他补贴/福利、税费、管理费（含利润）及其他所有费用，人员费用应符合现行法规对用工最低工资标准和应缴社保的法定要求。（应发工资：包含个人须承担的社保部分；应缴社保：须含养老，包含供应商须承担的社保部分。</w:t>
      </w:r>
    </w:p>
    <w:p w14:paraId="5961AC6F">
      <w:pPr>
        <w:keepNext w:val="0"/>
        <w:keepLines w:val="0"/>
        <w:pageBreakBefore w:val="0"/>
        <w:widowControl w:val="0"/>
        <w:kinsoku/>
        <w:wordWrap/>
        <w:overflowPunct/>
        <w:topLinePunct w:val="0"/>
        <w:autoSpaceDE/>
        <w:autoSpaceDN/>
        <w:bidi w:val="0"/>
        <w:adjustRightInd/>
        <w:snapToGrid/>
        <w:spacing w:line="440" w:lineRule="exact"/>
        <w:ind w:left="-200" w:firstLine="524" w:firstLineChars="200"/>
        <w:textAlignment w:val="auto"/>
        <w:rPr>
          <w:rFonts w:hint="eastAsia" w:ascii="仿宋" w:hAnsi="仿宋" w:eastAsia="仿宋" w:cs="仿宋"/>
          <w:spacing w:val="11"/>
          <w:sz w:val="24"/>
          <w:szCs w:val="24"/>
          <w:lang w:val="en-US" w:eastAsia="zh-CN"/>
        </w:rPr>
      </w:pPr>
      <w:r>
        <w:rPr>
          <w:rFonts w:hint="eastAsia" w:ascii="仿宋" w:hAnsi="仿宋" w:eastAsia="仿宋" w:cs="仿宋"/>
          <w:spacing w:val="11"/>
          <w:sz w:val="24"/>
          <w:szCs w:val="24"/>
          <w:lang w:val="en-US" w:eastAsia="zh-CN"/>
        </w:rPr>
        <w:t>3.供应商用工应合规合法，履行依法按时足额发放工资、缴纳社保的法定义务（依法不缴社保提供有效证明），任何以非法理由/借口，拒缴为员工足额发放工资或缴纳社会保险的行为，均视为违法违规，投标无效，不得进入后续评审。</w:t>
      </w:r>
    </w:p>
    <w:p w14:paraId="70DB524E">
      <w:pPr>
        <w:keepNext w:val="0"/>
        <w:keepLines w:val="0"/>
        <w:pageBreakBefore w:val="0"/>
        <w:widowControl w:val="0"/>
        <w:kinsoku/>
        <w:wordWrap/>
        <w:overflowPunct/>
        <w:topLinePunct w:val="0"/>
        <w:autoSpaceDE/>
        <w:autoSpaceDN/>
        <w:bidi w:val="0"/>
        <w:adjustRightInd/>
        <w:snapToGrid/>
        <w:spacing w:line="440" w:lineRule="exact"/>
        <w:ind w:left="-200" w:firstLine="524" w:firstLineChars="200"/>
        <w:textAlignment w:val="auto"/>
        <w:rPr>
          <w:rFonts w:hint="eastAsia" w:ascii="仿宋" w:hAnsi="仿宋" w:eastAsia="仿宋" w:cs="仿宋"/>
          <w:spacing w:val="11"/>
          <w:sz w:val="24"/>
          <w:szCs w:val="24"/>
          <w:lang w:val="en-US" w:eastAsia="zh-CN"/>
        </w:rPr>
      </w:pPr>
      <w:r>
        <w:rPr>
          <w:rFonts w:hint="eastAsia" w:ascii="仿宋" w:hAnsi="仿宋" w:eastAsia="仿宋" w:cs="仿宋"/>
          <w:spacing w:val="11"/>
          <w:sz w:val="24"/>
          <w:szCs w:val="24"/>
          <w:lang w:val="en-US" w:eastAsia="zh-CN"/>
        </w:rPr>
        <w:t>4.“明细报价表1”汇总A×3+“明细报价表2”汇总B=分项报价表/标的清单的“总价”=开标一览表中“报价合计”（即投标总报价）。</w:t>
      </w:r>
    </w:p>
    <w:p w14:paraId="2FBBF438">
      <w:pPr>
        <w:keepNext w:val="0"/>
        <w:keepLines w:val="0"/>
        <w:pageBreakBefore w:val="0"/>
        <w:widowControl w:val="0"/>
        <w:kinsoku/>
        <w:wordWrap/>
        <w:overflowPunct/>
        <w:topLinePunct w:val="0"/>
        <w:autoSpaceDE/>
        <w:autoSpaceDN/>
        <w:bidi w:val="0"/>
        <w:adjustRightInd/>
        <w:snapToGrid/>
        <w:spacing w:line="440" w:lineRule="exact"/>
        <w:ind w:left="-200" w:firstLine="524" w:firstLineChars="200"/>
        <w:textAlignment w:val="auto"/>
        <w:rPr>
          <w:rFonts w:hint="eastAsia" w:ascii="仿宋" w:hAnsi="仿宋" w:eastAsia="仿宋" w:cs="仿宋"/>
          <w:spacing w:val="11"/>
          <w:sz w:val="24"/>
          <w:szCs w:val="24"/>
          <w:lang w:val="en-US" w:eastAsia="zh-CN"/>
        </w:rPr>
      </w:pPr>
      <w:r>
        <w:rPr>
          <w:rFonts w:hint="eastAsia" w:ascii="仿宋" w:hAnsi="仿宋" w:eastAsia="仿宋" w:cs="仿宋"/>
          <w:spacing w:val="11"/>
          <w:sz w:val="24"/>
          <w:szCs w:val="24"/>
          <w:lang w:val="en-US" w:eastAsia="zh-CN"/>
        </w:rPr>
        <w:t>（二）报价承诺：</w:t>
      </w:r>
    </w:p>
    <w:p w14:paraId="17240F9C">
      <w:pPr>
        <w:keepNext w:val="0"/>
        <w:keepLines w:val="0"/>
        <w:pageBreakBefore w:val="0"/>
        <w:widowControl w:val="0"/>
        <w:kinsoku/>
        <w:wordWrap/>
        <w:overflowPunct/>
        <w:topLinePunct w:val="0"/>
        <w:autoSpaceDE/>
        <w:autoSpaceDN/>
        <w:bidi w:val="0"/>
        <w:adjustRightInd/>
        <w:snapToGrid/>
        <w:spacing w:line="440" w:lineRule="exact"/>
        <w:ind w:left="-200" w:firstLine="524" w:firstLineChars="200"/>
        <w:textAlignment w:val="auto"/>
        <w:rPr>
          <w:rFonts w:hint="eastAsia" w:ascii="仿宋" w:hAnsi="仿宋" w:eastAsia="仿宋" w:cs="仿宋"/>
          <w:spacing w:val="11"/>
          <w:sz w:val="24"/>
          <w:szCs w:val="24"/>
          <w:lang w:val="en-US" w:eastAsia="zh-CN"/>
        </w:rPr>
      </w:pPr>
      <w:r>
        <w:rPr>
          <w:rFonts w:hint="eastAsia" w:ascii="仿宋" w:hAnsi="仿宋" w:eastAsia="仿宋" w:cs="仿宋"/>
          <w:spacing w:val="11"/>
          <w:sz w:val="24"/>
          <w:szCs w:val="24"/>
          <w:lang w:val="en-US" w:eastAsia="zh-CN"/>
        </w:rPr>
        <w:t>1.以上表中报价为完成该项目发生的所有费用、成本、利润总和，且已含在报价中，采购人不再支付任何费用。</w:t>
      </w:r>
    </w:p>
    <w:p w14:paraId="3E669BBB">
      <w:pPr>
        <w:keepNext w:val="0"/>
        <w:keepLines w:val="0"/>
        <w:pageBreakBefore w:val="0"/>
        <w:widowControl w:val="0"/>
        <w:kinsoku/>
        <w:wordWrap/>
        <w:overflowPunct/>
        <w:topLinePunct w:val="0"/>
        <w:autoSpaceDE/>
        <w:autoSpaceDN/>
        <w:bidi w:val="0"/>
        <w:adjustRightInd/>
        <w:snapToGrid/>
        <w:spacing w:line="440" w:lineRule="exact"/>
        <w:ind w:left="-200" w:firstLine="524" w:firstLineChars="200"/>
        <w:textAlignment w:val="auto"/>
        <w:rPr>
          <w:rFonts w:hint="eastAsia" w:ascii="仿宋" w:hAnsi="仿宋" w:eastAsia="仿宋" w:cs="仿宋"/>
          <w:spacing w:val="11"/>
          <w:sz w:val="24"/>
          <w:szCs w:val="24"/>
          <w:lang w:val="en-US" w:eastAsia="zh-CN"/>
        </w:rPr>
      </w:pPr>
      <w:r>
        <w:rPr>
          <w:rFonts w:hint="eastAsia" w:ascii="仿宋" w:hAnsi="仿宋" w:eastAsia="仿宋" w:cs="仿宋"/>
          <w:spacing w:val="11"/>
          <w:sz w:val="24"/>
          <w:szCs w:val="24"/>
          <w:lang w:val="en-US" w:eastAsia="zh-CN"/>
        </w:rPr>
        <w:t>2.投标方案及报价，已充分考虑了本项目的特殊性、作业限制性及现场可能存在的所有现场风险，涵盖了本项目已明确或未明确但关联伴随服务的全部内容，无漏项、缺项，后续不因未踏勘、未核实现场信息、现场细节及其他问题提出调价、索赔和任何异议。</w:t>
      </w:r>
    </w:p>
    <w:p w14:paraId="79040C61">
      <w:pPr>
        <w:keepNext w:val="0"/>
        <w:keepLines w:val="0"/>
        <w:pageBreakBefore w:val="0"/>
        <w:widowControl w:val="0"/>
        <w:kinsoku/>
        <w:wordWrap/>
        <w:overflowPunct/>
        <w:topLinePunct w:val="0"/>
        <w:autoSpaceDE/>
        <w:autoSpaceDN/>
        <w:bidi w:val="0"/>
        <w:adjustRightInd/>
        <w:snapToGrid/>
        <w:spacing w:line="440" w:lineRule="exact"/>
        <w:ind w:left="-200" w:firstLine="524" w:firstLineChars="200"/>
        <w:textAlignment w:val="auto"/>
        <w:rPr>
          <w:rFonts w:hint="eastAsia" w:ascii="仿宋" w:hAnsi="仿宋" w:eastAsia="仿宋" w:cs="仿宋"/>
          <w:spacing w:val="11"/>
          <w:sz w:val="24"/>
          <w:szCs w:val="24"/>
          <w:lang w:val="en-US" w:eastAsia="zh-CN"/>
        </w:rPr>
      </w:pPr>
      <w:r>
        <w:rPr>
          <w:rFonts w:hint="eastAsia" w:ascii="仿宋" w:hAnsi="仿宋" w:eastAsia="仿宋" w:cs="仿宋"/>
          <w:spacing w:val="11"/>
          <w:sz w:val="24"/>
          <w:szCs w:val="24"/>
          <w:lang w:val="en-US" w:eastAsia="zh-CN"/>
        </w:rPr>
        <w:t>3.对采购信息的误读、理解偏差、政策了解不全等原因造成的后果，将按照对采购人有利的方法进行处理，不利后果由我单位自行承担。</w:t>
      </w:r>
    </w:p>
    <w:p w14:paraId="386434BB">
      <w:pPr>
        <w:keepNext w:val="0"/>
        <w:keepLines w:val="0"/>
        <w:pageBreakBefore w:val="0"/>
        <w:widowControl w:val="0"/>
        <w:kinsoku/>
        <w:wordWrap/>
        <w:overflowPunct/>
        <w:topLinePunct w:val="0"/>
        <w:autoSpaceDE/>
        <w:autoSpaceDN/>
        <w:bidi w:val="0"/>
        <w:adjustRightInd/>
        <w:snapToGrid/>
        <w:spacing w:line="440" w:lineRule="exact"/>
        <w:ind w:left="-200" w:firstLine="524" w:firstLineChars="200"/>
        <w:textAlignment w:val="auto"/>
        <w:rPr>
          <w:rFonts w:hint="eastAsia" w:ascii="仿宋" w:hAnsi="仿宋" w:eastAsia="仿宋" w:cs="仿宋"/>
          <w:spacing w:val="11"/>
          <w:sz w:val="24"/>
          <w:szCs w:val="24"/>
        </w:rPr>
      </w:pPr>
      <w:r>
        <w:rPr>
          <w:rFonts w:hint="eastAsia" w:ascii="仿宋" w:hAnsi="仿宋" w:eastAsia="仿宋" w:cs="仿宋"/>
          <w:spacing w:val="11"/>
          <w:sz w:val="24"/>
          <w:szCs w:val="24"/>
          <w:lang w:val="en-US" w:eastAsia="zh-CN"/>
        </w:rPr>
        <w:t>4.我方对报价的一致性、准确性、合法性、合理性、完整性等负全责。</w:t>
      </w:r>
    </w:p>
    <w:p w14:paraId="2FD213B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pacing w:val="11"/>
          <w:sz w:val="24"/>
          <w:szCs w:val="24"/>
          <w:lang w:eastAsia="zh-CN"/>
        </w:rPr>
      </w:pPr>
    </w:p>
    <w:p w14:paraId="4B28B2A0">
      <w:pPr>
        <w:keepNext w:val="0"/>
        <w:keepLines w:val="0"/>
        <w:pageBreakBefore w:val="0"/>
        <w:widowControl w:val="0"/>
        <w:kinsoku/>
        <w:wordWrap/>
        <w:overflowPunct/>
        <w:topLinePunct w:val="0"/>
        <w:autoSpaceDE w:val="0"/>
        <w:autoSpaceDN w:val="0"/>
        <w:bidi w:val="0"/>
        <w:adjustRightInd w:val="0"/>
        <w:snapToGrid w:val="0"/>
        <w:spacing w:line="560" w:lineRule="exact"/>
        <w:jc w:val="center"/>
        <w:textAlignment w:val="auto"/>
        <w:rPr>
          <w:rFonts w:hint="eastAsia" w:ascii="仿宋" w:hAnsi="仿宋" w:eastAsia="仿宋" w:cs="仿宋"/>
          <w:sz w:val="24"/>
          <w:szCs w:val="24"/>
          <w:lang w:val="zh-CN" w:eastAsia="zh-CN"/>
        </w:rPr>
      </w:pPr>
      <w:r>
        <w:rPr>
          <w:rFonts w:hint="eastAsia" w:ascii="仿宋" w:hAnsi="仿宋" w:eastAsia="仿宋" w:cs="仿宋"/>
          <w:sz w:val="24"/>
          <w:szCs w:val="24"/>
          <w:lang w:val="en-US" w:eastAsia="zh-CN"/>
        </w:rPr>
        <w:t xml:space="preserve">供应商名称(签章)：{供应商名称}  </w:t>
      </w:r>
    </w:p>
    <w:p w14:paraId="5028891B">
      <w:pPr>
        <w:keepNext w:val="0"/>
        <w:keepLines w:val="0"/>
        <w:pageBreakBefore w:val="0"/>
        <w:widowControl w:val="0"/>
        <w:kinsoku/>
        <w:wordWrap/>
        <w:overflowPunct/>
        <w:topLinePunct w:val="0"/>
        <w:autoSpaceDE w:val="0"/>
        <w:autoSpaceDN w:val="0"/>
        <w:bidi w:val="0"/>
        <w:adjustRightInd w:val="0"/>
        <w:snapToGrid w:val="0"/>
        <w:spacing w:line="560" w:lineRule="exact"/>
        <w:ind w:firstLine="3600" w:firstLineChars="15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时  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5F39B3"/>
    <w:rsid w:val="1D9C4722"/>
    <w:rsid w:val="565F39B3"/>
    <w:rsid w:val="68A14FDC"/>
    <w:rsid w:val="6A8E61F0"/>
    <w:rsid w:val="6B1A6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8"/>
      <w:szCs w:val="22"/>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jc w:val="center"/>
    </w:pPr>
    <w:rPr>
      <w:szCs w:val="20"/>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726</Words>
  <Characters>742</Characters>
  <Lines>0</Lines>
  <Paragraphs>0</Paragraphs>
  <TotalTime>0</TotalTime>
  <ScaleCrop>false</ScaleCrop>
  <LinksUpToDate>false</LinksUpToDate>
  <CharactersWithSpaces>780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2026-05-11T05:41:00Z</dcterms:created>
  <dc:creator>左左</dc:creator>
  <cp:lastModifiedBy>左左</cp:lastModifiedBy>
  <dcterms:modified xsi:type="dcterms:W3CDTF">2026-05-12T03:41:30Z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1CDA0A158EB245D1AAA86ADA3889426C_11</vt:lpwstr>
  </property>
  <property fmtid="{D5CDD505-2E9C-101B-9397-08002B2CF9AE}" pid="4" name="KSOTemplateDocerSaveRecord">
    <vt:lpwstr>eyJoZGlkIjoiYjgzZjBlMWFiY2UyYjQ1NWYwYWI5MjNkODI5ZDljOGYiLCJ1c2VySWQiOiI1NzY5ODc4MzkifQ==</vt:lpwstr>
  </property>
</Properties>
</file>