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92C18">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一、采购需求</w:t>
      </w:r>
      <w:bookmarkStart w:id="0" w:name="_GoBack"/>
      <w:bookmarkEnd w:id="0"/>
    </w:p>
    <w:p w14:paraId="36953F9A">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（一）总体服务目标</w:t>
      </w:r>
    </w:p>
    <w:p w14:paraId="56F7A9EA">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 建立审计项目库。紧扣“十五五”规划相关目标任务，按照筹划一批、储备一批、实施一批、完结一批“四个一批”模式对审计项目实施闭环管理。持续动态跟踪“十五五”规划任务审计覆盖进度，项目完结后可开展审计项目后评估，与规划目标逐项对标校核，确保各项重大部署落地见效、中心任务有序推进。</w:t>
      </w:r>
    </w:p>
    <w:p w14:paraId="17EA7CE8">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 建立审计典型案例库。运用AI技术深度拆解历年审计报告，系统梳理同类问题表现形式、定性口径、处理依据、整改落实情况，实行标准化标签化管理。开展问题研判时，可横向比对同类案例，智能匹配最新法规条文，为问题精准定性、深度分析提供坚实支撑。起草审计建议过程中，可纵向比对历史审计问题与既往审计建议，保障同类审计事项建议口径统一、有效衔接，保持工作延续性；充分吸纳各类前沿研究成果，积极借鉴体制机制改革相关思路举措；同步与现行法律法规开展交叉校验，确保所有建议有法有据、严谨规范。</w:t>
      </w:r>
    </w:p>
    <w:p w14:paraId="596B612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 建立法规资料库。依托全省政府网站集约化体系，自动汇聚各级政府在网站上发布的政策原文及配套解读资料；本地化部署法规智库，实现权威法规资源动态更新，可直接在“秦政通”完成法律条款、效力认定、历史沿革、新旧条文比对等内容展示。</w:t>
      </w:r>
    </w:p>
    <w:p w14:paraId="43E21FC0">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 建立行业（区域）风险分析库。对平台归集的审计成果自动归集各区域、各部门、各行业历年审计发现问题、涉及数量、资金规模等要素。依托人工智能技术对长周期审计数据开展智能研判，自动梳理一段时期内凸显的重大风险、共性问题、典型突出隐患，形成初步风险解读结论，为审计项目统筹安排、重点方向选取提供前瞻性参考。</w:t>
      </w:r>
    </w:p>
    <w:p w14:paraId="7CACB532">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（二）采购内容</w:t>
      </w:r>
    </w:p>
    <w:p w14:paraId="66766503">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本项目统一采购研究型审计知识治理平台建设及运营服务、数据治理服务、智算平台租赁服务三大类服务。</w:t>
      </w:r>
    </w:p>
    <w:p w14:paraId="1A7C115B">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 研究型审计知识治理平台建设及运营服务：提供研究型审计知识治理平台1年期建设及运营服务，涵盖法规资料库、审计风险库、审计案例库、审计项目库四大知识库模块及智能检索、智能问答、个人中心、工作台、系统对接等功能模块，实现审计知识归集、治理、检索、问答等全流程智能应用。</w:t>
      </w:r>
    </w:p>
    <w:p w14:paraId="3EDEFF57">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 数据治理服务：提供五大类审计知识资源的数据治理服务，包括数据分类标准体系构建、历史数据归集梳理与标准化治理、数据审核与质量管控、数据关联匹配与应用、数据动态更新与长效运营等。</w:t>
      </w:r>
    </w:p>
    <w:p w14:paraId="7A5A0049">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 智算平台租赁服务：提供1台16卡、64G/卡显存智算平台1年期租赁服务，满足审计模型运算、数据智能加工、文档智能处理、数据清洗、风险分析等算力需求。</w:t>
      </w:r>
    </w:p>
    <w:p w14:paraId="2E12EE8E">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二、服务内容与技术要求</w:t>
      </w:r>
    </w:p>
    <w:p w14:paraId="2FE3568E">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（一）研究型审计知识治理平台建设及运营服务</w:t>
      </w:r>
    </w:p>
    <w:p w14:paraId="028B1C65">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 知识治理平台建设内容</w:t>
      </w:r>
    </w:p>
    <w:p w14:paraId="48D6C1BF">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审计项目库。项目任务分解与溯源、审计对象底数与基础资料库管理、项目标签类型与计划条件管理、项目计划申报保存提交与审核、项目查询统计与计划覆盖分析、审计项目计划评估与评分、项目重复识别与冲突提示、项目计划与成果风险库关联评估。实现审计项目计划全流程管理、任务分解与溯源、项目计划智能评分与重复审计标识，支持审计项目库与审计成果库双库联动评估。</w:t>
      </w:r>
    </w:p>
    <w:p w14:paraId="5846D23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法规资料库。法规数据标准与字典配置管理、法规批量采集导入与结构化入库、法规版本条文及附件管理。实现审计相关法律法规数据标准的统一配置、法规批量归集与结构化入库，支持法规历史版本管理与时效性追溯，并在秦政通平台部署法规查询应用模块。</w:t>
      </w:r>
    </w:p>
    <w:p w14:paraId="5EA00407">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审计案例库。案例数据标准与分类配置管理、案例录入批量导入与智能分析、案例全链路关联收藏与溯源、审计案例多维统计与分析。实现审计典型案例数据的标准化管理、案例智能提炼与归集、案例全链路关联溯源，支持审计案例多维统计与分析。</w:t>
      </w:r>
    </w:p>
    <w:p w14:paraId="5EA9FFAE">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审计风险库。风险问题标准字段与字典配置、基于审计问题的风险智能抽取与归集、风险画像区域热力图与预警研判、风险问题多维统计与分析。实现审计风险数据的标准化管理、风险智能识别与归集、风险画像刻画与预警研判，支持审计风险多维统计与分析。</w:t>
      </w:r>
    </w:p>
    <w:p w14:paraId="2A64E14F">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智能检索。统一检索多库结果聚合与分面、全文向量与重排模型检索、检索权限租户隔离与安全控制、统一知识台账引用与原文下载。实现四大知识库跨库知识关联映射与多维度智能检索，支持检索权限分级管控与全库台账、汇编材料自动生成。</w:t>
      </w:r>
    </w:p>
    <w:p w14:paraId="353A75B5">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智能问答。多源文件接入解析与知识文档同步、文本切分向量化与索引构建、智能体平台检索增强问答（RAG）、智能体配置角色授权与参数测试。实现多源知识数据接入与预处理、文本分块与向量化处理、基于检索增强生成的智能问答，支持智能体配置管理，与审计业务场景深度适配。</w:t>
      </w:r>
    </w:p>
    <w:p w14:paraId="2E5349D5">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个人中心。积分账户积分明细与贡献排行、个人上传记录与成果草稿管理、法规纠错风险反馈与处理记录、个人待审核事项审批与业务详情。支持审计人员个人积分管理、知识资料自主上传、纠错反馈与审核管理。</w:t>
      </w:r>
    </w:p>
    <w:p w14:paraId="3798FDAB">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（8）工作台。首页工作台与决策看板统计。提供平台首页总览看板，集中展示知识治理进度、平台运行与使用情况。</w:t>
      </w:r>
    </w:p>
    <w:p w14:paraId="1AE9431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（9）系统对接。审计统一组织用户认证对接、法规接口定向采集对接、政策文件接口定向采集对接。实现知识治理平台与法规智库等系统的互通对接及定向数据采集。</w:t>
      </w:r>
    </w:p>
    <w:p w14:paraId="0C1C59FD">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 性能要求</w:t>
      </w:r>
    </w:p>
    <w:p w14:paraId="67FE0DC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平台覆盖知识标准体系搭建、历史知识治理、知识审核质控、知识关联应用、动态运营更新、AI智算推理等全场景，支持多终端浏览器访问，知识检索、AI问答简单快捷。系统有效运行时间≥99%；采用集群部署，支持智算算力弹性调度，单节点软硬件故障不影响其余节点运行，核心知识服务、AI推理服务不中断。</w:t>
      </w:r>
    </w:p>
    <w:p w14:paraId="49A507C2">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（1）用户与并发要求。最大注册用户500人，最大在线用户250人，最大并发50次/秒，可同时承载知识体系编辑、知识审核质控、知识检索查询等业务并发访问。</w:t>
      </w:r>
    </w:p>
    <w:p w14:paraId="0769B9E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核心业务性能要求。界面基础操作（目录切换、详情查看、分类浏览、会话切换等）：响应时间≤3秒；简单问答与精确检索（关键词检索、元数据查询、审核任务单查看、常见制度问答、单轮事实型问答）：响应时间≤8秒；场景化应答：根据用户身份、业务场景、问题类型自动匹配回答模板或知识范围，场景识别与应答启动时间≤8秒；复杂查询与关联问答（跨库关联检索、多条件组合过滤、知识图谱关联分析、多维度关联匹配、多轮追问与上下文继承）：响应时间≤20秒；AI问答流式输出，首字/首段响应时间≤10秒；普通输出生成≤8秒，复杂分析报告生成≤180秒，超长报告异步生成并通知用户；AI回答优先基于平台知识库生成，标注引用来源、知识版本和置信度，引用溯源信息加载≤8秒；15并发条件下，AI问答首字响应≤20秒，普通知识检索≤25秒。</w:t>
      </w:r>
    </w:p>
    <w:p w14:paraId="550BAB13">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可靠性、安全合规与值守要求。数据系统、有线通信系统可靠性均≥99%；满足7×24小时值守，可快速处置系统、业务异常事件；AI任务具备故障重试、任务队列、断点续传机制，单节点AI智算服务故障时异步治理任务自动调度转移，不影响在线核心知识业务；全平台操作、AI加工任务、知识治理全过程日志留痕，满足审计业务安全保密、合规管理要求。</w:t>
      </w:r>
    </w:p>
    <w:p w14:paraId="7F4B1E54">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（二）数据治理服务</w:t>
      </w:r>
    </w:p>
    <w:p w14:paraId="7001214B">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 知识分类标准体系构建支撑</w:t>
      </w:r>
    </w:p>
    <w:p w14:paraId="599ADAC5">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按照风险事项、审计成果、项目计划、典型案例、法律法规五大类别，协助业务处室建立统一的数据分类标签框架、要素规范、归集标准、加工规则和质量要求，协助制定各类数据的归集范围、结构要素、审核要点、更新机制、管理流程，协助编制《审计成果数据分类标准》《研究型审计数据治理工作手册》《审计成果质量审核细则》等制度性成果。</w:t>
      </w:r>
    </w:p>
    <w:p w14:paraId="46431D1F">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 历史数据归集梳理与标准化治理支撑</w:t>
      </w:r>
    </w:p>
    <w:p w14:paraId="54D2A194">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协助业务处室根据需要对历史存量项目计划、审计成果、典型案例、风险事项、法律法规开展全面收集、清点核对、分类整理、去重规范，按照统一标准完成资料整理、内容校核、格式规范、多维度分类标注，形成结构清晰、要素完整、口径统一的标准化知识成果，建立知识台账，实现可查询、可追溯、可核对、可复用能力。</w:t>
      </w:r>
    </w:p>
    <w:p w14:paraId="2ABCD46E">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 知识专业审核与质量管控支撑</w:t>
      </w:r>
    </w:p>
    <w:p w14:paraId="74C0E692">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协助业务处室对五大类知识成果开展全面专业审核、交叉复核、质量校验，确保内容真实、定性准确、要素齐全、合规有效；重点审核项目计划规范性、审计成果完整性、典型案例代表性、风险事项预测准确性、法律法规时效性；建立质量问题台账，实行整改、复核、确认闭环管理，形成质量审核报告。</w:t>
      </w:r>
    </w:p>
    <w:p w14:paraId="376CCFB0">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 知识关联匹配与应用支撑</w:t>
      </w:r>
    </w:p>
    <w:p w14:paraId="786B94A7">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建立五大类知识之间的关联关系：项目计划与审计成果关联、典型案例与法律法规支撑、典型案例与风险点映射、审计成果与法律法规支撑、项目计划与风险事项预警，实现跨库知识互联与场景复用；围绕财政审计、经济责任审计、投资审计、民生审计、资源环境审计、企业审计等领域，形成审计成果应用场景清单与复用指引；提供知识检索指导、场景匹配、经验提炼、应用辅助等支撑服务，助力审计实施、成果提炼、风险预警。</w:t>
      </w:r>
    </w:p>
    <w:p w14:paraId="64B828BA">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 知识动态更新与长效运营支撑</w:t>
      </w:r>
    </w:p>
    <w:p w14:paraId="7ECC0683">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包括但不限于协助业务处室对新增项目计划、审计成果、典型案例、风险事项、法律法规及时归集、规范加工、整理入库，确保知识资源动态更新、持续完善；协助业务处室定期开展存量知识复核、修订、清理、归档，对失效法规、过时信息、已整改风险进行规范处理；提供日常咨询、使用指导、优化建议、统计分析等运营支撑服务。</w:t>
      </w:r>
    </w:p>
    <w:p w14:paraId="23EBE043">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 培训指导与成果交付</w:t>
      </w:r>
    </w:p>
    <w:p w14:paraId="786887CC">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协助业务处室开展知识分类、规范使用、检索查询、成果复用等专题培训，提升审计人员知识运用能力；交付全套成果：知识标准体系、治理成果汇编、分类台账、质量审核报告、应用指引、培训材料、项目总结报告。</w:t>
      </w:r>
    </w:p>
    <w:p w14:paraId="4F659044">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 安全保密与合规管理</w:t>
      </w:r>
    </w:p>
    <w:p w14:paraId="1625495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严格遵守保密法律法规及审计工作秘密管理规定，全程落实安全保密要求；所有资料仅限本项目使用，不得泄露、传播、复制、留存或挪作他用；服务结束后按要求完整移交全部资料与成果，按规定销毁工作副本及临时资料；本项目全部审计数据、知识资源及衍生成果须在采购人指定的网络与数据管理域内完成采集、存储、加工、使用，严禁以任何方式使数据脱离采购人管理域；供应商保密义务不因合同履行完毕或终止而免除，自合同终止之日起延续不少于5年，涉及国家秘密的按国家有关规定执行。</w:t>
      </w:r>
    </w:p>
    <w:p w14:paraId="6E33F95A">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（三）智算平台租赁服务</w:t>
      </w:r>
    </w:p>
    <w:p w14:paraId="4889D577">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提供1台16卡、64G/卡显存的智算平台1年期租赁服务，满足审计模型运算、大数据分析、知识智能加工、文档智能处理、数据清洗、疑点分析等算力需求。</w:t>
      </w:r>
    </w:p>
    <w:p w14:paraId="7944075B">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算力支持行业主流模型的部署，包含：主推理模型、意图分拣和结果数据质检模型、知识库构建和质检程序相似度计算模型、知识问题重排序模型、文档治理模型等。</w:t>
      </w:r>
    </w:p>
    <w:p w14:paraId="2EDA1CF5">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大语言模型性能要求在16路并发下，当输入长度32K，输出8K的情况下，首Token响应时间小于5秒，平均输出稳定在50Token/秒；当输入长度128K，输出8K的情况下，首Token响应时间小于20秒，平均输出稳定在50Token/秒。</w:t>
      </w:r>
    </w:p>
    <w:p w14:paraId="3B9F46EF">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平台运行环境、算力调度、日常运维、迭代优化、安全加固、日志审计、故障处置。保障平台稳定运行、数据安全、权限管控、操作留痕、合规使用，并提供必要的操作指导、使用培训、技术支撑，确保与审计业务场景深度适配。</w:t>
      </w:r>
    </w:p>
    <w:p w14:paraId="111FD92A">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（四）服务交付成果</w:t>
      </w:r>
    </w:p>
    <w:p w14:paraId="46261CA9">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 平台交付类成果：研究型审计治理平台部署与配置文档，功能模块交付清单，平台操作手册与使用说明，系统对接方案与实施记录。</w:t>
      </w:r>
    </w:p>
    <w:p w14:paraId="5934D4BB">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 制度规范类成果：法规、问题等知识治理工作手册与操作指引，知识质量审核与安全管理相关制度。</w:t>
      </w:r>
    </w:p>
    <w:p w14:paraId="2998810F">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 知识治理类成果：审计项目库治理成果及目录台账，审计成果库治理成果及目录台账，典型案例库治理成果及目录台账，审计风险库治理成果及目录台账，法规资料库治理成果及目录台账，其他专项库治理成果及目录台账。</w:t>
      </w:r>
    </w:p>
    <w:p w14:paraId="15458027">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 质量管控类成果：知识治理质量审核报告，质量问题台账及整改闭环记录，知识治理全过程工作记录。</w:t>
      </w:r>
    </w:p>
    <w:p w14:paraId="75464EE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 应用支撑类成果：知识关联匹配清单与应用指引，知识检索与复用指导材料，分领域业务应用参考材料。</w:t>
      </w:r>
    </w:p>
    <w:p w14:paraId="658A8811">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 台账报表类成果：季度知识更新与维护台账，年度质量检查与整改汇总表，年度知识治理总台账与总结报告，咨询服务、问题处置、安全检查记录。</w:t>
      </w:r>
    </w:p>
    <w:p w14:paraId="44BD1B03">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 培训与总结类成果：培训方案、课件、签到表、培训记录，项目阶段性总结与年度总结报告，服务运行分析与改进建议材料。</w:t>
      </w:r>
    </w:p>
    <w:p w14:paraId="11C6219C">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 终验移交类成果：服务期内全部治理成果电子版数据包，成果移交清单、数据交接确认表，数据导出清单、数据清除记录及数据导出与清除确认书。</w:t>
      </w:r>
    </w:p>
    <w:p w14:paraId="5F3C30CD">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、服务要求</w:t>
      </w:r>
    </w:p>
    <w:p w14:paraId="615AAF82">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总体服务要求。严格遵循审计工作规律、机关管理规范与采购人各项制度要求，提供专业、高效、严谨、规范的服务；服务流程清晰、责任明确、响应及时、质量可靠，确保各项工作按时、保质、保量完成；坚持标准化、规范化、专业化原则，确保成果可使用、可核查、可落地、可长效运行。</w:t>
      </w:r>
    </w:p>
    <w:p w14:paraId="70325F89">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安全保密与合规要求。严格遵守《中华人民共和国保守国家秘密法》及审计机关工作秘密管理规定，全程安全可控、保密到位；所有资料仅限本项目使用，不得泄露、复制、传播、留存、带出、转借或用于其他用途；实行过程留痕、权限分级管理，关键环节可追溯、可审计；数据与资料所有权归采购人所有，供应商不得设置任何限制、加密或障碍。</w:t>
      </w:r>
    </w:p>
    <w:p w14:paraId="24CBB5C4">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质量与规范性要求。知识归集应归尽归、完整无缺，加工整理规范统一、准确无误，审核校验严格细致、闭环管理；资料格式、文字表述、分类标注、台账结构均符合机关公文与内部管理要求；服务成果内容完整、逻辑清晰、分类科学、查阅便捷、满足实际工作使用需求；服务过程主动沟通、及时反馈、定期汇报、接受监督，确保工作方向不偏离、质量不降低。研究型审计知识治理平台质保期为平台投入运行后不少于3年。</w:t>
      </w:r>
    </w:p>
    <w:p w14:paraId="4D497CF2">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运行保障与响应要求。设立固定项目负责人与专职服务团队，人员稳定、业务熟悉、保障有力、沟通顺畅；提供工作日实时响应，一般事项当日反馈，紧急事项立即处置；定期开展质量自查、资料核对、进度跟踪，主动发现问题并及时整改；服务期间保持连续、稳定、可靠支撑，不推诿、不拖延、不中断服务。</w:t>
      </w:r>
    </w:p>
    <w:p w14:paraId="396310C8">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研究型审计知识治理平台建设及运营服务要求。平台9大功能模块应按采购需求如期部署交付并保持稳定运行，功能、性能满足审计业务使用需要；提供平台运行维护、迭代优化、数据安全、权限管控、操作留痕、日志审计等运营保障服务；平台数据严格在采购人指定网络与数据管理域内运行，不得脱离采购人管理域；提供平台使用指导、操作培训与技术支持。</w:t>
      </w:r>
    </w:p>
    <w:p w14:paraId="39D931E8">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六）智算平台租赁服务要求。平台配置满足审计大数据运算、模型运行、智能处理需求，运行稳定、性能可靠；提供7×24小时运行保障，工作日1小时内响应、非工作日4小时内响应；严格落实数据安全、权限隔离、操作留痕、审计日志，符合政务信息安全与保密管理要求；提供平台使用指导、操作培训、问题处置、运行维护，保障业务顺畅使用。</w:t>
      </w:r>
    </w:p>
    <w:p w14:paraId="715B20B4">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七）知识产权与资产归属。本项目服务过程中，为满足采购人需求形成的数据模型、文档资料及其他服务成果（包括但不限于知识分类标准体系文件、治理成果汇编、分类台账、质量审核报告、应用指引、培训材料、总结报告、过程记录及全部数据成果）的知识产权归采购人所有，供应商不得设置任何使用限制或障碍；本项目采购的研究型审计知识治理平台软件（含平台源码、程序、文档及部署配置）的知识产权及平台相关资产归供应商所有，</w:t>
      </w:r>
      <w:r>
        <w:rPr>
          <w:rFonts w:hint="eastAsia" w:ascii="宋体" w:hAnsi="宋体" w:eastAsia="宋体" w:cs="宋体"/>
          <w:sz w:val="24"/>
          <w:szCs w:val="24"/>
          <w:highlight w:val="none"/>
          <w:lang w:val="en-US" w:eastAsia="zh-CN"/>
        </w:rPr>
        <w:t>采购人享有永久使用权；供应商既有技术成果、通用软件及开源组件涉及的知识产权仍归供应商所有</w:t>
      </w:r>
      <w:r>
        <w:rPr>
          <w:rFonts w:hint="eastAsia" w:ascii="宋体" w:hAnsi="宋体" w:eastAsia="宋体" w:cs="宋体"/>
          <w:sz w:val="24"/>
          <w:szCs w:val="24"/>
          <w:highlight w:val="none"/>
          <w:lang w:eastAsia="zh-CN"/>
        </w:rPr>
        <w:t>；供应商应保证其提供的服务、成果及所使用的第三方软件、开源组件、模型等具有合法来源与合规授权，不侵犯任何第三方知识产权，因知识产权侵权引发纠纷的，由供应商负责处理并承担相应责任；服务期满或合同终止后，采购人可永久保留并使用服务期内形成的全部成果与数据，供应商不得以知识产权为由设置任何使用限制或额外收费。智算平台租赁涉及的软件及硬件资产所有权归供应商所有，采购人在租赁期内享有使用权；若发生退租或合同终止的，资产归属与处置按附件“退租与合同终止处理”约定执行。</w:t>
      </w:r>
    </w:p>
    <w:p w14:paraId="2E71544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八）考核评价。采购人将对研究型审计知识治理服务团队服务质量全程考核，制定相应考核办法，对服务质量长期不达标或不能进行有效整改的，将按标准扣除相关服务费用；对因服务不到位或不遵守厅内规章制度造成数据泄露等严重后果的，将终止合同履行，并追究相关人员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E1271A"/>
    <w:rsid w:val="0BE12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2026-09-21T09:50:00Z</dcterms:created>
  <dc:creator>默.</dc:creator>
  <cp:lastModifiedBy>默.</cp:lastModifiedBy>
  <dcterms:modified xsi:type="dcterms:W3CDTF">2026-09-21T09:51:11Z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0603288C183A4159878F225585B2D16F_11</vt:lpwstr>
  </property>
  <property fmtid="{D5CDD505-2E9C-101B-9397-08002B2CF9AE}" pid="4" name="KSOTemplateDocerSaveRecord">
    <vt:lpwstr>eyJoZGlkIjoiNjNkY2ZhYjhmY2Y3N2I4NmM4N2NjMGUyYzM2ZDYxZWIiLCJ1c2VySWQiOiI0MjU4NjcyNzgifQ==</vt:lpwstr>
  </property>
</Properties>
</file>