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FE5A00">
      <w:pPr>
        <w:pStyle w:val="4"/>
        <w:jc w:val="center"/>
        <w:rPr>
          <w:rFonts w:hint="default" w:ascii="仿宋_GB2312" w:hAnsi="仿宋_GB2312" w:eastAsia="仿宋_GB2312" w:cs="仿宋_GB2312"/>
          <w:lang w:val="en-US" w:eastAsia="zh-CN"/>
        </w:rPr>
      </w:pPr>
      <w:r>
        <w:rPr>
          <w:rFonts w:ascii="仿宋_GB2312" w:hAnsi="仿宋_GB2312" w:eastAsia="仿宋_GB2312" w:cs="仿宋_GB2312"/>
          <w:b/>
          <w:sz w:val="28"/>
        </w:rPr>
        <w:t>曲江第二小学教职工体检政府采购项目</w:t>
      </w:r>
      <w:r>
        <w:rPr>
          <w:rFonts w:hint="eastAsia" w:ascii="仿宋_GB2312" w:hAnsi="仿宋_GB2312" w:eastAsia="仿宋_GB2312" w:cs="仿宋_GB2312"/>
          <w:b/>
          <w:sz w:val="28"/>
          <w:lang w:val="en-US" w:eastAsia="zh-CN"/>
        </w:rPr>
        <w:t>采购需求</w:t>
      </w:r>
    </w:p>
    <w:p w14:paraId="54DAAAE5">
      <w:pPr>
        <w:pStyle w:val="4"/>
        <w:rPr>
          <w:rFonts w:ascii="仿宋_GB2312" w:hAnsi="仿宋_GB2312" w:eastAsia="仿宋_GB2312" w:cs="仿宋_GB2312"/>
          <w:sz w:val="20"/>
        </w:rPr>
      </w:pPr>
    </w:p>
    <w:p w14:paraId="31758A70">
      <w:pPr>
        <w:pStyle w:val="4"/>
      </w:pPr>
      <w:r>
        <w:rPr>
          <w:rFonts w:ascii="仿宋_GB2312" w:hAnsi="仿宋_GB2312" w:eastAsia="仿宋_GB2312" w:cs="仿宋_GB2312"/>
          <w:sz w:val="20"/>
        </w:rPr>
        <w:t>一、项目目标</w:t>
      </w:r>
    </w:p>
    <w:p w14:paraId="364D203C">
      <w:pPr>
        <w:pStyle w:val="4"/>
      </w:pPr>
      <w:r>
        <w:rPr>
          <w:rFonts w:ascii="仿宋_GB2312" w:hAnsi="仿宋_GB2312" w:eastAsia="仿宋_GB2312" w:cs="仿宋_GB2312"/>
          <w:sz w:val="20"/>
        </w:rPr>
        <w:t>1.通过体检做到预防为主，科学管理。大病及早发现，慢病及时治疗，小病积极预防，确保干部员工身心健康。</w:t>
      </w:r>
      <w:bookmarkStart w:id="0" w:name="_GoBack"/>
      <w:bookmarkEnd w:id="0"/>
    </w:p>
    <w:p w14:paraId="760F7EC8">
      <w:pPr>
        <w:pStyle w:val="4"/>
      </w:pPr>
      <w:r>
        <w:rPr>
          <w:rFonts w:ascii="仿宋_GB2312" w:hAnsi="仿宋_GB2312" w:eastAsia="仿宋_GB2312" w:cs="仿宋_GB2312"/>
          <w:sz w:val="20"/>
        </w:rPr>
        <w:t>2.对所有受检人员在体检中所发现的偏离正常范围的查验项目提供相关健康指导的建议。</w:t>
      </w:r>
    </w:p>
    <w:p w14:paraId="60BE2607">
      <w:pPr>
        <w:pStyle w:val="4"/>
      </w:pPr>
      <w:r>
        <w:rPr>
          <w:rFonts w:ascii="仿宋_GB2312" w:hAnsi="仿宋_GB2312" w:eastAsia="仿宋_GB2312" w:cs="仿宋_GB2312"/>
          <w:sz w:val="20"/>
        </w:rPr>
        <w:t>二、服务内容及要求</w:t>
      </w:r>
    </w:p>
    <w:p w14:paraId="4ED17BF8">
      <w:pPr>
        <w:pStyle w:val="4"/>
      </w:pPr>
      <w:r>
        <w:rPr>
          <w:rFonts w:ascii="仿宋_GB2312" w:hAnsi="仿宋_GB2312" w:eastAsia="仿宋_GB2312" w:cs="仿宋_GB2312"/>
          <w:sz w:val="20"/>
        </w:rPr>
        <w:t>1.体检对象：</w:t>
      </w:r>
      <w:r>
        <w:rPr>
          <w:rFonts w:ascii="仿宋_GB2312" w:hAnsi="仿宋_GB2312" w:eastAsia="仿宋_GB2312" w:cs="仿宋_GB2312"/>
          <w:sz w:val="20"/>
          <w:highlight w:val="none"/>
        </w:rPr>
        <w:t>西安市曲江第二小学教职工（具体人数以实际参加体检人数为准）。</w:t>
      </w:r>
    </w:p>
    <w:p w14:paraId="4169BF93">
      <w:pPr>
        <w:pStyle w:val="4"/>
      </w:pPr>
      <w:r>
        <w:rPr>
          <w:rFonts w:ascii="仿宋_GB2312" w:hAnsi="仿宋_GB2312" w:eastAsia="仿宋_GB2312" w:cs="仿宋_GB2312"/>
          <w:sz w:val="20"/>
        </w:rPr>
        <w:t>2.体检时间：合同签订后的4个月内完成全部体检服务，具体体检日期可由采购人与成交供应商协商确定（因职工身体原因，体检期限可适当延长）。</w:t>
      </w:r>
    </w:p>
    <w:p w14:paraId="13807FC4">
      <w:pPr>
        <w:pStyle w:val="4"/>
      </w:pPr>
      <w:r>
        <w:rPr>
          <w:rFonts w:ascii="仿宋_GB2312" w:hAnsi="仿宋_GB2312" w:eastAsia="仿宋_GB2312" w:cs="仿宋_GB2312"/>
          <w:sz w:val="20"/>
        </w:rPr>
        <w:t>3.体检地点：优先考虑交通便利、设施齐全、服务优良的医疗机构。</w:t>
      </w:r>
    </w:p>
    <w:p w14:paraId="57A02FDA">
      <w:pPr>
        <w:pStyle w:val="4"/>
      </w:pPr>
      <w:r>
        <w:rPr>
          <w:rFonts w:ascii="仿宋_GB2312" w:hAnsi="仿宋_GB2312" w:eastAsia="仿宋_GB2312" w:cs="仿宋_GB2312"/>
          <w:sz w:val="20"/>
        </w:rPr>
        <w:t>4.供应商需提供体检免费接送服务，地点为曲江二小至供应商体检机构往返。具体方式由采购人按体检人数批次与成交供应商商定。</w:t>
      </w:r>
    </w:p>
    <w:p w14:paraId="78EB2C47">
      <w:pPr>
        <w:pStyle w:val="4"/>
      </w:pPr>
      <w:r>
        <w:rPr>
          <w:rFonts w:ascii="仿宋_GB2312" w:hAnsi="仿宋_GB2312" w:eastAsia="仿宋_GB2312" w:cs="仿宋_GB2312"/>
          <w:sz w:val="20"/>
        </w:rPr>
        <w:t>5.体检项目：</w:t>
      </w:r>
    </w:p>
    <w:tbl>
      <w:tblPr>
        <w:tblStyle w:val="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2"/>
        <w:gridCol w:w="2003"/>
        <w:gridCol w:w="2422"/>
        <w:gridCol w:w="1012"/>
        <w:gridCol w:w="1012"/>
        <w:gridCol w:w="1012"/>
      </w:tblGrid>
      <w:tr w14:paraId="3E298C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14:paraId="103F3673">
            <w:pPr>
              <w:pStyle w:val="4"/>
              <w:jc w:val="center"/>
            </w:pPr>
            <w:r>
              <w:rPr>
                <w:rFonts w:ascii="仿宋_GB2312" w:hAnsi="仿宋_GB2312" w:eastAsia="仿宋_GB2312" w:cs="仿宋_GB2312"/>
                <w:sz w:val="20"/>
              </w:rPr>
              <w:t>序号</w:t>
            </w:r>
          </w:p>
        </w:tc>
        <w:tc>
          <w:tcPr>
            <w:tcW w:w="1175"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2DAF4466">
            <w:pPr>
              <w:pStyle w:val="4"/>
              <w:jc w:val="center"/>
            </w:pPr>
            <w:r>
              <w:rPr>
                <w:rFonts w:ascii="仿宋_GB2312" w:hAnsi="仿宋_GB2312" w:eastAsia="仿宋_GB2312" w:cs="仿宋_GB2312"/>
                <w:sz w:val="20"/>
              </w:rPr>
              <w:t>项   目</w:t>
            </w:r>
          </w:p>
        </w:tc>
        <w:tc>
          <w:tcPr>
            <w:tcW w:w="1421"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4CFECD9A">
            <w:pPr>
              <w:pStyle w:val="4"/>
              <w:jc w:val="center"/>
            </w:pPr>
            <w:r>
              <w:rPr>
                <w:rFonts w:ascii="仿宋_GB2312" w:hAnsi="仿宋_GB2312" w:eastAsia="仿宋_GB2312" w:cs="仿宋_GB2312"/>
                <w:sz w:val="20"/>
              </w:rPr>
              <w:t>检查意义</w:t>
            </w:r>
          </w:p>
        </w:tc>
        <w:tc>
          <w:tcPr>
            <w:tcW w:w="594"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0B8B708B">
            <w:pPr>
              <w:pStyle w:val="4"/>
              <w:jc w:val="center"/>
            </w:pPr>
            <w:r>
              <w:rPr>
                <w:rFonts w:ascii="仿宋_GB2312" w:hAnsi="仿宋_GB2312" w:eastAsia="仿宋_GB2312" w:cs="仿宋_GB2312"/>
                <w:sz w:val="20"/>
              </w:rPr>
              <w:t>男性</w:t>
            </w:r>
          </w:p>
        </w:tc>
        <w:tc>
          <w:tcPr>
            <w:tcW w:w="594"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4BE46B7F">
            <w:pPr>
              <w:pStyle w:val="4"/>
              <w:jc w:val="center"/>
            </w:pPr>
            <w:r>
              <w:rPr>
                <w:rFonts w:ascii="仿宋_GB2312" w:hAnsi="仿宋_GB2312" w:eastAsia="仿宋_GB2312" w:cs="仿宋_GB2312"/>
                <w:sz w:val="20"/>
              </w:rPr>
              <w:t>已婚</w:t>
            </w:r>
          </w:p>
          <w:p w14:paraId="453C768C">
            <w:pPr>
              <w:pStyle w:val="4"/>
              <w:jc w:val="center"/>
            </w:pPr>
            <w:r>
              <w:rPr>
                <w:rFonts w:ascii="仿宋_GB2312" w:hAnsi="仿宋_GB2312" w:eastAsia="仿宋_GB2312" w:cs="仿宋_GB2312"/>
                <w:sz w:val="20"/>
              </w:rPr>
              <w:t>女性</w:t>
            </w:r>
          </w:p>
        </w:tc>
        <w:tc>
          <w:tcPr>
            <w:tcW w:w="594"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037D6E1C">
            <w:pPr>
              <w:pStyle w:val="4"/>
              <w:jc w:val="center"/>
            </w:pPr>
            <w:r>
              <w:rPr>
                <w:rFonts w:ascii="仿宋_GB2312" w:hAnsi="仿宋_GB2312" w:eastAsia="仿宋_GB2312" w:cs="仿宋_GB2312"/>
                <w:color w:val="000000"/>
                <w:sz w:val="20"/>
              </w:rPr>
              <w:t xml:space="preserve">未婚女性  </w:t>
            </w:r>
          </w:p>
        </w:tc>
      </w:tr>
      <w:tr w14:paraId="29A86A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E062DE4">
            <w:pPr>
              <w:pStyle w:val="4"/>
              <w:jc w:val="center"/>
            </w:pPr>
            <w:r>
              <w:rPr>
                <w:rFonts w:ascii="仿宋_GB2312" w:hAnsi="仿宋_GB2312" w:eastAsia="仿宋_GB2312" w:cs="仿宋_GB2312"/>
                <w:sz w:val="20"/>
              </w:rPr>
              <w:t>1</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44616A5B">
            <w:pPr>
              <w:pStyle w:val="4"/>
              <w:jc w:val="left"/>
            </w:pPr>
            <w:r>
              <w:rPr>
                <w:rFonts w:ascii="仿宋_GB2312" w:hAnsi="仿宋_GB2312" w:eastAsia="仿宋_GB2312" w:cs="仿宋_GB2312"/>
                <w:sz w:val="20"/>
              </w:rPr>
              <w:t>内科</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30186646">
            <w:pPr>
              <w:pStyle w:val="4"/>
              <w:jc w:val="left"/>
            </w:pPr>
            <w:r>
              <w:rPr>
                <w:rFonts w:ascii="仿宋_GB2312" w:hAnsi="仿宋_GB2312" w:eastAsia="仿宋_GB2312" w:cs="仿宋_GB2312"/>
                <w:sz w:val="20"/>
              </w:rPr>
              <w:t>对全身一般情况的筛查及评估</w:t>
            </w:r>
          </w:p>
        </w:tc>
        <w:tc>
          <w:tcPr>
            <w:tcW w:w="594" w:type="pct"/>
            <w:vMerge w:val="restart"/>
            <w:tcBorders>
              <w:top w:val="nil"/>
              <w:left w:val="nil"/>
              <w:bottom w:val="nil"/>
              <w:right w:val="single" w:color="000000" w:sz="4" w:space="0"/>
            </w:tcBorders>
            <w:tcMar>
              <w:top w:w="0" w:type="dxa"/>
              <w:left w:w="105" w:type="dxa"/>
              <w:bottom w:w="0" w:type="dxa"/>
              <w:right w:w="105" w:type="dxa"/>
            </w:tcMar>
          </w:tcPr>
          <w:p w14:paraId="54AB95D6">
            <w:pPr>
              <w:pStyle w:val="4"/>
              <w:jc w:val="center"/>
            </w:pPr>
          </w:p>
        </w:tc>
        <w:tc>
          <w:tcPr>
            <w:tcW w:w="594" w:type="pct"/>
            <w:vMerge w:val="restart"/>
            <w:tcBorders>
              <w:top w:val="nil"/>
              <w:left w:val="nil"/>
              <w:bottom w:val="nil"/>
              <w:right w:val="single" w:color="000000" w:sz="4" w:space="0"/>
            </w:tcBorders>
            <w:tcMar>
              <w:top w:w="0" w:type="dxa"/>
              <w:left w:w="105" w:type="dxa"/>
              <w:bottom w:w="0" w:type="dxa"/>
              <w:right w:w="105" w:type="dxa"/>
            </w:tcMar>
          </w:tcPr>
          <w:p w14:paraId="1D1F639F"/>
        </w:tc>
        <w:tc>
          <w:tcPr>
            <w:tcW w:w="594" w:type="pct"/>
            <w:vMerge w:val="restart"/>
            <w:tcBorders>
              <w:top w:val="nil"/>
              <w:left w:val="nil"/>
              <w:bottom w:val="nil"/>
              <w:right w:val="single" w:color="000000" w:sz="4" w:space="0"/>
            </w:tcBorders>
            <w:tcMar>
              <w:top w:w="0" w:type="dxa"/>
              <w:left w:w="105" w:type="dxa"/>
              <w:bottom w:w="0" w:type="dxa"/>
              <w:right w:w="105" w:type="dxa"/>
            </w:tcMar>
          </w:tcPr>
          <w:p w14:paraId="02A563AC"/>
        </w:tc>
      </w:tr>
      <w:tr w14:paraId="1B7865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EE003DD">
            <w:pPr>
              <w:pStyle w:val="4"/>
              <w:jc w:val="center"/>
            </w:pPr>
            <w:r>
              <w:rPr>
                <w:rFonts w:ascii="仿宋_GB2312" w:hAnsi="仿宋_GB2312" w:eastAsia="仿宋_GB2312" w:cs="仿宋_GB2312"/>
                <w:sz w:val="20"/>
              </w:rPr>
              <w:t>2</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2F35A323">
            <w:pPr>
              <w:pStyle w:val="4"/>
              <w:jc w:val="left"/>
            </w:pPr>
            <w:r>
              <w:rPr>
                <w:rFonts w:ascii="仿宋_GB2312" w:hAnsi="仿宋_GB2312" w:eastAsia="仿宋_GB2312" w:cs="仿宋_GB2312"/>
                <w:sz w:val="20"/>
              </w:rPr>
              <w:t>外科</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2F53B687">
            <w:pPr>
              <w:pStyle w:val="4"/>
              <w:jc w:val="left"/>
            </w:pPr>
            <w:r>
              <w:rPr>
                <w:rFonts w:ascii="仿宋_GB2312" w:hAnsi="仿宋_GB2312" w:eastAsia="仿宋_GB2312" w:cs="仿宋_GB2312"/>
                <w:sz w:val="20"/>
              </w:rPr>
              <w:t>重点检查身高、体重、甲状腺、淋巴结、脊柱、四肢、骨关节，并对所查结果提出预防及治疗意见</w:t>
            </w:r>
          </w:p>
        </w:tc>
        <w:tc>
          <w:tcPr>
            <w:tcW w:w="594" w:type="pct"/>
            <w:vMerge w:val="continue"/>
            <w:tcBorders>
              <w:top w:val="nil"/>
              <w:left w:val="nil"/>
              <w:bottom w:val="nil"/>
              <w:right w:val="single" w:color="000000" w:sz="4" w:space="0"/>
            </w:tcBorders>
          </w:tcPr>
          <w:p w14:paraId="35262CB7"/>
        </w:tc>
        <w:tc>
          <w:tcPr>
            <w:tcW w:w="594" w:type="pct"/>
            <w:vMerge w:val="continue"/>
            <w:tcBorders>
              <w:top w:val="nil"/>
              <w:left w:val="nil"/>
              <w:bottom w:val="nil"/>
              <w:right w:val="single" w:color="000000" w:sz="4" w:space="0"/>
            </w:tcBorders>
          </w:tcPr>
          <w:p w14:paraId="64668CE9"/>
        </w:tc>
        <w:tc>
          <w:tcPr>
            <w:tcW w:w="594" w:type="pct"/>
            <w:vMerge w:val="continue"/>
            <w:tcBorders>
              <w:top w:val="nil"/>
              <w:left w:val="nil"/>
              <w:bottom w:val="nil"/>
              <w:right w:val="single" w:color="000000" w:sz="4" w:space="0"/>
            </w:tcBorders>
          </w:tcPr>
          <w:p w14:paraId="7FB55105"/>
        </w:tc>
      </w:tr>
      <w:tr w14:paraId="3DA415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F636E5F">
            <w:pPr>
              <w:pStyle w:val="4"/>
              <w:jc w:val="center"/>
            </w:pPr>
            <w:r>
              <w:rPr>
                <w:rFonts w:ascii="仿宋_GB2312" w:hAnsi="仿宋_GB2312" w:eastAsia="仿宋_GB2312" w:cs="仿宋_GB2312"/>
                <w:sz w:val="20"/>
              </w:rPr>
              <w:t>3</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C37F5E0">
            <w:pPr>
              <w:pStyle w:val="4"/>
              <w:jc w:val="left"/>
            </w:pPr>
            <w:r>
              <w:rPr>
                <w:rFonts w:ascii="仿宋_GB2312" w:hAnsi="仿宋_GB2312" w:eastAsia="仿宋_GB2312" w:cs="仿宋_GB2312"/>
                <w:sz w:val="20"/>
              </w:rPr>
              <w:t>视力辨色力检查</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0C1E82E7">
            <w:pPr>
              <w:pStyle w:val="4"/>
              <w:jc w:val="left"/>
            </w:pPr>
            <w:r>
              <w:rPr>
                <w:rFonts w:ascii="仿宋_GB2312" w:hAnsi="仿宋_GB2312" w:eastAsia="仿宋_GB2312" w:cs="仿宋_GB2312"/>
                <w:sz w:val="20"/>
              </w:rPr>
              <w:t>检查视力、辨色力</w:t>
            </w:r>
          </w:p>
        </w:tc>
        <w:tc>
          <w:tcPr>
            <w:tcW w:w="594" w:type="pct"/>
            <w:vMerge w:val="continue"/>
            <w:tcBorders>
              <w:top w:val="nil"/>
              <w:left w:val="nil"/>
              <w:bottom w:val="nil"/>
              <w:right w:val="single" w:color="000000" w:sz="4" w:space="0"/>
            </w:tcBorders>
          </w:tcPr>
          <w:p w14:paraId="21399056"/>
        </w:tc>
        <w:tc>
          <w:tcPr>
            <w:tcW w:w="594" w:type="pct"/>
            <w:vMerge w:val="continue"/>
            <w:tcBorders>
              <w:top w:val="nil"/>
              <w:left w:val="nil"/>
              <w:bottom w:val="nil"/>
              <w:right w:val="single" w:color="000000" w:sz="4" w:space="0"/>
            </w:tcBorders>
          </w:tcPr>
          <w:p w14:paraId="0ED6FCE3"/>
        </w:tc>
        <w:tc>
          <w:tcPr>
            <w:tcW w:w="594" w:type="pct"/>
            <w:vMerge w:val="continue"/>
            <w:tcBorders>
              <w:top w:val="nil"/>
              <w:left w:val="nil"/>
              <w:bottom w:val="nil"/>
              <w:right w:val="single" w:color="000000" w:sz="4" w:space="0"/>
            </w:tcBorders>
          </w:tcPr>
          <w:p w14:paraId="527834C5"/>
        </w:tc>
      </w:tr>
      <w:tr w14:paraId="7F170C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F6E7C46">
            <w:pPr>
              <w:pStyle w:val="4"/>
              <w:jc w:val="center"/>
            </w:pPr>
            <w:r>
              <w:rPr>
                <w:rFonts w:ascii="仿宋_GB2312" w:hAnsi="仿宋_GB2312" w:eastAsia="仿宋_GB2312" w:cs="仿宋_GB2312"/>
                <w:sz w:val="20"/>
              </w:rPr>
              <w:t>4</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3FED5096">
            <w:pPr>
              <w:pStyle w:val="4"/>
              <w:jc w:val="left"/>
            </w:pPr>
            <w:r>
              <w:rPr>
                <w:rFonts w:ascii="仿宋_GB2312" w:hAnsi="仿宋_GB2312" w:eastAsia="仿宋_GB2312" w:cs="仿宋_GB2312"/>
                <w:sz w:val="20"/>
              </w:rPr>
              <w:t>耳鼻喉科</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3B8C9CBC">
            <w:pPr>
              <w:pStyle w:val="4"/>
              <w:jc w:val="left"/>
            </w:pPr>
            <w:r>
              <w:rPr>
                <w:rFonts w:ascii="仿宋_GB2312" w:hAnsi="仿宋_GB2312" w:eastAsia="仿宋_GB2312" w:cs="仿宋_GB2312"/>
                <w:sz w:val="20"/>
              </w:rPr>
              <w:t>筛查中耳炎、鼻炎、咽炎、鼻咽部息肉等多种疾病</w:t>
            </w:r>
          </w:p>
        </w:tc>
        <w:tc>
          <w:tcPr>
            <w:tcW w:w="594" w:type="pct"/>
            <w:vMerge w:val="continue"/>
            <w:tcBorders>
              <w:top w:val="nil"/>
              <w:left w:val="nil"/>
              <w:bottom w:val="nil"/>
              <w:right w:val="single" w:color="000000" w:sz="4" w:space="0"/>
            </w:tcBorders>
          </w:tcPr>
          <w:p w14:paraId="4D1FD008"/>
        </w:tc>
        <w:tc>
          <w:tcPr>
            <w:tcW w:w="594" w:type="pct"/>
            <w:vMerge w:val="continue"/>
            <w:tcBorders>
              <w:top w:val="nil"/>
              <w:left w:val="nil"/>
              <w:bottom w:val="nil"/>
              <w:right w:val="single" w:color="000000" w:sz="4" w:space="0"/>
            </w:tcBorders>
          </w:tcPr>
          <w:p w14:paraId="6856BDE0"/>
        </w:tc>
        <w:tc>
          <w:tcPr>
            <w:tcW w:w="594" w:type="pct"/>
            <w:vMerge w:val="continue"/>
            <w:tcBorders>
              <w:top w:val="nil"/>
              <w:left w:val="nil"/>
              <w:bottom w:val="nil"/>
              <w:right w:val="single" w:color="000000" w:sz="4" w:space="0"/>
            </w:tcBorders>
          </w:tcPr>
          <w:p w14:paraId="104501C0"/>
        </w:tc>
      </w:tr>
      <w:tr w14:paraId="12CEC9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AEAF4D3">
            <w:pPr>
              <w:pStyle w:val="4"/>
              <w:jc w:val="center"/>
            </w:pPr>
            <w:r>
              <w:rPr>
                <w:rFonts w:ascii="仿宋_GB2312" w:hAnsi="仿宋_GB2312" w:eastAsia="仿宋_GB2312" w:cs="仿宋_GB2312"/>
                <w:sz w:val="20"/>
              </w:rPr>
              <w:t>5</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3E19BA4">
            <w:pPr>
              <w:pStyle w:val="4"/>
              <w:jc w:val="left"/>
            </w:pPr>
            <w:r>
              <w:rPr>
                <w:rFonts w:ascii="仿宋_GB2312" w:hAnsi="仿宋_GB2312" w:eastAsia="仿宋_GB2312" w:cs="仿宋_GB2312"/>
                <w:sz w:val="20"/>
              </w:rPr>
              <w:t>口腔科</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40A690EC">
            <w:pPr>
              <w:pStyle w:val="4"/>
              <w:jc w:val="left"/>
            </w:pPr>
            <w:r>
              <w:rPr>
                <w:rFonts w:ascii="仿宋_GB2312" w:hAnsi="仿宋_GB2312" w:eastAsia="仿宋_GB2312" w:cs="仿宋_GB2312"/>
                <w:sz w:val="20"/>
              </w:rPr>
              <w:t>检查口腔常见疾病</w:t>
            </w:r>
          </w:p>
        </w:tc>
        <w:tc>
          <w:tcPr>
            <w:tcW w:w="594" w:type="pct"/>
            <w:vMerge w:val="continue"/>
            <w:tcBorders>
              <w:top w:val="nil"/>
              <w:left w:val="nil"/>
              <w:bottom w:val="nil"/>
              <w:right w:val="single" w:color="000000" w:sz="4" w:space="0"/>
            </w:tcBorders>
          </w:tcPr>
          <w:p w14:paraId="5E0D19B7"/>
        </w:tc>
        <w:tc>
          <w:tcPr>
            <w:tcW w:w="594" w:type="pct"/>
            <w:vMerge w:val="continue"/>
            <w:tcBorders>
              <w:top w:val="nil"/>
              <w:left w:val="nil"/>
              <w:bottom w:val="nil"/>
              <w:right w:val="single" w:color="000000" w:sz="4" w:space="0"/>
            </w:tcBorders>
          </w:tcPr>
          <w:p w14:paraId="0E93DBA8"/>
        </w:tc>
        <w:tc>
          <w:tcPr>
            <w:tcW w:w="594" w:type="pct"/>
            <w:vMerge w:val="continue"/>
            <w:tcBorders>
              <w:top w:val="nil"/>
              <w:left w:val="nil"/>
              <w:bottom w:val="nil"/>
              <w:right w:val="single" w:color="000000" w:sz="4" w:space="0"/>
            </w:tcBorders>
          </w:tcPr>
          <w:p w14:paraId="7D7AD62A"/>
        </w:tc>
      </w:tr>
      <w:tr w14:paraId="2CBEA1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070ACE7">
            <w:pPr>
              <w:pStyle w:val="4"/>
              <w:jc w:val="center"/>
            </w:pPr>
            <w:r>
              <w:rPr>
                <w:rFonts w:ascii="仿宋_GB2312" w:hAnsi="仿宋_GB2312" w:eastAsia="仿宋_GB2312" w:cs="仿宋_GB2312"/>
                <w:sz w:val="20"/>
              </w:rPr>
              <w:t>6</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223685C7">
            <w:pPr>
              <w:pStyle w:val="4"/>
              <w:jc w:val="left"/>
            </w:pPr>
            <w:r>
              <w:rPr>
                <w:rFonts w:ascii="仿宋_GB2312" w:hAnsi="仿宋_GB2312" w:eastAsia="仿宋_GB2312" w:cs="仿宋_GB2312"/>
                <w:sz w:val="20"/>
              </w:rPr>
              <w:t>心电图</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50FDB829">
            <w:pPr>
              <w:pStyle w:val="4"/>
              <w:jc w:val="left"/>
            </w:pPr>
            <w:r>
              <w:rPr>
                <w:rFonts w:ascii="仿宋_GB2312" w:hAnsi="仿宋_GB2312" w:eastAsia="仿宋_GB2312" w:cs="仿宋_GB2312"/>
                <w:sz w:val="20"/>
              </w:rPr>
              <w:t>了解心脏的一般状态，并对心肌缺血、心律失常、房室传导阻滞、心肌梗死等进行筛查</w:t>
            </w:r>
          </w:p>
        </w:tc>
        <w:tc>
          <w:tcPr>
            <w:tcW w:w="594"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61C4EF4C">
            <w:pPr>
              <w:pStyle w:val="4"/>
              <w:jc w:val="center"/>
            </w:pPr>
          </w:p>
        </w:tc>
        <w:tc>
          <w:tcPr>
            <w:tcW w:w="594"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5C1E236D"/>
        </w:tc>
        <w:tc>
          <w:tcPr>
            <w:tcW w:w="594"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038C7BEE"/>
        </w:tc>
      </w:tr>
      <w:tr w14:paraId="7E0770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153B527">
            <w:pPr>
              <w:pStyle w:val="4"/>
              <w:jc w:val="center"/>
            </w:pPr>
            <w:r>
              <w:rPr>
                <w:rFonts w:ascii="仿宋_GB2312" w:hAnsi="仿宋_GB2312" w:eastAsia="仿宋_GB2312" w:cs="仿宋_GB2312"/>
                <w:sz w:val="20"/>
              </w:rPr>
              <w:t>7</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0C23543">
            <w:pPr>
              <w:pStyle w:val="4"/>
              <w:jc w:val="left"/>
            </w:pPr>
            <w:r>
              <w:rPr>
                <w:rFonts w:ascii="仿宋_GB2312" w:hAnsi="仿宋_GB2312" w:eastAsia="仿宋_GB2312" w:cs="仿宋_GB2312"/>
                <w:sz w:val="20"/>
              </w:rPr>
              <w:t>血常规</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161CFCF4">
            <w:pPr>
              <w:pStyle w:val="4"/>
              <w:jc w:val="left"/>
            </w:pPr>
            <w:r>
              <w:rPr>
                <w:rFonts w:ascii="仿宋_GB2312" w:hAnsi="仿宋_GB2312" w:eastAsia="仿宋_GB2312" w:cs="仿宋_GB2312"/>
                <w:sz w:val="20"/>
              </w:rPr>
              <w:t>贫血、白细胞减少以及白细胞异常增生、血小板异常等疾病的判断指标</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6FB9CFBE">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1B587F02"/>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6D11EE5C"/>
        </w:tc>
      </w:tr>
      <w:tr w14:paraId="2874B2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BA0F694">
            <w:pPr>
              <w:pStyle w:val="4"/>
              <w:jc w:val="center"/>
            </w:pPr>
            <w:r>
              <w:rPr>
                <w:rFonts w:ascii="仿宋_GB2312" w:hAnsi="仿宋_GB2312" w:eastAsia="仿宋_GB2312" w:cs="仿宋_GB2312"/>
                <w:sz w:val="20"/>
              </w:rPr>
              <w:t>8</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DE03C2A">
            <w:pPr>
              <w:pStyle w:val="4"/>
              <w:jc w:val="left"/>
            </w:pPr>
            <w:r>
              <w:rPr>
                <w:rFonts w:ascii="仿宋_GB2312" w:hAnsi="仿宋_GB2312" w:eastAsia="仿宋_GB2312" w:cs="仿宋_GB2312"/>
                <w:sz w:val="20"/>
              </w:rPr>
              <w:t>尿常规</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0853707F">
            <w:pPr>
              <w:pStyle w:val="4"/>
              <w:jc w:val="left"/>
            </w:pPr>
            <w:r>
              <w:rPr>
                <w:rFonts w:ascii="仿宋_GB2312" w:hAnsi="仿宋_GB2312" w:eastAsia="仿宋_GB2312" w:cs="仿宋_GB2312"/>
                <w:sz w:val="20"/>
              </w:rPr>
              <w:t>检查尿路有无感染，对肾脏疾病的初步筛查</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3A7F2574">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198F850"/>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25B008B"/>
        </w:tc>
      </w:tr>
      <w:tr w14:paraId="26F702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CA955F4">
            <w:pPr>
              <w:pStyle w:val="4"/>
              <w:jc w:val="center"/>
            </w:pPr>
            <w:r>
              <w:rPr>
                <w:rFonts w:ascii="仿宋_GB2312" w:hAnsi="仿宋_GB2312" w:eastAsia="仿宋_GB2312" w:cs="仿宋_GB2312"/>
                <w:sz w:val="20"/>
              </w:rPr>
              <w:t>9</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78C7C484">
            <w:pPr>
              <w:pStyle w:val="4"/>
              <w:jc w:val="left"/>
            </w:pPr>
            <w:r>
              <w:rPr>
                <w:rFonts w:ascii="仿宋_GB2312" w:hAnsi="仿宋_GB2312" w:eastAsia="仿宋_GB2312" w:cs="仿宋_GB2312"/>
                <w:sz w:val="20"/>
              </w:rPr>
              <w:t>血脂四项</w:t>
            </w:r>
          </w:p>
        </w:tc>
        <w:tc>
          <w:tcPr>
            <w:tcW w:w="1421" w:type="pct"/>
            <w:tcBorders>
              <w:top w:val="nil"/>
              <w:left w:val="nil"/>
              <w:bottom w:val="nil"/>
              <w:right w:val="single" w:color="000000" w:sz="4" w:space="0"/>
            </w:tcBorders>
            <w:tcMar>
              <w:top w:w="0" w:type="dxa"/>
              <w:left w:w="105" w:type="dxa"/>
              <w:bottom w:w="0" w:type="dxa"/>
              <w:right w:w="105" w:type="dxa"/>
            </w:tcMar>
          </w:tcPr>
          <w:p w14:paraId="1BF7ED17">
            <w:pPr>
              <w:pStyle w:val="4"/>
              <w:jc w:val="left"/>
            </w:pPr>
            <w:r>
              <w:rPr>
                <w:rFonts w:ascii="仿宋_GB2312" w:hAnsi="仿宋_GB2312" w:eastAsia="仿宋_GB2312" w:cs="仿宋_GB2312"/>
                <w:sz w:val="20"/>
              </w:rPr>
              <w:t>检查脂肪代谢性疾病</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53E2EA2E">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7FAD409"/>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E53A189"/>
        </w:tc>
      </w:tr>
      <w:tr w14:paraId="6E1173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CA18FAC">
            <w:pPr>
              <w:pStyle w:val="4"/>
              <w:jc w:val="center"/>
            </w:pPr>
            <w:r>
              <w:rPr>
                <w:rFonts w:ascii="仿宋_GB2312" w:hAnsi="仿宋_GB2312" w:eastAsia="仿宋_GB2312" w:cs="仿宋_GB2312"/>
                <w:sz w:val="20"/>
              </w:rPr>
              <w:t>10</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D41E723">
            <w:pPr>
              <w:pStyle w:val="4"/>
              <w:jc w:val="left"/>
            </w:pPr>
            <w:r>
              <w:rPr>
                <w:rFonts w:ascii="仿宋_GB2312" w:hAnsi="仿宋_GB2312" w:eastAsia="仿宋_GB2312" w:cs="仿宋_GB2312"/>
                <w:sz w:val="20"/>
              </w:rPr>
              <w:t>肝功七项</w:t>
            </w:r>
          </w:p>
        </w:tc>
        <w:tc>
          <w:tcPr>
            <w:tcW w:w="1421" w:type="pct"/>
            <w:tcBorders>
              <w:top w:val="single" w:color="000000" w:sz="4" w:space="0"/>
              <w:left w:val="nil"/>
              <w:bottom w:val="nil"/>
              <w:right w:val="single" w:color="000000" w:sz="4" w:space="0"/>
            </w:tcBorders>
            <w:tcMar>
              <w:top w:w="0" w:type="dxa"/>
              <w:left w:w="105" w:type="dxa"/>
              <w:bottom w:w="0" w:type="dxa"/>
              <w:right w:w="105" w:type="dxa"/>
            </w:tcMar>
          </w:tcPr>
          <w:p w14:paraId="19EDF433">
            <w:pPr>
              <w:pStyle w:val="4"/>
              <w:jc w:val="left"/>
            </w:pPr>
            <w:r>
              <w:rPr>
                <w:rFonts w:ascii="仿宋_GB2312" w:hAnsi="仿宋_GB2312" w:eastAsia="仿宋_GB2312" w:cs="仿宋_GB2312"/>
                <w:sz w:val="20"/>
              </w:rPr>
              <w:t>对肝功能的初步评估以及对慢性疾病用药副作用的初步判定</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9D63F8E">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6FBDE750"/>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5730D65E"/>
        </w:tc>
      </w:tr>
      <w:tr w14:paraId="6B125F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78F3646">
            <w:pPr>
              <w:pStyle w:val="4"/>
              <w:jc w:val="center"/>
            </w:pPr>
            <w:r>
              <w:rPr>
                <w:rFonts w:ascii="仿宋_GB2312" w:hAnsi="仿宋_GB2312" w:eastAsia="仿宋_GB2312" w:cs="仿宋_GB2312"/>
                <w:sz w:val="20"/>
              </w:rPr>
              <w:t>11</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3ABC8327">
            <w:pPr>
              <w:pStyle w:val="4"/>
              <w:jc w:val="left"/>
            </w:pPr>
            <w:r>
              <w:rPr>
                <w:rFonts w:ascii="仿宋_GB2312" w:hAnsi="仿宋_GB2312" w:eastAsia="仿宋_GB2312" w:cs="仿宋_GB2312"/>
                <w:sz w:val="20"/>
              </w:rPr>
              <w:t>肾功四项</w:t>
            </w:r>
          </w:p>
        </w:tc>
        <w:tc>
          <w:tcPr>
            <w:tcW w:w="1421"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7242ED3D">
            <w:pPr>
              <w:pStyle w:val="4"/>
              <w:jc w:val="left"/>
            </w:pPr>
            <w:r>
              <w:rPr>
                <w:rFonts w:ascii="仿宋_GB2312" w:hAnsi="仿宋_GB2312" w:eastAsia="仿宋_GB2312" w:cs="仿宋_GB2312"/>
                <w:sz w:val="20"/>
              </w:rPr>
              <w:t>评估肾脏的一般状况</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6FBEC8D3">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048F24A0"/>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1B2445E2"/>
        </w:tc>
      </w:tr>
      <w:tr w14:paraId="4935A4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1F76027">
            <w:pPr>
              <w:pStyle w:val="4"/>
              <w:jc w:val="center"/>
            </w:pPr>
            <w:r>
              <w:rPr>
                <w:rFonts w:ascii="仿宋_GB2312" w:hAnsi="仿宋_GB2312" w:eastAsia="仿宋_GB2312" w:cs="仿宋_GB2312"/>
                <w:sz w:val="20"/>
              </w:rPr>
              <w:t>12</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72413F8D">
            <w:pPr>
              <w:pStyle w:val="4"/>
              <w:jc w:val="left"/>
            </w:pPr>
            <w:r>
              <w:rPr>
                <w:rFonts w:ascii="仿宋_GB2312" w:hAnsi="仿宋_GB2312" w:eastAsia="仿宋_GB2312" w:cs="仿宋_GB2312"/>
                <w:sz w:val="20"/>
              </w:rPr>
              <w:t>空腹血糖</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0AAA1E01">
            <w:pPr>
              <w:pStyle w:val="4"/>
              <w:jc w:val="left"/>
            </w:pPr>
            <w:r>
              <w:rPr>
                <w:rFonts w:ascii="仿宋_GB2312" w:hAnsi="仿宋_GB2312" w:eastAsia="仿宋_GB2312" w:cs="仿宋_GB2312"/>
                <w:sz w:val="20"/>
              </w:rPr>
              <w:t>对糖尿病的初步筛查以及对糖尿病治疗的初步指导及监测</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09E5FA15">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0167385A"/>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69AF557"/>
        </w:tc>
      </w:tr>
      <w:tr w14:paraId="718FD3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5C4BE3C">
            <w:pPr>
              <w:pStyle w:val="4"/>
              <w:jc w:val="center"/>
            </w:pPr>
            <w:r>
              <w:rPr>
                <w:rFonts w:ascii="仿宋_GB2312" w:hAnsi="仿宋_GB2312" w:eastAsia="仿宋_GB2312" w:cs="仿宋_GB2312"/>
                <w:sz w:val="20"/>
              </w:rPr>
              <w:t>13</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5A284623">
            <w:pPr>
              <w:pStyle w:val="4"/>
              <w:jc w:val="left"/>
            </w:pPr>
            <w:r>
              <w:rPr>
                <w:rFonts w:ascii="仿宋_GB2312" w:hAnsi="仿宋_GB2312" w:eastAsia="仿宋_GB2312" w:cs="仿宋_GB2312"/>
                <w:sz w:val="20"/>
              </w:rPr>
              <w:t>乙肝五项（定性）</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18C56F9B">
            <w:pPr>
              <w:pStyle w:val="4"/>
              <w:jc w:val="left"/>
            </w:pPr>
            <w:r>
              <w:rPr>
                <w:rFonts w:ascii="仿宋_GB2312" w:hAnsi="仿宋_GB2312" w:eastAsia="仿宋_GB2312" w:cs="仿宋_GB2312"/>
                <w:sz w:val="21"/>
              </w:rPr>
              <w:t>　</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4FE9DB6">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CCC9D48"/>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53111650"/>
        </w:tc>
      </w:tr>
      <w:tr w14:paraId="597FDD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06DD3CB">
            <w:pPr>
              <w:pStyle w:val="4"/>
              <w:jc w:val="center"/>
            </w:pPr>
            <w:r>
              <w:rPr>
                <w:rFonts w:ascii="仿宋_GB2312" w:hAnsi="仿宋_GB2312" w:eastAsia="仿宋_GB2312" w:cs="仿宋_GB2312"/>
                <w:sz w:val="20"/>
              </w:rPr>
              <w:t>14</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69A56779">
            <w:pPr>
              <w:pStyle w:val="4"/>
              <w:jc w:val="left"/>
            </w:pPr>
            <w:r>
              <w:rPr>
                <w:rFonts w:ascii="仿宋_GB2312" w:hAnsi="仿宋_GB2312" w:eastAsia="仿宋_GB2312" w:cs="仿宋_GB2312"/>
                <w:sz w:val="20"/>
              </w:rPr>
              <w:t>C13呼气试验</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61C2A31A">
            <w:pPr>
              <w:pStyle w:val="4"/>
              <w:jc w:val="left"/>
            </w:pPr>
            <w:r>
              <w:rPr>
                <w:rFonts w:ascii="仿宋_GB2312" w:hAnsi="仿宋_GB2312" w:eastAsia="仿宋_GB2312" w:cs="仿宋_GB2312"/>
                <w:sz w:val="20"/>
              </w:rPr>
              <w:t>筛查有无HP的感染情况，协助筛查消化道疾病</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575FB344">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509853A1">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1C2A1BE">
            <w:pPr>
              <w:pStyle w:val="4"/>
              <w:jc w:val="center"/>
            </w:pPr>
          </w:p>
        </w:tc>
      </w:tr>
      <w:tr w14:paraId="4EF50B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4BC0737">
            <w:pPr>
              <w:pStyle w:val="4"/>
              <w:jc w:val="center"/>
            </w:pPr>
            <w:r>
              <w:rPr>
                <w:rFonts w:ascii="仿宋_GB2312" w:hAnsi="仿宋_GB2312" w:eastAsia="仿宋_GB2312" w:cs="仿宋_GB2312"/>
                <w:sz w:val="20"/>
              </w:rPr>
              <w:t>15</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0E6ECEA4">
            <w:pPr>
              <w:pStyle w:val="4"/>
              <w:jc w:val="left"/>
            </w:pPr>
            <w:r>
              <w:rPr>
                <w:rFonts w:ascii="仿宋_GB2312" w:hAnsi="仿宋_GB2312" w:eastAsia="仿宋_GB2312" w:cs="仿宋_GB2312"/>
                <w:sz w:val="20"/>
              </w:rPr>
              <w:t>CA-199</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612BD145">
            <w:pPr>
              <w:pStyle w:val="4"/>
              <w:jc w:val="left"/>
            </w:pPr>
            <w:r>
              <w:rPr>
                <w:rFonts w:ascii="仿宋_GB2312" w:hAnsi="仿宋_GB2312" w:eastAsia="仿宋_GB2312" w:cs="仿宋_GB2312"/>
                <w:sz w:val="20"/>
              </w:rPr>
              <w:t>筛查胰腺癌、胆道肿瘤、胃肠癌</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26CF8DF5">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1A7D7CA8">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51C113EB">
            <w:pPr>
              <w:pStyle w:val="4"/>
              <w:jc w:val="center"/>
            </w:pPr>
            <w:r>
              <w:rPr>
                <w:rFonts w:ascii="仿宋_GB2312" w:hAnsi="仿宋_GB2312" w:eastAsia="仿宋_GB2312" w:cs="仿宋_GB2312"/>
                <w:sz w:val="20"/>
              </w:rPr>
              <w:t>/</w:t>
            </w:r>
          </w:p>
        </w:tc>
      </w:tr>
      <w:tr w14:paraId="4B347F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6CD45BC">
            <w:pPr>
              <w:pStyle w:val="4"/>
              <w:jc w:val="center"/>
            </w:pPr>
            <w:r>
              <w:rPr>
                <w:rFonts w:ascii="仿宋_GB2312" w:hAnsi="仿宋_GB2312" w:eastAsia="仿宋_GB2312" w:cs="仿宋_GB2312"/>
                <w:sz w:val="20"/>
              </w:rPr>
              <w:t>16</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53AA02F5">
            <w:pPr>
              <w:pStyle w:val="4"/>
              <w:jc w:val="left"/>
            </w:pPr>
            <w:r>
              <w:rPr>
                <w:rFonts w:ascii="仿宋_GB2312" w:hAnsi="仿宋_GB2312" w:eastAsia="仿宋_GB2312" w:cs="仿宋_GB2312"/>
                <w:sz w:val="20"/>
              </w:rPr>
              <w:t>胸部CT（有问题出片子）</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2D5C9431">
            <w:pPr>
              <w:pStyle w:val="4"/>
              <w:jc w:val="left"/>
            </w:pPr>
            <w:r>
              <w:rPr>
                <w:rFonts w:ascii="仿宋_GB2312" w:hAnsi="仿宋_GB2312" w:eastAsia="仿宋_GB2312" w:cs="仿宋_GB2312"/>
                <w:sz w:val="20"/>
              </w:rPr>
              <w:t>了解胸部有无肿块、结节、出血、炎症、肿瘤等情况</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64C5C69">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0142ED6B"/>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E3FC553"/>
        </w:tc>
      </w:tr>
      <w:tr w14:paraId="6D4F5C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700259A">
            <w:pPr>
              <w:pStyle w:val="4"/>
              <w:jc w:val="center"/>
            </w:pPr>
            <w:r>
              <w:rPr>
                <w:rFonts w:ascii="仿宋_GB2312" w:hAnsi="仿宋_GB2312" w:eastAsia="仿宋_GB2312" w:cs="仿宋_GB2312"/>
                <w:sz w:val="20"/>
              </w:rPr>
              <w:t>17</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FF16B22">
            <w:pPr>
              <w:pStyle w:val="4"/>
              <w:jc w:val="left"/>
            </w:pPr>
            <w:r>
              <w:rPr>
                <w:rFonts w:ascii="仿宋_GB2312" w:hAnsi="仿宋_GB2312" w:eastAsia="仿宋_GB2312" w:cs="仿宋_GB2312"/>
                <w:sz w:val="20"/>
              </w:rPr>
              <w:t>颈椎正侧位片</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3C642BFE">
            <w:pPr>
              <w:pStyle w:val="4"/>
              <w:jc w:val="left"/>
            </w:pPr>
            <w:r>
              <w:rPr>
                <w:rFonts w:ascii="仿宋_GB2312" w:hAnsi="仿宋_GB2312" w:eastAsia="仿宋_GB2312" w:cs="仿宋_GB2312"/>
                <w:sz w:val="20"/>
              </w:rPr>
              <w:t>了解颈椎是否有骨质增生、退行性病变</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36EE14BE">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0305C1AD"/>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20C382CF"/>
        </w:tc>
      </w:tr>
      <w:tr w14:paraId="6087AD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36846C4">
            <w:pPr>
              <w:pStyle w:val="4"/>
              <w:jc w:val="center"/>
            </w:pPr>
            <w:r>
              <w:rPr>
                <w:rFonts w:ascii="仿宋_GB2312" w:hAnsi="仿宋_GB2312" w:eastAsia="仿宋_GB2312" w:cs="仿宋_GB2312"/>
                <w:sz w:val="20"/>
              </w:rPr>
              <w:t>18</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59CE70D">
            <w:pPr>
              <w:pStyle w:val="4"/>
              <w:jc w:val="left"/>
            </w:pPr>
            <w:r>
              <w:rPr>
                <w:rFonts w:ascii="仿宋_GB2312" w:hAnsi="仿宋_GB2312" w:eastAsia="仿宋_GB2312" w:cs="仿宋_GB2312"/>
                <w:sz w:val="20"/>
              </w:rPr>
              <w:t>腰椎正侧位片</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6B69A82B">
            <w:pPr>
              <w:pStyle w:val="4"/>
              <w:jc w:val="left"/>
            </w:pPr>
            <w:r>
              <w:rPr>
                <w:rFonts w:ascii="仿宋_GB2312" w:hAnsi="仿宋_GB2312" w:eastAsia="仿宋_GB2312" w:cs="仿宋_GB2312"/>
                <w:sz w:val="20"/>
              </w:rPr>
              <w:t>了解腰椎是否有骨质增生、退行性病变</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3E60F542">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F532E7A"/>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0F36B672"/>
        </w:tc>
      </w:tr>
      <w:tr w14:paraId="4D1351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943FEE0">
            <w:pPr>
              <w:pStyle w:val="4"/>
              <w:jc w:val="center"/>
            </w:pPr>
            <w:r>
              <w:rPr>
                <w:rFonts w:ascii="仿宋_GB2312" w:hAnsi="仿宋_GB2312" w:eastAsia="仿宋_GB2312" w:cs="仿宋_GB2312"/>
                <w:sz w:val="20"/>
              </w:rPr>
              <w:t>19</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210CE8FA">
            <w:pPr>
              <w:pStyle w:val="4"/>
              <w:jc w:val="left"/>
            </w:pPr>
            <w:r>
              <w:rPr>
                <w:rFonts w:ascii="仿宋_GB2312" w:hAnsi="仿宋_GB2312" w:eastAsia="仿宋_GB2312" w:cs="仿宋_GB2312"/>
                <w:sz w:val="20"/>
              </w:rPr>
              <w:t>上腹部B超（肝、胆、胰、脾）</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1976F1F0">
            <w:pPr>
              <w:pStyle w:val="4"/>
              <w:jc w:val="left"/>
            </w:pPr>
            <w:r>
              <w:rPr>
                <w:rFonts w:ascii="仿宋_GB2312" w:hAnsi="仿宋_GB2312" w:eastAsia="仿宋_GB2312" w:cs="仿宋_GB2312"/>
                <w:sz w:val="20"/>
              </w:rPr>
              <w:t>了解肝、胆、胰、脾重要脏器的一般情况，及早发现腹部器官的异常征象</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0A3DB4B7">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2305DC2"/>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D9F47A9"/>
        </w:tc>
      </w:tr>
      <w:tr w14:paraId="3D16CF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19DC3C1">
            <w:pPr>
              <w:pStyle w:val="4"/>
              <w:jc w:val="center"/>
            </w:pPr>
            <w:r>
              <w:rPr>
                <w:rFonts w:ascii="仿宋_GB2312" w:hAnsi="仿宋_GB2312" w:eastAsia="仿宋_GB2312" w:cs="仿宋_GB2312"/>
                <w:sz w:val="20"/>
              </w:rPr>
              <w:t>20</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5F7028BA">
            <w:pPr>
              <w:pStyle w:val="4"/>
              <w:jc w:val="left"/>
            </w:pPr>
            <w:r>
              <w:rPr>
                <w:rFonts w:ascii="仿宋_GB2312" w:hAnsi="仿宋_GB2312" w:eastAsia="仿宋_GB2312" w:cs="仿宋_GB2312"/>
                <w:sz w:val="20"/>
              </w:rPr>
              <w:t>男性泌尿系B超（前列腺、输尿管、膀胱、双肾）</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5C9672B7">
            <w:pPr>
              <w:pStyle w:val="4"/>
              <w:jc w:val="left"/>
            </w:pPr>
            <w:r>
              <w:rPr>
                <w:rFonts w:ascii="仿宋_GB2312" w:hAnsi="仿宋_GB2312" w:eastAsia="仿宋_GB2312" w:cs="仿宋_GB2312"/>
                <w:sz w:val="20"/>
              </w:rPr>
              <w:t>检查前列腺、输尿管、膀胱、双肾是否有增生、结石以及异常的影像学改变</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3D210A40">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67D5D751">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3D037DFA">
            <w:pPr>
              <w:pStyle w:val="4"/>
              <w:jc w:val="center"/>
            </w:pPr>
            <w:r>
              <w:rPr>
                <w:rFonts w:ascii="仿宋_GB2312" w:hAnsi="仿宋_GB2312" w:eastAsia="仿宋_GB2312" w:cs="仿宋_GB2312"/>
                <w:sz w:val="20"/>
              </w:rPr>
              <w:t>/</w:t>
            </w:r>
          </w:p>
        </w:tc>
      </w:tr>
      <w:tr w14:paraId="41A8F7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9D0C200">
            <w:pPr>
              <w:pStyle w:val="4"/>
              <w:jc w:val="center"/>
            </w:pPr>
            <w:r>
              <w:rPr>
                <w:rFonts w:ascii="仿宋_GB2312" w:hAnsi="仿宋_GB2312" w:eastAsia="仿宋_GB2312" w:cs="仿宋_GB2312"/>
                <w:sz w:val="20"/>
              </w:rPr>
              <w:t>21</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4D0517C8">
            <w:pPr>
              <w:pStyle w:val="4"/>
              <w:jc w:val="left"/>
            </w:pPr>
            <w:r>
              <w:rPr>
                <w:rFonts w:ascii="仿宋_GB2312" w:hAnsi="仿宋_GB2312" w:eastAsia="仿宋_GB2312" w:cs="仿宋_GB2312"/>
                <w:color w:val="000000"/>
                <w:sz w:val="20"/>
              </w:rPr>
              <w:t>甲状腺B超</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0C9EB766">
            <w:pPr>
              <w:pStyle w:val="4"/>
              <w:jc w:val="left"/>
            </w:pPr>
            <w:r>
              <w:rPr>
                <w:rFonts w:ascii="仿宋_GB2312" w:hAnsi="仿宋_GB2312" w:eastAsia="仿宋_GB2312" w:cs="仿宋_GB2312"/>
                <w:sz w:val="20"/>
              </w:rPr>
              <w:t>了解甲状腺有无结节、增生以及甲状腺血流状况</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2C314B8A">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575071F"/>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C2A62C7"/>
        </w:tc>
      </w:tr>
      <w:tr w14:paraId="1158A6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1B85471">
            <w:pPr>
              <w:pStyle w:val="4"/>
              <w:jc w:val="center"/>
            </w:pPr>
            <w:r>
              <w:rPr>
                <w:rFonts w:ascii="仿宋_GB2312" w:hAnsi="仿宋_GB2312" w:eastAsia="仿宋_GB2312" w:cs="仿宋_GB2312"/>
                <w:sz w:val="20"/>
              </w:rPr>
              <w:t>22</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660C08A5">
            <w:pPr>
              <w:pStyle w:val="4"/>
              <w:jc w:val="left"/>
            </w:pPr>
            <w:r>
              <w:rPr>
                <w:rFonts w:ascii="仿宋_GB2312" w:hAnsi="仿宋_GB2312" w:eastAsia="仿宋_GB2312" w:cs="仿宋_GB2312"/>
                <w:sz w:val="20"/>
              </w:rPr>
              <w:t>女性盆腔B超（子宫、附件）</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6B242943">
            <w:pPr>
              <w:pStyle w:val="4"/>
              <w:jc w:val="left"/>
            </w:pPr>
            <w:r>
              <w:rPr>
                <w:rFonts w:ascii="仿宋_GB2312" w:hAnsi="仿宋_GB2312" w:eastAsia="仿宋_GB2312" w:cs="仿宋_GB2312"/>
                <w:sz w:val="20"/>
              </w:rPr>
              <w:t>检查子宫、附件有无先天性病变及器质性病变</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51B9BA05">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263AD49F">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3798699A"/>
        </w:tc>
      </w:tr>
      <w:tr w14:paraId="33D8B1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4C8DC44">
            <w:pPr>
              <w:pStyle w:val="4"/>
              <w:jc w:val="center"/>
            </w:pPr>
            <w:r>
              <w:rPr>
                <w:rFonts w:ascii="仿宋_GB2312" w:hAnsi="仿宋_GB2312" w:eastAsia="仿宋_GB2312" w:cs="仿宋_GB2312"/>
                <w:sz w:val="20"/>
              </w:rPr>
              <w:t>23</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7032B15">
            <w:pPr>
              <w:pStyle w:val="4"/>
              <w:jc w:val="left"/>
            </w:pPr>
            <w:r>
              <w:rPr>
                <w:rFonts w:ascii="仿宋_GB2312" w:hAnsi="仿宋_GB2312" w:eastAsia="仿宋_GB2312" w:cs="仿宋_GB2312"/>
                <w:sz w:val="20"/>
              </w:rPr>
              <w:t>双肾B超</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511FAC0F">
            <w:pPr>
              <w:pStyle w:val="4"/>
              <w:jc w:val="left"/>
            </w:pPr>
            <w:r>
              <w:rPr>
                <w:rFonts w:ascii="仿宋_GB2312" w:hAnsi="仿宋_GB2312" w:eastAsia="仿宋_GB2312" w:cs="仿宋_GB2312"/>
                <w:sz w:val="20"/>
              </w:rPr>
              <w:t>了解双肾有无结石、肿瘤及其它异常</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6034E207">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23AF2644">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21FEB78F"/>
        </w:tc>
      </w:tr>
      <w:tr w14:paraId="6E4ECB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7516962">
            <w:pPr>
              <w:pStyle w:val="4"/>
              <w:jc w:val="center"/>
            </w:pPr>
            <w:r>
              <w:rPr>
                <w:rFonts w:ascii="仿宋_GB2312" w:hAnsi="仿宋_GB2312" w:eastAsia="仿宋_GB2312" w:cs="仿宋_GB2312"/>
                <w:sz w:val="20"/>
              </w:rPr>
              <w:t>24</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3A452542">
            <w:pPr>
              <w:pStyle w:val="4"/>
              <w:jc w:val="left"/>
            </w:pPr>
            <w:r>
              <w:rPr>
                <w:rFonts w:ascii="仿宋_GB2312" w:hAnsi="仿宋_GB2312" w:eastAsia="仿宋_GB2312" w:cs="仿宋_GB2312"/>
                <w:sz w:val="20"/>
              </w:rPr>
              <w:t>乳腺B超</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1B48B607">
            <w:pPr>
              <w:pStyle w:val="4"/>
              <w:jc w:val="left"/>
            </w:pPr>
            <w:r>
              <w:rPr>
                <w:rFonts w:ascii="仿宋_GB2312" w:hAnsi="仿宋_GB2312" w:eastAsia="仿宋_GB2312" w:cs="仿宋_GB2312"/>
                <w:sz w:val="20"/>
              </w:rPr>
              <w:t>提高早期乳腺癌的检出率，了解有无乳腺增生、脂肪瘤以及周围淋巴结情况</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640F522C">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2A59C1DD">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5D867FA"/>
        </w:tc>
      </w:tr>
      <w:tr w14:paraId="1C7176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4AEDC0A">
            <w:pPr>
              <w:pStyle w:val="4"/>
              <w:jc w:val="center"/>
            </w:pPr>
            <w:r>
              <w:rPr>
                <w:rFonts w:ascii="仿宋_GB2312" w:hAnsi="仿宋_GB2312" w:eastAsia="仿宋_GB2312" w:cs="仿宋_GB2312"/>
                <w:sz w:val="20"/>
              </w:rPr>
              <w:t>25</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488FF11D">
            <w:pPr>
              <w:pStyle w:val="4"/>
              <w:jc w:val="left"/>
            </w:pPr>
            <w:r>
              <w:rPr>
                <w:rFonts w:ascii="仿宋_GB2312" w:hAnsi="仿宋_GB2312" w:eastAsia="仿宋_GB2312" w:cs="仿宋_GB2312"/>
                <w:sz w:val="20"/>
              </w:rPr>
              <w:t>妇科检查液基薄层细胞检查</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42584465">
            <w:pPr>
              <w:pStyle w:val="4"/>
              <w:jc w:val="left"/>
            </w:pPr>
            <w:r>
              <w:rPr>
                <w:rFonts w:ascii="仿宋_GB2312" w:hAnsi="仿宋_GB2312" w:eastAsia="仿宋_GB2312" w:cs="仿宋_GB2312"/>
                <w:sz w:val="20"/>
              </w:rPr>
              <w:t>筛查有无妇科炎症及肿瘤</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5CE9AFF">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5AFAD39">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7414F40">
            <w:pPr>
              <w:pStyle w:val="4"/>
              <w:jc w:val="center"/>
            </w:pPr>
            <w:r>
              <w:rPr>
                <w:rFonts w:ascii="仿宋_GB2312" w:hAnsi="仿宋_GB2312" w:eastAsia="仿宋_GB2312" w:cs="仿宋_GB2312"/>
                <w:color w:val="000000"/>
                <w:sz w:val="20"/>
              </w:rPr>
              <w:t>/</w:t>
            </w:r>
          </w:p>
        </w:tc>
      </w:tr>
      <w:tr w14:paraId="099F36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A400BD8">
            <w:pPr>
              <w:pStyle w:val="4"/>
              <w:jc w:val="center"/>
            </w:pPr>
            <w:r>
              <w:rPr>
                <w:rFonts w:ascii="仿宋_GB2312" w:hAnsi="仿宋_GB2312" w:eastAsia="仿宋_GB2312" w:cs="仿宋_GB2312"/>
                <w:sz w:val="20"/>
              </w:rPr>
              <w:t>26</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61D48EA0">
            <w:pPr>
              <w:pStyle w:val="4"/>
              <w:jc w:val="left"/>
            </w:pPr>
            <w:r>
              <w:rPr>
                <w:rFonts w:ascii="仿宋_GB2312" w:hAnsi="仿宋_GB2312" w:eastAsia="仿宋_GB2312" w:cs="仿宋_GB2312"/>
                <w:color w:val="000000"/>
                <w:sz w:val="20"/>
              </w:rPr>
              <w:t>经颅多普勒脑血流检查</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11373330">
            <w:pPr>
              <w:pStyle w:val="4"/>
              <w:jc w:val="left"/>
            </w:pPr>
            <w:r>
              <w:rPr>
                <w:rFonts w:ascii="仿宋_GB2312" w:hAnsi="仿宋_GB2312" w:eastAsia="仿宋_GB2312" w:cs="仿宋_GB2312"/>
                <w:color w:val="000000"/>
                <w:sz w:val="20"/>
              </w:rPr>
              <w:t>检查颅内血管血流速度，分析脑供血情况</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1927A99D">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1E9C173A">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4E15741">
            <w:pPr>
              <w:pStyle w:val="4"/>
              <w:jc w:val="center"/>
            </w:pPr>
            <w:r>
              <w:rPr>
                <w:rFonts w:ascii="仿宋_GB2312" w:hAnsi="仿宋_GB2312" w:eastAsia="仿宋_GB2312" w:cs="仿宋_GB2312"/>
                <w:sz w:val="20"/>
              </w:rPr>
              <w:t>/</w:t>
            </w:r>
          </w:p>
        </w:tc>
      </w:tr>
    </w:tbl>
    <w:p w14:paraId="699B48EB">
      <w:pPr>
        <w:pStyle w:val="4"/>
        <w:rPr>
          <w:rFonts w:ascii="仿宋_GB2312" w:hAnsi="仿宋_GB2312" w:eastAsia="仿宋_GB2312" w:cs="仿宋_GB2312"/>
          <w:sz w:val="20"/>
        </w:rPr>
      </w:pPr>
      <w:r>
        <w:rPr>
          <w:rFonts w:hint="eastAsia" w:ascii="仿宋_GB2312" w:hAnsi="仿宋_GB2312" w:eastAsia="仿宋_GB2312" w:cs="仿宋_GB2312"/>
          <w:b/>
          <w:sz w:val="20"/>
          <w:highlight w:val="none"/>
          <w:lang w:val="en-US" w:eastAsia="zh-CN"/>
        </w:rPr>
        <w:t>6.报价要求：</w:t>
      </w:r>
      <w:r>
        <w:rPr>
          <w:rFonts w:ascii="仿宋_GB2312" w:hAnsi="仿宋_GB2312" w:eastAsia="仿宋_GB2312" w:cs="仿宋_GB2312"/>
          <w:b/>
          <w:bCs/>
          <w:sz w:val="20"/>
          <w:highlight w:val="none"/>
        </w:rPr>
        <w:t>本次体检分为男性、已婚女性、未婚女性共3类，</w:t>
      </w:r>
      <w:r>
        <w:rPr>
          <w:rFonts w:hint="eastAsia" w:ascii="仿宋_GB2312" w:hAnsi="仿宋_GB2312" w:eastAsia="仿宋_GB2312" w:cs="仿宋_GB2312"/>
          <w:b/>
          <w:bCs/>
          <w:sz w:val="20"/>
          <w:highlight w:val="none"/>
          <w:lang w:val="en-US" w:eastAsia="zh-CN"/>
        </w:rPr>
        <w:t>暂定体检人数378</w:t>
      </w:r>
      <w:r>
        <w:rPr>
          <w:rFonts w:ascii="仿宋_GB2312" w:hAnsi="仿宋_GB2312" w:eastAsia="仿宋_GB2312" w:cs="仿宋_GB2312"/>
          <w:b/>
          <w:bCs/>
          <w:sz w:val="20"/>
          <w:highlight w:val="none"/>
        </w:rPr>
        <w:t>人，</w:t>
      </w:r>
      <w:r>
        <w:rPr>
          <w:rFonts w:hint="eastAsia" w:ascii="仿宋_GB2312" w:hAnsi="仿宋_GB2312" w:eastAsia="仿宋_GB2312" w:cs="仿宋_GB2312"/>
          <w:b/>
          <w:bCs/>
          <w:sz w:val="20"/>
          <w:highlight w:val="none"/>
          <w:lang w:val="en-US" w:eastAsia="zh-CN"/>
        </w:rPr>
        <w:t>成交单</w:t>
      </w:r>
      <w:r>
        <w:rPr>
          <w:rFonts w:ascii="仿宋_GB2312" w:hAnsi="仿宋_GB2312" w:eastAsia="仿宋_GB2312" w:cs="仿宋_GB2312"/>
          <w:b/>
          <w:bCs/>
          <w:sz w:val="20"/>
          <w:highlight w:val="none"/>
        </w:rPr>
        <w:t>价包死，不受市场变化影响。</w:t>
      </w:r>
      <w:r>
        <w:rPr>
          <w:rFonts w:hint="eastAsia" w:ascii="仿宋_GB2312" w:hAnsi="仿宋_GB2312" w:eastAsia="仿宋_GB2312" w:cs="仿宋_GB2312"/>
          <w:b/>
          <w:bCs/>
          <w:sz w:val="20"/>
          <w:highlight w:val="none"/>
          <w:lang w:val="en-US" w:eastAsia="zh-CN"/>
        </w:rPr>
        <w:t>单价最高限价930元/人。供应商</w:t>
      </w:r>
      <w:r>
        <w:rPr>
          <w:rFonts w:hint="eastAsia" w:ascii="仿宋_GB2312" w:hAnsi="仿宋_GB2312" w:eastAsia="仿宋_GB2312" w:cs="仿宋_GB2312"/>
          <w:b/>
          <w:bCs/>
          <w:sz w:val="20"/>
          <w:szCs w:val="20"/>
          <w:highlight w:val="none"/>
        </w:rPr>
        <w:t>单价</w:t>
      </w:r>
      <w:r>
        <w:rPr>
          <w:rFonts w:hint="eastAsia" w:ascii="仿宋_GB2312" w:hAnsi="仿宋_GB2312" w:eastAsia="仿宋_GB2312" w:cs="仿宋_GB2312"/>
          <w:b/>
          <w:bCs/>
          <w:sz w:val="20"/>
          <w:szCs w:val="20"/>
          <w:highlight w:val="none"/>
          <w:lang w:val="en-US" w:eastAsia="zh-CN"/>
        </w:rPr>
        <w:t>报价</w:t>
      </w:r>
      <w:r>
        <w:rPr>
          <w:rFonts w:hint="eastAsia" w:ascii="仿宋_GB2312" w:hAnsi="仿宋_GB2312" w:eastAsia="仿宋_GB2312" w:cs="仿宋_GB2312"/>
          <w:b/>
          <w:bCs/>
          <w:sz w:val="20"/>
          <w:szCs w:val="20"/>
          <w:highlight w:val="none"/>
        </w:rPr>
        <w:t>不得超过单价最高限价，</w:t>
      </w:r>
      <w:r>
        <w:rPr>
          <w:rFonts w:hint="eastAsia" w:ascii="仿宋_GB2312" w:hAnsi="仿宋_GB2312" w:eastAsia="仿宋_GB2312" w:cs="仿宋_GB2312"/>
          <w:b/>
          <w:bCs/>
          <w:sz w:val="20"/>
          <w:szCs w:val="20"/>
          <w:highlight w:val="none"/>
          <w:lang w:val="en-US" w:eastAsia="zh-CN"/>
        </w:rPr>
        <w:t>否则按无效标处理</w:t>
      </w:r>
      <w:r>
        <w:rPr>
          <w:rFonts w:hint="eastAsia" w:ascii="仿宋_GB2312" w:hAnsi="仿宋_GB2312" w:eastAsia="仿宋_GB2312" w:cs="仿宋_GB2312"/>
          <w:b/>
          <w:bCs/>
          <w:sz w:val="20"/>
          <w:szCs w:val="20"/>
          <w:highlight w:val="none"/>
          <w:lang w:eastAsia="zh-CN"/>
        </w:rPr>
        <w:t>。</w:t>
      </w:r>
      <w:r>
        <w:rPr>
          <w:rFonts w:ascii="仿宋_GB2312" w:hAnsi="仿宋_GB2312" w:eastAsia="仿宋_GB2312" w:cs="仿宋_GB2312"/>
          <w:b/>
          <w:bCs/>
          <w:sz w:val="20"/>
          <w:highlight w:val="none"/>
        </w:rPr>
        <w:t>供应商需自行考虑人员比例，体检时按对应体检项目及人数进行体检</w:t>
      </w:r>
      <w:r>
        <w:rPr>
          <w:rFonts w:hint="eastAsia" w:ascii="仿宋_GB2312" w:hAnsi="仿宋_GB2312" w:eastAsia="仿宋_GB2312" w:cs="仿宋_GB2312"/>
          <w:b/>
          <w:bCs/>
          <w:sz w:val="20"/>
          <w:highlight w:val="none"/>
          <w:lang w:eastAsia="zh-CN"/>
        </w:rPr>
        <w:t>，</w:t>
      </w:r>
      <w:r>
        <w:rPr>
          <w:rFonts w:ascii="仿宋_GB2312" w:hAnsi="仿宋_GB2312" w:eastAsia="仿宋_GB2312" w:cs="仿宋_GB2312"/>
          <w:b/>
          <w:bCs/>
          <w:sz w:val="20"/>
          <w:highlight w:val="none"/>
          <w:lang w:eastAsia="zh-CN"/>
        </w:rPr>
        <w:t>最终采购人根据体检单价和体检人数据实结算</w:t>
      </w:r>
      <w:r>
        <w:rPr>
          <w:rFonts w:hint="eastAsia" w:ascii="仿宋_GB2312" w:hAnsi="仿宋_GB2312" w:eastAsia="仿宋_GB2312" w:cs="仿宋_GB2312"/>
          <w:b/>
          <w:bCs/>
          <w:sz w:val="20"/>
          <w:highlight w:val="none"/>
          <w:lang w:eastAsia="zh-CN"/>
        </w:rPr>
        <w:t>。</w:t>
      </w:r>
    </w:p>
    <w:p w14:paraId="44914A8F">
      <w:pPr>
        <w:pStyle w:val="4"/>
      </w:pPr>
      <w:r>
        <w:rPr>
          <w:rFonts w:hint="eastAsia" w:ascii="仿宋_GB2312" w:hAnsi="仿宋_GB2312" w:eastAsia="仿宋_GB2312" w:cs="仿宋_GB2312"/>
          <w:sz w:val="20"/>
          <w:lang w:val="en-US" w:eastAsia="zh-CN"/>
        </w:rPr>
        <w:t>7</w:t>
      </w:r>
      <w:r>
        <w:rPr>
          <w:rFonts w:ascii="仿宋_GB2312" w:hAnsi="仿宋_GB2312" w:eastAsia="仿宋_GB2312" w:cs="仿宋_GB2312"/>
          <w:sz w:val="20"/>
        </w:rPr>
        <w:t>.体检报告：成交供应商应在体检结束后的10个工作日内出具详细、准确的体检报告，报告应包含各项检查结果、健康评估、疾病建议等内容，并以密封形式送达采购单位或提供电子报告查询服务。</w:t>
      </w:r>
    </w:p>
    <w:p w14:paraId="075D94E4">
      <w:pPr>
        <w:pStyle w:val="4"/>
      </w:pPr>
      <w:r>
        <w:rPr>
          <w:rFonts w:hint="eastAsia" w:ascii="仿宋_GB2312" w:hAnsi="仿宋_GB2312" w:eastAsia="仿宋_GB2312" w:cs="仿宋_GB2312"/>
          <w:sz w:val="20"/>
          <w:lang w:val="en-US" w:eastAsia="zh-CN"/>
        </w:rPr>
        <w:t>8</w:t>
      </w:r>
      <w:r>
        <w:rPr>
          <w:rFonts w:ascii="仿宋_GB2312" w:hAnsi="仿宋_GB2312" w:eastAsia="仿宋_GB2312" w:cs="仿宋_GB2312"/>
          <w:sz w:val="20"/>
        </w:rPr>
        <w:t>.体检当天为体检人安排免费早餐（面包、牛奶、包子、稀饭、鸡蛋随机组合）。</w:t>
      </w:r>
    </w:p>
    <w:p w14:paraId="1112113B">
      <w:pPr>
        <w:pStyle w:val="4"/>
      </w:pPr>
      <w:r>
        <w:rPr>
          <w:rFonts w:hint="eastAsia" w:ascii="仿宋_GB2312" w:hAnsi="仿宋_GB2312" w:eastAsia="仿宋_GB2312" w:cs="仿宋_GB2312"/>
          <w:sz w:val="20"/>
          <w:lang w:val="en-US" w:eastAsia="zh-CN"/>
        </w:rPr>
        <w:t>9</w:t>
      </w:r>
      <w:r>
        <w:rPr>
          <w:rFonts w:ascii="仿宋_GB2312" w:hAnsi="仿宋_GB2312" w:eastAsia="仿宋_GB2312" w:cs="仿宋_GB2312"/>
          <w:sz w:val="20"/>
        </w:rPr>
        <w:t>.安排专家进行检中、检后解读咨询服务，可通过现场咨询、电话咨询或线上咨询等方式，为职工解答疑问，提供健康指导。</w:t>
      </w:r>
    </w:p>
    <w:p w14:paraId="64C5A050">
      <w:pPr>
        <w:pStyle w:val="4"/>
      </w:pPr>
      <w:r>
        <w:rPr>
          <w:rFonts w:hint="eastAsia" w:ascii="仿宋_GB2312" w:hAnsi="仿宋_GB2312" w:eastAsia="仿宋_GB2312" w:cs="仿宋_GB2312"/>
          <w:sz w:val="20"/>
          <w:lang w:val="en-US" w:eastAsia="zh-CN"/>
        </w:rPr>
        <w:t>10</w:t>
      </w:r>
      <w:r>
        <w:rPr>
          <w:rFonts w:ascii="仿宋_GB2312" w:hAnsi="仿宋_GB2312" w:eastAsia="仿宋_GB2312" w:cs="仿宋_GB2312"/>
          <w:sz w:val="20"/>
        </w:rPr>
        <w:t>.提供个人总检报告及健康指导建议，根据体检结果，为患有慢性疾病或存在健康风险的职工制定个性化的健康干预方案，包括饮食、运动、康复等方面的指导，并定期进行随访。</w:t>
      </w:r>
    </w:p>
    <w:p w14:paraId="6511A388">
      <w:pPr>
        <w:pStyle w:val="4"/>
      </w:pPr>
      <w:r>
        <w:rPr>
          <w:rFonts w:hint="eastAsia" w:ascii="仿宋_GB2312" w:hAnsi="仿宋_GB2312" w:eastAsia="仿宋_GB2312" w:cs="仿宋_GB2312"/>
          <w:sz w:val="20"/>
          <w:lang w:val="en-US" w:eastAsia="zh-CN"/>
        </w:rPr>
        <w:t>11</w:t>
      </w:r>
      <w:r>
        <w:rPr>
          <w:rFonts w:ascii="仿宋_GB2312" w:hAnsi="仿宋_GB2312" w:eastAsia="仿宋_GB2312" w:cs="仿宋_GB2312"/>
          <w:sz w:val="20"/>
        </w:rPr>
        <w:t>.团检报告分析：建立职工健康档案，对体检数据进行长期跟踪和分析，为单位提供整体健康状况评估报告，提出针对性的健康管理建议。</w:t>
      </w:r>
    </w:p>
    <w:p w14:paraId="7620A27B">
      <w:r>
        <w:rPr>
          <w:rFonts w:hint="eastAsia" w:ascii="仿宋_GB2312" w:hAnsi="仿宋_GB2312" w:eastAsia="仿宋_GB2312" w:cs="仿宋_GB2312"/>
          <w:sz w:val="20"/>
          <w:lang w:val="en-US" w:eastAsia="zh-CN"/>
        </w:rPr>
        <w:t>12</w:t>
      </w:r>
      <w:r>
        <w:rPr>
          <w:rFonts w:ascii="仿宋_GB2312" w:hAnsi="仿宋_GB2312" w:eastAsia="仿宋_GB2312" w:cs="仿宋_GB2312"/>
          <w:sz w:val="20"/>
        </w:rPr>
        <w:t>. 举办一次不低于1小时的线下检后健康教育讲座，场地位于曲江二小校内。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774581"/>
    <w:rsid w:val="647745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2026-08-11T06:44:00Z</dcterms:created>
  <dc:creator>Bubles</dc:creator>
  <cp:lastModifiedBy>Bubles</cp:lastModifiedBy>
  <dcterms:modified xsi:type="dcterms:W3CDTF">2026-08-11T06:45:16Z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3EB1C68F4F5846D4887A70127369FDC3_11</vt:lpwstr>
  </property>
  <property fmtid="{D5CDD505-2E9C-101B-9397-08002B2CF9AE}" pid="4" name="KSOTemplateDocerSaveRecord">
    <vt:lpwstr>eyJoZGlkIjoiYTJiOTMxYzIyODM5ZmQ5MmQ3YzM2OTIzNWQ4N2Q3OTkiLCJ1c2VySWQiOiI3MDM1NTIwMjIifQ==</vt:lpwstr>
  </property>
</Properties>
</file>