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版本号：THXZB2026-103620260723001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网络安全能力提升服务项目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THXZB2026-1036</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网络安全能力提升服务项目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网络安全能力提升服务项目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总书记网络强国重要思想和总体国家安全观要求，结合全省卫生健康行业网络安全新形势，落实网络安全人才培养、关键基础设施保护、大数据、人工智能等新型技术防护等相关内容。全面提升网络安全防范意识和技术人员实战技能，筑牢全省卫生健康行业信息安全屏障。陕西省卫生健康信息中心拟开展第二届全省卫生健康行业网络安全技能大赛（以下简称“技能大赛”）和全省网络安全人员培训（以下简称“人员培训”）项目。根据项目需求，陕西省卫生健康信息中心对技能大赛和人员培训的全流程组织服务供应商进行招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采购包1（网络安全能力提升服务）：属于专门面向中小企业采购。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投标须提交其法定代表人证明书，法定代表人授权代表参加投标的，须出具法定代表人证明书及授权书（被授权代表需提供近半年内任意一个月的社会保障资金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基本存款账户开户银行出具的资信证明（资信证明开具日期为采购公告发布之日后）；</w:t>
      </w:r>
    </w:p>
    <w:p>
      <w:pPr>
        <w:pStyle w:val="null3"/>
      </w:pPr>
      <w:r>
        <w:rPr>
          <w:rFonts w:ascii="仿宋_GB2312" w:hAnsi="仿宋_GB2312" w:cs="仿宋_GB2312" w:eastAsia="仿宋_GB2312"/>
        </w:rPr>
        <w:t>4、税收缴纳证明：供应商须提供磋商截止时间前半年内任意一个月的税收缴纳证明（依法免税或零申报的供应商须提供相关文件证明；若为新成立企业可提供相应月度的缴税证明）；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险缴纳证明：供应商须提供磋商截止时间前半年内任意一个月的社会保险缴纳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不强制要求供应商提供，以采购代理机构在开标现场查询）；</w:t>
      </w:r>
    </w:p>
    <w:p>
      <w:pPr>
        <w:pStyle w:val="null3"/>
      </w:pPr>
      <w:r>
        <w:rPr>
          <w:rFonts w:ascii="仿宋_GB2312" w:hAnsi="仿宋_GB2312" w:cs="仿宋_GB2312" w:eastAsia="仿宋_GB2312"/>
        </w:rPr>
        <w:t>9、中小企业声明函：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西安市莲湖区崇新里18号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陕西省卫生健康信息中心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029-87349600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文件规定计取，以中标金额作为基数，差额累进法进行计算，不足陆仟按陆仟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采购人在中华人民共和国境内使用本项目的磋商资料、技术、服务或其任何一部分时，享有不受限制的无偿使用权，不会产生因第三方提出侵犯其专利权、商标权或其它知识产权而引起的法律和经济纠纷；如果供应商不拥有相应的知识产权，则须在报价中包括合法获取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地址：陕西省西安市雁塔区雁南二路西京科创园三号楼25楼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卫生健康信息中心拟开展第二届全省卫生健康行业网络安全技能大赛（以下简称“技能大赛”）和全省网络安全人员培训（以下简称“人员培训”）项目。根据项目需求，陕西省卫生健康信息中心对技能大赛和人员培训的全流程组织服务供应商进行招标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为深入贯彻总书记网络强国重要思想和总体国家安全观要求，结合全省卫生健康行业网络安全新形势，落实网络安全人才培养、关键基础设施保护、大数据、人工智能等新型技术防护等相关内容。全面提升网络安全防范意识和技术人员实战技能，筑牢全省卫生健康行业信息安全屏障。陕西省卫生健康信息中心拟开展第二届全省卫生健康行业网络安全技能大赛（以下简称</w:t>
            </w:r>
            <w:r>
              <w:rPr>
                <w:rFonts w:ascii="仿宋_GB2312" w:hAnsi="仿宋_GB2312" w:cs="仿宋_GB2312" w:eastAsia="仿宋_GB2312"/>
                <w:sz w:val="24"/>
              </w:rPr>
              <w:t>“技能大赛”）和全省网络安全人员培训（以下简称“人员培训”）项目。根据项目需求，陕西省卫生健康信息中心对</w:t>
            </w:r>
            <w:r>
              <w:rPr>
                <w:rFonts w:ascii="仿宋_GB2312" w:hAnsi="仿宋_GB2312" w:cs="仿宋_GB2312" w:eastAsia="仿宋_GB2312"/>
                <w:sz w:val="24"/>
              </w:rPr>
              <w:t>技能</w:t>
            </w:r>
            <w:r>
              <w:rPr>
                <w:rFonts w:ascii="仿宋_GB2312" w:hAnsi="仿宋_GB2312" w:cs="仿宋_GB2312" w:eastAsia="仿宋_GB2312"/>
                <w:sz w:val="24"/>
              </w:rPr>
              <w:t>大赛和</w:t>
            </w:r>
            <w:r>
              <w:rPr>
                <w:rFonts w:ascii="仿宋_GB2312" w:hAnsi="仿宋_GB2312" w:cs="仿宋_GB2312" w:eastAsia="仿宋_GB2312"/>
                <w:sz w:val="24"/>
              </w:rPr>
              <w:t>人员</w:t>
            </w:r>
            <w:r>
              <w:rPr>
                <w:rFonts w:ascii="仿宋_GB2312" w:hAnsi="仿宋_GB2312" w:cs="仿宋_GB2312" w:eastAsia="仿宋_GB2312"/>
                <w:sz w:val="24"/>
              </w:rPr>
              <w:t>培训的全流程组织服务供应商进行招标采购。</w:t>
            </w:r>
          </w:p>
          <w:p>
            <w:pPr>
              <w:pStyle w:val="null3"/>
              <w:jc w:val="both"/>
            </w:pPr>
            <w:r>
              <w:rPr>
                <w:rFonts w:ascii="仿宋_GB2312" w:hAnsi="仿宋_GB2312" w:cs="仿宋_GB2312" w:eastAsia="仿宋_GB2312"/>
                <w:sz w:val="24"/>
                <w:b/>
              </w:rPr>
              <w:t>2、项目目标</w:t>
            </w:r>
          </w:p>
          <w:p>
            <w:pPr>
              <w:pStyle w:val="null3"/>
              <w:ind w:firstLine="480"/>
              <w:jc w:val="both"/>
            </w:pPr>
            <w:r>
              <w:rPr>
                <w:rFonts w:ascii="仿宋_GB2312" w:hAnsi="仿宋_GB2312" w:cs="仿宋_GB2312" w:eastAsia="仿宋_GB2312"/>
                <w:sz w:val="24"/>
              </w:rPr>
              <w:t>2.1技能大赛：通过竞赛，真正检验卫生健康行业单位和人员信息安全综合能力，增进相互间的技术交流，发现、选拔、培养优秀网络安全专业人才，促进网络安全专业人才队伍发展。</w:t>
            </w:r>
          </w:p>
          <w:p>
            <w:pPr>
              <w:pStyle w:val="null3"/>
              <w:ind w:firstLine="480"/>
              <w:jc w:val="both"/>
            </w:pPr>
            <w:r>
              <w:rPr>
                <w:rFonts w:ascii="仿宋_GB2312" w:hAnsi="仿宋_GB2312" w:cs="仿宋_GB2312" w:eastAsia="仿宋_GB2312"/>
                <w:sz w:val="24"/>
              </w:rPr>
              <w:t>2.2人员培训：通过培训，提升管理决策者网络安全意识和统筹治理能力，持续加强化络安全人员防范思想和专业知识水平，强化技术人员防护能力，夯实全员安全意识底线。</w:t>
            </w:r>
          </w:p>
          <w:p>
            <w:pPr>
              <w:pStyle w:val="null3"/>
              <w:jc w:val="both"/>
            </w:pPr>
            <w:r>
              <w:rPr>
                <w:rFonts w:ascii="仿宋_GB2312" w:hAnsi="仿宋_GB2312" w:cs="仿宋_GB2312" w:eastAsia="仿宋_GB2312"/>
                <w:sz w:val="24"/>
                <w:b/>
              </w:rPr>
              <w:t>3、服务内容</w:t>
            </w:r>
          </w:p>
          <w:p>
            <w:pPr>
              <w:pStyle w:val="null3"/>
              <w:jc w:val="both"/>
            </w:pPr>
            <w:r>
              <w:rPr>
                <w:rFonts w:ascii="仿宋_GB2312" w:hAnsi="仿宋_GB2312" w:cs="仿宋_GB2312" w:eastAsia="仿宋_GB2312"/>
                <w:sz w:val="24"/>
                <w:b/>
              </w:rPr>
              <w:t>3.1技能大赛</w:t>
            </w:r>
          </w:p>
          <w:p>
            <w:pPr>
              <w:pStyle w:val="null3"/>
              <w:ind w:firstLine="480"/>
              <w:jc w:val="both"/>
            </w:pPr>
            <w:r>
              <w:rPr>
                <w:rFonts w:ascii="仿宋_GB2312" w:hAnsi="仿宋_GB2312" w:cs="仿宋_GB2312" w:eastAsia="仿宋_GB2312"/>
                <w:sz w:val="24"/>
              </w:rPr>
              <w:t>（一）供应商须提供大赛不少于</w:t>
            </w:r>
            <w:r>
              <w:rPr>
                <w:rFonts w:ascii="仿宋_GB2312" w:hAnsi="仿宋_GB2312" w:cs="仿宋_GB2312" w:eastAsia="仿宋_GB2312"/>
                <w:sz w:val="24"/>
              </w:rPr>
              <w:t>40</w:t>
            </w:r>
            <w:r>
              <w:rPr>
                <w:rFonts w:ascii="仿宋_GB2312" w:hAnsi="仿宋_GB2312" w:cs="仿宋_GB2312" w:eastAsia="仿宋_GB2312"/>
                <w:sz w:val="24"/>
              </w:rPr>
              <w:t>支参赛队伍比赛使用的赛事平台及相关会务组织与技术支持服务，大赛分为理论知识比赛和网络安全实操，赛题需贴合卫生健康行业典型网络结构和配置、模拟医疗卫生行业信息系统常见业务风险，结合人工智能等新形势，考察选手在高度贴近实践的场景环境中，分析场景线索、解决实际问题、强化防御技能。</w:t>
            </w:r>
          </w:p>
          <w:p>
            <w:pPr>
              <w:pStyle w:val="null3"/>
              <w:ind w:firstLine="480"/>
              <w:jc w:val="both"/>
            </w:pPr>
            <w:r>
              <w:rPr>
                <w:rFonts w:ascii="仿宋_GB2312" w:hAnsi="仿宋_GB2312" w:cs="仿宋_GB2312" w:eastAsia="仿宋_GB2312"/>
                <w:sz w:val="24"/>
              </w:rPr>
              <w:t>（二）供应商须具备相关大赛的</w:t>
            </w:r>
            <w:r>
              <w:rPr>
                <w:rFonts w:ascii="仿宋_GB2312" w:hAnsi="仿宋_GB2312" w:cs="仿宋_GB2312" w:eastAsia="仿宋_GB2312"/>
                <w:sz w:val="24"/>
              </w:rPr>
              <w:t>技术</w:t>
            </w:r>
            <w:r>
              <w:rPr>
                <w:rFonts w:ascii="仿宋_GB2312" w:hAnsi="仿宋_GB2312" w:cs="仿宋_GB2312" w:eastAsia="仿宋_GB2312"/>
                <w:sz w:val="24"/>
              </w:rPr>
              <w:t>支撑</w:t>
            </w:r>
            <w:r>
              <w:rPr>
                <w:rFonts w:ascii="仿宋_GB2312" w:hAnsi="仿宋_GB2312" w:cs="仿宋_GB2312" w:eastAsia="仿宋_GB2312"/>
                <w:sz w:val="24"/>
              </w:rPr>
              <w:t>平台</w:t>
            </w:r>
            <w:r>
              <w:rPr>
                <w:rFonts w:ascii="仿宋_GB2312" w:hAnsi="仿宋_GB2312" w:cs="仿宋_GB2312" w:eastAsia="仿宋_GB2312"/>
                <w:sz w:val="24"/>
              </w:rPr>
              <w:t>、</w:t>
            </w:r>
            <w:r>
              <w:rPr>
                <w:rFonts w:ascii="仿宋_GB2312" w:hAnsi="仿宋_GB2312" w:cs="仿宋_GB2312" w:eastAsia="仿宋_GB2312"/>
                <w:sz w:val="24"/>
              </w:rPr>
              <w:t>组织服务经验和技术保障能力，须指定一位合格、有足够项目经验的项目经理，负责双方之间的正式交流、沟通及调度。</w:t>
            </w:r>
          </w:p>
          <w:p>
            <w:pPr>
              <w:pStyle w:val="null3"/>
              <w:jc w:val="both"/>
            </w:pPr>
            <w:r>
              <w:rPr>
                <w:rFonts w:ascii="仿宋_GB2312" w:hAnsi="仿宋_GB2312" w:cs="仿宋_GB2312" w:eastAsia="仿宋_GB2312"/>
                <w:sz w:val="24"/>
                <w:b/>
              </w:rPr>
              <w:t>3.2人员培训</w:t>
            </w:r>
          </w:p>
          <w:p>
            <w:pPr>
              <w:pStyle w:val="null3"/>
              <w:ind w:firstLine="480"/>
              <w:jc w:val="both"/>
            </w:pPr>
            <w:r>
              <w:rPr>
                <w:rFonts w:ascii="仿宋_GB2312" w:hAnsi="仿宋_GB2312" w:cs="仿宋_GB2312" w:eastAsia="仿宋_GB2312"/>
                <w:sz w:val="24"/>
              </w:rPr>
              <w:t>供应商须具备全省相关大型培训会会务组织服务经验和能力、现场在线考试测验技术平台和技术保障能力。须指定一位合格、有足够项目经验的项目经理，负责双方之间的正式交流、沟通及调度。</w:t>
            </w:r>
          </w:p>
          <w:p>
            <w:pPr>
              <w:pStyle w:val="null3"/>
              <w:jc w:val="both"/>
            </w:pPr>
            <w:r>
              <w:rPr>
                <w:rFonts w:ascii="仿宋_GB2312" w:hAnsi="仿宋_GB2312" w:cs="仿宋_GB2312" w:eastAsia="仿宋_GB2312"/>
                <w:sz w:val="24"/>
                <w:b/>
              </w:rPr>
              <w:t>4、服务清单</w:t>
            </w:r>
          </w:p>
          <w:p>
            <w:pPr>
              <w:pStyle w:val="null3"/>
              <w:jc w:val="both"/>
            </w:pPr>
            <w:r>
              <w:rPr>
                <w:rFonts w:ascii="仿宋_GB2312" w:hAnsi="仿宋_GB2312" w:cs="仿宋_GB2312" w:eastAsia="仿宋_GB2312"/>
                <w:sz w:val="24"/>
                <w:b/>
              </w:rPr>
              <w:t>4.1技能大赛</w:t>
            </w:r>
          </w:p>
          <w:p>
            <w:pPr>
              <w:pStyle w:val="null3"/>
              <w:ind w:firstLine="480"/>
              <w:jc w:val="both"/>
            </w:pPr>
            <w:r>
              <w:rPr>
                <w:rFonts w:ascii="仿宋_GB2312" w:hAnsi="仿宋_GB2312" w:cs="仿宋_GB2312" w:eastAsia="仿宋_GB2312"/>
                <w:sz w:val="24"/>
              </w:rPr>
              <w:t>（一）供应商须提供赛题</w:t>
            </w:r>
            <w:r>
              <w:rPr>
                <w:rFonts w:ascii="仿宋_GB2312" w:hAnsi="仿宋_GB2312" w:cs="仿宋_GB2312" w:eastAsia="仿宋_GB2312"/>
                <w:sz w:val="24"/>
              </w:rPr>
              <w:t>，</w:t>
            </w:r>
            <w:r>
              <w:rPr>
                <w:rFonts w:ascii="仿宋_GB2312" w:hAnsi="仿宋_GB2312" w:cs="仿宋_GB2312" w:eastAsia="仿宋_GB2312"/>
                <w:sz w:val="24"/>
              </w:rPr>
              <w:t>包括</w:t>
            </w:r>
            <w:r>
              <w:rPr>
                <w:rFonts w:ascii="仿宋_GB2312" w:hAnsi="仿宋_GB2312" w:cs="仿宋_GB2312" w:eastAsia="仿宋_GB2312"/>
                <w:sz w:val="24"/>
              </w:rPr>
              <w:t>理论知识和网络安全实操，比赛模式参考全国卫生健康行业网络安全技能大赛模式，赛题需贴合卫生健康行业典型网络结构和配置、模拟医疗卫生行业信息系统常见业务风险，结合人工智能等新形势，考察选手在高度贴近实践的场景环境中，分析场景线索、解决实际问题、强化防御技能。</w:t>
            </w:r>
          </w:p>
          <w:p>
            <w:pPr>
              <w:pStyle w:val="null3"/>
              <w:ind w:firstLine="480"/>
              <w:jc w:val="both"/>
            </w:pPr>
            <w:r>
              <w:rPr>
                <w:rFonts w:ascii="仿宋_GB2312" w:hAnsi="仿宋_GB2312" w:cs="仿宋_GB2312" w:eastAsia="仿宋_GB2312"/>
                <w:sz w:val="24"/>
              </w:rPr>
              <w:t>（二）供应商须搭建线上局域网比赛平台，提供参赛数据处理、参赛账号测试、赛前短信通知、赛中运维保障、赛中裁判支持、赛后数据导出服务。</w:t>
            </w:r>
          </w:p>
          <w:p>
            <w:pPr>
              <w:pStyle w:val="null3"/>
              <w:ind w:firstLine="480"/>
              <w:jc w:val="both"/>
            </w:pPr>
            <w:r>
              <w:rPr>
                <w:rFonts w:ascii="仿宋_GB2312" w:hAnsi="仿宋_GB2312" w:cs="仿宋_GB2312" w:eastAsia="仿宋_GB2312"/>
                <w:sz w:val="24"/>
              </w:rPr>
              <w:t>（三）供应商提供比赛平台所涉及到的一切设备和软硬件，包括但不限于服务器、交换机、网线、局域网络组建设备等。</w:t>
            </w:r>
          </w:p>
          <w:p>
            <w:pPr>
              <w:pStyle w:val="null3"/>
              <w:ind w:firstLine="480"/>
              <w:jc w:val="both"/>
            </w:pPr>
            <w:r>
              <w:rPr>
                <w:rFonts w:ascii="仿宋_GB2312" w:hAnsi="仿宋_GB2312" w:cs="仿宋_GB2312" w:eastAsia="仿宋_GB2312"/>
                <w:sz w:val="24"/>
              </w:rPr>
              <w:t>（四）供应商为提供比赛运维保障、应急处理以及裁判服务。</w:t>
            </w:r>
          </w:p>
          <w:p>
            <w:pPr>
              <w:pStyle w:val="null3"/>
              <w:ind w:firstLine="480"/>
              <w:jc w:val="both"/>
            </w:pPr>
            <w:r>
              <w:rPr>
                <w:rFonts w:ascii="仿宋_GB2312" w:hAnsi="仿宋_GB2312" w:cs="仿宋_GB2312" w:eastAsia="仿宋_GB2312"/>
                <w:sz w:val="24"/>
              </w:rPr>
              <w:t>（五）供应商须提供比赛会务组织和保障服务，包括但不限于：比赛场地不小于</w:t>
            </w:r>
            <w:r>
              <w:rPr>
                <w:rFonts w:ascii="仿宋_GB2312" w:hAnsi="仿宋_GB2312" w:cs="仿宋_GB2312" w:eastAsia="仿宋_GB2312"/>
                <w:sz w:val="24"/>
              </w:rPr>
              <w:t>700㎡、住宿餐食、资料印刷、比赛服饰、会场布置、大赛宣传等。</w:t>
            </w:r>
          </w:p>
          <w:p>
            <w:pPr>
              <w:pStyle w:val="null3"/>
              <w:ind w:firstLine="480"/>
              <w:jc w:val="both"/>
            </w:pPr>
            <w:r>
              <w:rPr>
                <w:rFonts w:ascii="仿宋_GB2312" w:hAnsi="仿宋_GB2312" w:cs="仿宋_GB2312" w:eastAsia="仿宋_GB2312"/>
                <w:sz w:val="24"/>
              </w:rPr>
              <w:t>（六）供应商须提供人员识别审核</w:t>
            </w:r>
            <w:r>
              <w:rPr>
                <w:rFonts w:ascii="仿宋_GB2312" w:hAnsi="仿宋_GB2312" w:cs="仿宋_GB2312" w:eastAsia="仿宋_GB2312"/>
                <w:sz w:val="24"/>
              </w:rPr>
              <w:t>,包括但不限于指纹识别、人脸识别等。</w:t>
            </w:r>
          </w:p>
          <w:p>
            <w:pPr>
              <w:pStyle w:val="null3"/>
              <w:ind w:firstLine="480"/>
              <w:jc w:val="both"/>
            </w:pPr>
            <w:r>
              <w:rPr>
                <w:rFonts w:ascii="仿宋_GB2312" w:hAnsi="仿宋_GB2312" w:cs="仿宋_GB2312" w:eastAsia="仿宋_GB2312"/>
                <w:sz w:val="24"/>
              </w:rPr>
              <w:t>（七）供应商须根据采购人的需求提供技能大赛专项培训。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须</w:t>
            </w:r>
            <w:r>
              <w:rPr>
                <w:rFonts w:ascii="仿宋_GB2312" w:hAnsi="仿宋_GB2312" w:cs="仿宋_GB2312" w:eastAsia="仿宋_GB2312"/>
                <w:sz w:val="24"/>
              </w:rPr>
              <w:t>提供不</w:t>
            </w:r>
            <w:r>
              <w:rPr>
                <w:rFonts w:ascii="仿宋_GB2312" w:hAnsi="仿宋_GB2312" w:cs="仿宋_GB2312" w:eastAsia="仿宋_GB2312"/>
                <w:sz w:val="24"/>
              </w:rPr>
              <w:t>少于</w:t>
            </w:r>
            <w:r>
              <w:rPr>
                <w:rFonts w:ascii="仿宋_GB2312" w:hAnsi="仿宋_GB2312" w:cs="仿宋_GB2312" w:eastAsia="仿宋_GB2312"/>
                <w:sz w:val="24"/>
              </w:rPr>
              <w:t>10</w:t>
            </w:r>
            <w:r>
              <w:rPr>
                <w:rFonts w:ascii="仿宋_GB2312" w:hAnsi="仿宋_GB2312" w:cs="仿宋_GB2312" w:eastAsia="仿宋_GB2312"/>
                <w:sz w:val="24"/>
              </w:rPr>
              <w:t>人</w:t>
            </w:r>
            <w:r>
              <w:rPr>
                <w:rFonts w:ascii="仿宋_GB2312" w:hAnsi="仿宋_GB2312" w:cs="仿宋_GB2312" w:eastAsia="仿宋_GB2312"/>
                <w:sz w:val="24"/>
              </w:rPr>
              <w:t>的</w:t>
            </w:r>
            <w:r>
              <w:rPr>
                <w:rFonts w:ascii="仿宋_GB2312" w:hAnsi="仿宋_GB2312" w:cs="仿宋_GB2312" w:eastAsia="仿宋_GB2312"/>
                <w:sz w:val="24"/>
              </w:rPr>
              <w:t>技术</w:t>
            </w:r>
            <w:r>
              <w:rPr>
                <w:rFonts w:ascii="仿宋_GB2312" w:hAnsi="仿宋_GB2312" w:cs="仿宋_GB2312" w:eastAsia="仿宋_GB2312"/>
                <w:sz w:val="24"/>
              </w:rPr>
              <w:t>服务</w:t>
            </w:r>
            <w:r>
              <w:rPr>
                <w:rFonts w:ascii="仿宋_GB2312" w:hAnsi="仿宋_GB2312" w:cs="仿宋_GB2312" w:eastAsia="仿宋_GB2312"/>
                <w:sz w:val="24"/>
              </w:rPr>
              <w:t>团队，</w:t>
            </w:r>
            <w:r>
              <w:rPr>
                <w:rFonts w:ascii="仿宋_GB2312" w:hAnsi="仿宋_GB2312" w:cs="仿宋_GB2312" w:eastAsia="仿宋_GB2312"/>
                <w:sz w:val="24"/>
              </w:rPr>
              <w:t>团队</w:t>
            </w:r>
            <w:r>
              <w:rPr>
                <w:rFonts w:ascii="仿宋_GB2312" w:hAnsi="仿宋_GB2312" w:cs="仿宋_GB2312" w:eastAsia="仿宋_GB2312"/>
                <w:sz w:val="24"/>
              </w:rPr>
              <w:t>成员</w:t>
            </w:r>
            <w:r>
              <w:rPr>
                <w:rFonts w:ascii="仿宋_GB2312" w:hAnsi="仿宋_GB2312" w:cs="仿宋_GB2312" w:eastAsia="仿宋_GB2312"/>
                <w:sz w:val="24"/>
              </w:rPr>
              <w:t>须</w:t>
            </w:r>
            <w:r>
              <w:rPr>
                <w:rFonts w:ascii="仿宋_GB2312" w:hAnsi="仿宋_GB2312" w:cs="仿宋_GB2312" w:eastAsia="仿宋_GB2312"/>
                <w:sz w:val="24"/>
              </w:rPr>
              <w:t>具备</w:t>
            </w:r>
            <w:r>
              <w:rPr>
                <w:rFonts w:ascii="仿宋_GB2312" w:hAnsi="仿宋_GB2312" w:cs="仿宋_GB2312" w:eastAsia="仿宋_GB2312"/>
                <w:sz w:val="24"/>
              </w:rPr>
              <w:t>网络</w:t>
            </w:r>
            <w:r>
              <w:rPr>
                <w:rFonts w:ascii="仿宋_GB2312" w:hAnsi="仿宋_GB2312" w:cs="仿宋_GB2312" w:eastAsia="仿宋_GB2312"/>
                <w:sz w:val="24"/>
              </w:rPr>
              <w:t>安全</w:t>
            </w:r>
            <w:r>
              <w:rPr>
                <w:rFonts w:ascii="仿宋_GB2312" w:hAnsi="仿宋_GB2312" w:cs="仿宋_GB2312" w:eastAsia="仿宋_GB2312"/>
                <w:sz w:val="24"/>
              </w:rPr>
              <w:t>技能</w:t>
            </w:r>
            <w:r>
              <w:rPr>
                <w:rFonts w:ascii="仿宋_GB2312" w:hAnsi="仿宋_GB2312" w:cs="仿宋_GB2312" w:eastAsia="仿宋_GB2312"/>
                <w:sz w:val="24"/>
              </w:rPr>
              <w:t>大赛</w:t>
            </w:r>
            <w:r>
              <w:rPr>
                <w:rFonts w:ascii="仿宋_GB2312" w:hAnsi="仿宋_GB2312" w:cs="仿宋_GB2312" w:eastAsia="仿宋_GB2312"/>
                <w:sz w:val="24"/>
              </w:rPr>
              <w:t>技术</w:t>
            </w:r>
            <w:r>
              <w:rPr>
                <w:rFonts w:ascii="仿宋_GB2312" w:hAnsi="仿宋_GB2312" w:cs="仿宋_GB2312" w:eastAsia="仿宋_GB2312"/>
                <w:sz w:val="24"/>
              </w:rPr>
              <w:t>支撑</w:t>
            </w:r>
            <w:r>
              <w:rPr>
                <w:rFonts w:ascii="仿宋_GB2312" w:hAnsi="仿宋_GB2312" w:cs="仿宋_GB2312" w:eastAsia="仿宋_GB2312"/>
                <w:sz w:val="24"/>
              </w:rPr>
              <w:t>能力</w:t>
            </w:r>
            <w:r>
              <w:rPr>
                <w:rFonts w:ascii="仿宋_GB2312" w:hAnsi="仿宋_GB2312" w:cs="仿宋_GB2312" w:eastAsia="仿宋_GB2312"/>
                <w:sz w:val="24"/>
              </w:rPr>
              <w:t>和</w:t>
            </w:r>
            <w:r>
              <w:rPr>
                <w:rFonts w:ascii="仿宋_GB2312" w:hAnsi="仿宋_GB2312" w:cs="仿宋_GB2312" w:eastAsia="仿宋_GB2312"/>
                <w:sz w:val="24"/>
              </w:rPr>
              <w:t>经验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4.2人员培训</w:t>
            </w:r>
          </w:p>
          <w:p>
            <w:pPr>
              <w:pStyle w:val="null3"/>
              <w:ind w:firstLine="480"/>
              <w:jc w:val="both"/>
            </w:pPr>
            <w:r>
              <w:rPr>
                <w:rFonts w:ascii="仿宋_GB2312" w:hAnsi="仿宋_GB2312" w:cs="仿宋_GB2312" w:eastAsia="仿宋_GB2312"/>
                <w:sz w:val="24"/>
              </w:rPr>
              <w:t>（一）供应商须具备相关大型培训会会务组织服务经验和保障能力，培训不少于</w:t>
            </w:r>
            <w:r>
              <w:rPr>
                <w:rFonts w:ascii="仿宋_GB2312" w:hAnsi="仿宋_GB2312" w:cs="仿宋_GB2312" w:eastAsia="仿宋_GB2312"/>
                <w:sz w:val="24"/>
              </w:rPr>
              <w:t>2-3期，总人数约500人。</w:t>
            </w:r>
          </w:p>
          <w:p>
            <w:pPr>
              <w:pStyle w:val="null3"/>
              <w:ind w:firstLine="480"/>
              <w:jc w:val="both"/>
            </w:pPr>
            <w:r>
              <w:rPr>
                <w:rFonts w:ascii="仿宋_GB2312" w:hAnsi="仿宋_GB2312" w:cs="仿宋_GB2312" w:eastAsia="仿宋_GB2312"/>
                <w:sz w:val="24"/>
              </w:rPr>
              <w:t>（二）供应商须提供现场在线考试测验技术平台，具备在线考试服务和成绩导出汇总能力，提供相关技术保障。</w:t>
            </w:r>
          </w:p>
          <w:p>
            <w:pPr>
              <w:pStyle w:val="null3"/>
              <w:ind w:firstLine="480"/>
              <w:jc w:val="both"/>
            </w:pPr>
            <w:r>
              <w:rPr>
                <w:rFonts w:ascii="仿宋_GB2312" w:hAnsi="仿宋_GB2312" w:cs="仿宋_GB2312" w:eastAsia="仿宋_GB2312"/>
                <w:sz w:val="24"/>
              </w:rPr>
              <w:t>（三）供应商须提供培训会务组织和保障，包括但不限于：可以容纳</w:t>
            </w:r>
            <w:r>
              <w:rPr>
                <w:rFonts w:ascii="仿宋_GB2312" w:hAnsi="仿宋_GB2312" w:cs="仿宋_GB2312" w:eastAsia="仿宋_GB2312"/>
                <w:sz w:val="24"/>
              </w:rPr>
              <w:t>200人培训场地、住宿餐食、资料印刷、会场布置、专家授课及交通、人员接待等。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供应商须提供不少于</w:t>
            </w:r>
            <w:r>
              <w:rPr>
                <w:rFonts w:ascii="仿宋_GB2312" w:hAnsi="仿宋_GB2312" w:cs="仿宋_GB2312" w:eastAsia="仿宋_GB2312"/>
                <w:sz w:val="24"/>
              </w:rPr>
              <w:t>8</w:t>
            </w:r>
            <w:r>
              <w:rPr>
                <w:rFonts w:ascii="仿宋_GB2312" w:hAnsi="仿宋_GB2312" w:cs="仿宋_GB2312" w:eastAsia="仿宋_GB2312"/>
                <w:sz w:val="24"/>
              </w:rPr>
              <w:t>人的</w:t>
            </w:r>
            <w:r>
              <w:rPr>
                <w:rFonts w:ascii="仿宋_GB2312" w:hAnsi="仿宋_GB2312" w:cs="仿宋_GB2312" w:eastAsia="仿宋_GB2312"/>
                <w:sz w:val="24"/>
              </w:rPr>
              <w:t>会务</w:t>
            </w:r>
            <w:r>
              <w:rPr>
                <w:rFonts w:ascii="仿宋_GB2312" w:hAnsi="仿宋_GB2312" w:cs="仿宋_GB2312" w:eastAsia="仿宋_GB2312"/>
                <w:sz w:val="24"/>
              </w:rPr>
              <w:t>组织</w:t>
            </w:r>
            <w:r>
              <w:rPr>
                <w:rFonts w:ascii="仿宋_GB2312" w:hAnsi="仿宋_GB2312" w:cs="仿宋_GB2312" w:eastAsia="仿宋_GB2312"/>
                <w:sz w:val="24"/>
              </w:rPr>
              <w:t>服务团队，团队成员须具备</w:t>
            </w:r>
            <w:r>
              <w:rPr>
                <w:rFonts w:ascii="仿宋_GB2312" w:hAnsi="仿宋_GB2312" w:cs="仿宋_GB2312" w:eastAsia="仿宋_GB2312"/>
                <w:sz w:val="24"/>
              </w:rPr>
              <w:t>会务</w:t>
            </w:r>
            <w:r>
              <w:rPr>
                <w:rFonts w:ascii="仿宋_GB2312" w:hAnsi="仿宋_GB2312" w:cs="仿宋_GB2312" w:eastAsia="仿宋_GB2312"/>
                <w:sz w:val="24"/>
              </w:rPr>
              <w:t>组织</w:t>
            </w:r>
            <w:r>
              <w:rPr>
                <w:rFonts w:ascii="仿宋_GB2312" w:hAnsi="仿宋_GB2312" w:cs="仿宋_GB2312" w:eastAsia="仿宋_GB2312"/>
                <w:sz w:val="24"/>
              </w:rPr>
              <w:t>协调</w:t>
            </w:r>
            <w:r>
              <w:rPr>
                <w:rFonts w:ascii="仿宋_GB2312" w:hAnsi="仿宋_GB2312" w:cs="仿宋_GB2312" w:eastAsia="仿宋_GB2312"/>
                <w:sz w:val="24"/>
              </w:rPr>
              <w:t>能力</w:t>
            </w:r>
            <w:r>
              <w:rPr>
                <w:rFonts w:ascii="仿宋_GB2312" w:hAnsi="仿宋_GB2312" w:cs="仿宋_GB2312" w:eastAsia="仿宋_GB2312"/>
                <w:sz w:val="24"/>
              </w:rPr>
              <w:t>和</w:t>
            </w:r>
            <w:r>
              <w:rPr>
                <w:rFonts w:ascii="仿宋_GB2312" w:hAnsi="仿宋_GB2312" w:cs="仿宋_GB2312" w:eastAsia="仿宋_GB2312"/>
                <w:sz w:val="24"/>
              </w:rPr>
              <w:t>经验。</w:t>
            </w:r>
          </w:p>
          <w:p>
            <w:pPr>
              <w:pStyle w:val="null3"/>
              <w:jc w:val="both"/>
            </w:pPr>
            <w:r>
              <w:rPr>
                <w:rFonts w:ascii="仿宋_GB2312" w:hAnsi="仿宋_GB2312" w:cs="仿宋_GB2312" w:eastAsia="仿宋_GB2312"/>
                <w:sz w:val="24"/>
                <w:b/>
              </w:rPr>
              <w:t>5、服务要求</w:t>
            </w:r>
          </w:p>
          <w:p>
            <w:pPr>
              <w:pStyle w:val="null3"/>
              <w:ind w:firstLine="480"/>
              <w:jc w:val="both"/>
            </w:pPr>
            <w:r>
              <w:rPr>
                <w:rFonts w:ascii="仿宋_GB2312" w:hAnsi="仿宋_GB2312" w:cs="仿宋_GB2312" w:eastAsia="仿宋_GB2312"/>
                <w:sz w:val="24"/>
              </w:rPr>
              <w:t>5.1供应商应及时响应采购人的需求。在依法合规、保证服务质量的前提下，尽可能缩短项目周期，有效完成服务工作。</w:t>
            </w:r>
          </w:p>
          <w:p>
            <w:pPr>
              <w:pStyle w:val="null3"/>
              <w:ind w:firstLine="480"/>
              <w:jc w:val="both"/>
            </w:pPr>
            <w:r>
              <w:rPr>
                <w:rFonts w:ascii="仿宋_GB2312" w:hAnsi="仿宋_GB2312" w:cs="仿宋_GB2312" w:eastAsia="仿宋_GB2312"/>
                <w:sz w:val="24"/>
              </w:rPr>
              <w:t>5.2项目经理在服务期内对项目全程服务质量与成效进行负责与监督，服务期内，项目全体成员应保持稳定，非不可抗原因供应商不得主动更换服务人员，采购人有权提出更换服务人员，变更服务人员需经过采购人确认。</w:t>
            </w:r>
          </w:p>
          <w:p>
            <w:pPr>
              <w:pStyle w:val="null3"/>
              <w:ind w:firstLine="480"/>
              <w:jc w:val="both"/>
            </w:pPr>
            <w:r>
              <w:rPr>
                <w:rFonts w:ascii="仿宋_GB2312" w:hAnsi="仿宋_GB2312" w:cs="仿宋_GB2312" w:eastAsia="仿宋_GB2312"/>
                <w:sz w:val="24"/>
              </w:rPr>
              <w:t>5.3供应商未经采购人书面同意，供应商不得分包本项目，不得将本项目所确定的服务事项转让第三方。</w:t>
            </w:r>
          </w:p>
          <w:p>
            <w:pPr>
              <w:pStyle w:val="null3"/>
              <w:ind w:firstLine="480"/>
              <w:jc w:val="both"/>
            </w:pPr>
            <w:r>
              <w:rPr>
                <w:rFonts w:ascii="仿宋_GB2312" w:hAnsi="仿宋_GB2312" w:cs="仿宋_GB2312" w:eastAsia="仿宋_GB2312"/>
                <w:sz w:val="24"/>
              </w:rPr>
              <w:t>5.4供应商对履行本项目过程中采购人提供的所有资料保密，在所有服务工作完毕后，需将采购人提供的实物资料、信息及素材及时归还采购人。</w:t>
            </w:r>
          </w:p>
          <w:p>
            <w:pPr>
              <w:pStyle w:val="null3"/>
              <w:ind w:firstLine="480"/>
              <w:jc w:val="both"/>
            </w:pPr>
            <w:r>
              <w:rPr>
                <w:rFonts w:ascii="仿宋_GB2312" w:hAnsi="仿宋_GB2312" w:cs="仿宋_GB2312" w:eastAsia="仿宋_GB2312"/>
                <w:sz w:val="24"/>
              </w:rPr>
              <w:t>5.5供应商及时汇报阶段性工作成果，接受采购人合理合规意见，如有重大项目双方可另行约定相关事宜。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合同签订后1年，具体时间和地点由采购人确定。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进度款，合同签订后，提供当期付款金额的增值税普通发票后，达到付款条件起20个工作日内，支付合同总金额的70.0%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进度款，项目通过最终验收后，提供当期付款金额的增值税普通发票后，达到付款条件起20个工作日内，支付合同总金额的30.0%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合同执行过程中发生的任何争议，如双方不能通过友好协商解决，按相关法律法规处理。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法定代表人直接投标须提交其法定代表人证明书，法定代表人授权代表参加投标的，须出具法定代表人证明书及授权书（被授权代表需提供近半年内任意一个月的社会保障资金缴纳证明）；</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供应商须提供2024年度或2025年度经会计师事务所审计的审计报告（新成立企业可从成立当年开始提供相对应的财务报表）或其基本存款账户开户银行出具的资信证明（资信证明开具日期为采购公告发布之日后）；</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供应商须提供磋商截止时间前半年内任意一个月的税收缴纳证明（依法免税或零申报的供应商须提供相关文件证明；若为新成立企业可提供相应月度的缴税证明）；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供应商须提供磋商截止时间前半年内任意一个月的社会保险缴纳证明（依法不需要缴纳社会保障资金的供应商应提供相关文件证明；若为新成立企业可提供相应月度的社会保险缴纳证明）；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不强制要求供应商提供，以采购代理机构在开标现场查询）；</w:t>
            </w:r>
          </w:p>
        </w:tc>
        <w:tc>
          <w:tcPr>
            <w:tcW w:type="dxa" w:w="1661"/>
          </w:tcPr>
          <w:p>
            <w:pPr>
              <w:pStyle w:val="null3"/>
            </w:pPr>
            <w:r>
              <w:rPr>
                <w:rFonts w:ascii="仿宋_GB2312" w:hAnsi="仿宋_GB2312" w:cs="仿宋_GB2312" w:eastAsia="仿宋_GB2312"/>
              </w:rPr>
              <w:t>供应商特定资格要求证明文件.docx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磋商响应文件密封、签署、盖章及磋商有效期符合磋商文件要求</w:t>
            </w:r>
          </w:p>
        </w:tc>
        <w:tc>
          <w:tcPr>
            <w:tcW w:type="dxa" w:w="1661"/>
          </w:tcPr>
          <w:p>
            <w:pPr>
              <w:pStyle w:val="null3"/>
            </w:pPr>
            <w:r>
              <w:rPr>
                <w:rFonts w:ascii="仿宋_GB2312" w:hAnsi="仿宋_GB2312" w:cs="仿宋_GB2312" w:eastAsia="仿宋_GB2312"/>
              </w:rPr>
              <w:t>供应商特定资格要求证明文件.docx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磋商内容未出现漏项；数量与要求一致</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响应服务的技术指标无重大偏离，未造成服务档次降低或严重影响服务、履约能力的</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供应商需要说明的其他内容.docx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技能大赛组织实施方案</w:t>
            </w:r>
          </w:p>
        </w:tc>
        <w:tc>
          <w:tcPr>
            <w:tcW w:type="dxa" w:w="2492"/>
          </w:tcPr>
          <w:p>
            <w:pPr>
              <w:pStyle w:val="null3"/>
            </w:pPr>
            <w:r>
              <w:rPr>
                <w:rFonts w:ascii="仿宋_GB2312" w:hAnsi="仿宋_GB2312" w:cs="仿宋_GB2312" w:eastAsia="仿宋_GB2312"/>
              </w:rPr>
              <w:t>一、评审内容 供应商针对本项目提供技能大赛组织实施方案，包含但不限于：①项目分析、理解；②活动筹备、执行方案；③活动场地选择及布置方案；④服务进度计划；⑤赛务保障方案等。 二、评审标准 1.完整性：方案完整、内容全面，对评审内容中的各项要求有详细描述及说明； 2.可实施性：方案科学合理，服务高效，可操作性强； 3.针对性：方案能紧扣本项目实际情况，有侧重点，满足各项具体要求。 三、赋分标准 ①项目分析、理解：每满足一项评审标准得1分，满分3分； ②活动筹备、执行方案：每满足一项评审标准得1分，满分3分； ③活动场地选择及布置方案：每满足一项评审标准得1分，满分3分； ④服务进度计划：每满足一项评审标准得1分，满分3分； ⑤赛务保障方案：每满足一项评审标准得1分，满分3分。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磋商响应方案--技能大赛组织实施方案.docx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人员培训组织实施方案</w:t>
            </w:r>
          </w:p>
        </w:tc>
        <w:tc>
          <w:tcPr>
            <w:tcW w:type="dxa" w:w="2492"/>
          </w:tcPr>
          <w:p>
            <w:pPr>
              <w:pStyle w:val="null3"/>
            </w:pPr>
            <w:r>
              <w:rPr>
                <w:rFonts w:ascii="仿宋_GB2312" w:hAnsi="仿宋_GB2312" w:cs="仿宋_GB2312" w:eastAsia="仿宋_GB2312"/>
              </w:rPr>
              <w:t>一、评审内容 供应商针对本项目提供人员培训组织实施方案，包含但不限于：①项目分析、理解；②活动筹备、执行方案；③活动场地选择及布置方案；④服务进度计划；⑤活动保障方案等。 二、评审标准 1.完整性：方案全面，对评审内容中的各项要求有详细描述； 2.可实施性及针对性：切合本项目实际情况，提出步骤清晰、合理的方案，方案能够紧扣项目实际情况，内容科学合理。 三、赋分标准 ①项目分析、理解：每满足一项评审标准得1分，满分2分； ②活动筹备、执行方案：每满足一项评审标准得1分，满分2分； ③活动场地选择及布置方案：每满足一项评审标准得1分，满分2分； ④服务进度计划：每满足一项评审标准得1分，满分2分； ⑤活动保障方案：每满足一项评审标准得1分，满分2分。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磋商响应方案--人员培训组织实施方案.docx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供应商针对本项目提供服务质量保障，包括但不限于：①服务质量保证措施及保障体系；②各环节衔接保障措施；③各方沟通协调方案。 二、评审标准 1.完整性：方案完整、内容全面，对评审内容中的各项要求有详细描述及说明； 2.可实施性：方案科学合理，服务高效，可操作性强； 3.针对性：方案能紧扣本项目实际情况，有侧重点，满足各项具体要求。 三、赋分标准 ①服务质量保证措施及保障体系：每满足一项评审标准得1分，满分3分； ②各环节衔接保障措施：每满足一项评审标准得1分，满分3分； ③各方沟通协调方案：每满足一项评审标准得1分，满分3分。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磋商响应方案--服务质量保障.docx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供应商针对本项目提供应急预案，包括但不限于：①突发事件应急保障措施；②设施设备应急处理时限及计划；③大赛平台应急保障措施等。 二、评审标准 1.完整性：方案全面，对评审内容中的各项要求有详细描述； 2.可实施性及针对性：切合本项目实际情况，提出步骤清晰、合理的方案，方案能够紧扣项目实际情况，内容科学合理。 三、赋分标准 ①突发事件应急保障措施：每满足一项评审标准得1分，满分2分； ②设施设备应急处理时限及计划：每满足一项评审标准得1分，满分2分； ③大赛平台应急保障措施：每满足一项评审标准得1分，满分2分。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磋商响应方案--应急预案.docx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1.拟派项目负责人具有大学本科及以上学历的得1分； 注：须提供身份证复印件、毕业证书扫描件或学信网截图或教育部颁发的学历证明文件及磋商截止日之前六个月内任意一个月在供应商单位所缴纳的社保证明材料。 2.拟派项目负责人具有信息系统项目管理师证书的得2分，提供证书复印件； 3.拟派项目负责人具有组织网络安全技能大赛管理经验的，提供相关证明材料，每提供一份得1分，最高得2分。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磋商响应方案--项目负责人.docx</w:t>
            </w:r>
          </w:p>
        </w:tc>
      </w:tr>
      <w:tr>
        <w:tc>
          <w:tcPr>
            <w:tcW w:type="dxa" w:w="831"/>
            <w:vMerge/>
          </w:tcPr>
          <w:p/>
        </w:tc>
        <w:tc>
          <w:tcPr>
            <w:tcW w:type="dxa" w:w="1661"/>
          </w:tcPr>
          <w:p>
            <w:pPr>
              <w:pStyle w:val="null3"/>
            </w:pPr>
            <w:r>
              <w:rPr>
                <w:rFonts w:ascii="仿宋_GB2312" w:hAnsi="仿宋_GB2312" w:cs="仿宋_GB2312" w:eastAsia="仿宋_GB2312"/>
              </w:rPr>
              <w:t>技术团队</w:t>
            </w:r>
          </w:p>
        </w:tc>
        <w:tc>
          <w:tcPr>
            <w:tcW w:type="dxa" w:w="2492"/>
          </w:tcPr>
          <w:p>
            <w:pPr>
              <w:pStyle w:val="null3"/>
            </w:pPr>
            <w:r>
              <w:rPr>
                <w:rFonts w:ascii="仿宋_GB2312" w:hAnsi="仿宋_GB2312" w:cs="仿宋_GB2312" w:eastAsia="仿宋_GB2312"/>
              </w:rPr>
              <w:t>供应商为本项目成立技术服务团队，在满足项目需求的技术人员数量要求下，每增加1名团队成员加1分，最高得5分。 注：须提供技术团队人员清单、身份证及磋商截止日之前六个月内任意一个月在供应商单位所缴纳的社保证明材料，否则不计分。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磋商响应方案--技术团队.docx</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拟派技术团队中具有“信息安全类相关证书”的，每提供一个有效证书得1分，最高得10分。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磋商响应方案--人员资质.docx</w:t>
            </w:r>
          </w:p>
        </w:tc>
      </w:tr>
      <w:tr>
        <w:tc>
          <w:tcPr>
            <w:tcW w:type="dxa" w:w="831"/>
            <w:vMerge/>
          </w:tcPr>
          <w:p/>
        </w:tc>
        <w:tc>
          <w:tcPr>
            <w:tcW w:type="dxa" w:w="1661"/>
          </w:tcPr>
          <w:p>
            <w:pPr>
              <w:pStyle w:val="null3"/>
            </w:pPr>
            <w:r>
              <w:rPr>
                <w:rFonts w:ascii="仿宋_GB2312" w:hAnsi="仿宋_GB2312" w:cs="仿宋_GB2312" w:eastAsia="仿宋_GB2312"/>
              </w:rPr>
              <w:t>培训、保密方案</w:t>
            </w:r>
          </w:p>
        </w:tc>
        <w:tc>
          <w:tcPr>
            <w:tcW w:type="dxa" w:w="2492"/>
          </w:tcPr>
          <w:p>
            <w:pPr>
              <w:pStyle w:val="null3"/>
            </w:pPr>
            <w:r>
              <w:rPr>
                <w:rFonts w:ascii="仿宋_GB2312" w:hAnsi="仿宋_GB2312" w:cs="仿宋_GB2312" w:eastAsia="仿宋_GB2312"/>
              </w:rPr>
              <w:t>一、评审内容 供应商根据本项目提供培训、保密方案，包括但不限于：①培训计划、②培训目标、③培训内容、④培训考核方式、⑤保密方案、⑥保密承诺。 二、赋分标准 每提供⼀个得1分，缺项不得分。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磋商响应方案--培训、保密方案.docx</w:t>
            </w:r>
          </w:p>
        </w:tc>
      </w:tr>
      <w:tr>
        <w:tc>
          <w:tcPr>
            <w:tcW w:type="dxa" w:w="831"/>
            <w:vMerge/>
          </w:tcPr>
          <w:p/>
        </w:tc>
        <w:tc>
          <w:tcPr>
            <w:tcW w:type="dxa" w:w="1661"/>
          </w:tcPr>
          <w:p>
            <w:pPr>
              <w:pStyle w:val="null3"/>
            </w:pPr>
            <w:r>
              <w:rPr>
                <w:rFonts w:ascii="仿宋_GB2312" w:hAnsi="仿宋_GB2312" w:cs="仿宋_GB2312" w:eastAsia="仿宋_GB2312"/>
              </w:rPr>
              <w:t>重难点分析、合理化建议</w:t>
            </w:r>
          </w:p>
        </w:tc>
        <w:tc>
          <w:tcPr>
            <w:tcW w:type="dxa" w:w="2492"/>
          </w:tcPr>
          <w:p>
            <w:pPr>
              <w:pStyle w:val="null3"/>
            </w:pPr>
            <w:r>
              <w:rPr>
                <w:rFonts w:ascii="仿宋_GB2312" w:hAnsi="仿宋_GB2312" w:cs="仿宋_GB2312" w:eastAsia="仿宋_GB2312"/>
              </w:rPr>
              <w:t>一、评审内容 供应商根据本项目提供重难点分析、合理化建议，包括但不限于：①重点、难点分析②应对措施③合理化建议。 二、赋分标准 每提供⼀个得2分，缺项不得分。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磋商响应方案--重难点分析、合理化建议.docx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供应商针对本项目提供服务承诺，应包括但不限于以下内容： ①服务质量承诺（包含但不限于：服务能力、响应程度、场地与设施保障、住宿与餐饮保障、会务与现场服务等）。 ②服务响应与保障的承诺（包含但不限于：优先服务与履约保障、应急与风险保障等）。 ③技术服务人员数量及质量的承诺。 ④供应商承诺在活动开始前和采购人积极沟通协调组织的各项内容，并针对采购人提出的整改要求进行修正，供应商承诺积极配合采购人要求及时修改工作计划和方案。 二、赋分标准 每提供⼀个得2分，缺项不得分。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1.供应商提供自2023年6月1日至今承担过组织技能大赛服务类项目业绩（以合同签订时间为准），每提供一份有效业绩证明材料得2分，最多得6分。 2.供应商提供自2023年6月1日至今承担过组织培训服务类项目业绩（以合同签订时间为准），每提供一份有效业绩证明材料得2分，最多得4分。 须提供完整合同复印件并加盖供应商公章，否则不计分。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磋商报价得分＝（磋商基准价／最后磋商报价）×10 【备注：磋商小组认为供应商报价明显低于其他供应商的报价，有可能影响服务质量或者不能诚信履约的，要求供应商提供书面说明以及相关证明材料证明其报价的合理性，否则，将被作为无效投标处理。】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详见附件：供应商特定资格要求证明文件.docx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详见附件：磋商响应方案--技能大赛组织实施方案.docx</w:t>
      </w:r>
    </w:p>
    <w:p>
      <w:pPr>
        <w:pStyle w:val="null3"/>
        <w:ind w:firstLine="960"/>
      </w:pPr>
      <w:r>
        <w:rPr>
          <w:rFonts w:ascii="仿宋_GB2312" w:hAnsi="仿宋_GB2312" w:cs="仿宋_GB2312" w:eastAsia="仿宋_GB2312"/>
        </w:rPr>
        <w:t>详见附件：磋商响应方案--人员培训组织实施方案.docx</w:t>
      </w:r>
    </w:p>
    <w:p>
      <w:pPr>
        <w:pStyle w:val="null3"/>
        <w:ind w:firstLine="960"/>
      </w:pPr>
      <w:r>
        <w:rPr>
          <w:rFonts w:ascii="仿宋_GB2312" w:hAnsi="仿宋_GB2312" w:cs="仿宋_GB2312" w:eastAsia="仿宋_GB2312"/>
        </w:rPr>
        <w:t>详见附件：磋商响应方案--服务质量保障.docx</w:t>
      </w:r>
    </w:p>
    <w:p>
      <w:pPr>
        <w:pStyle w:val="null3"/>
        <w:ind w:firstLine="960"/>
      </w:pPr>
      <w:r>
        <w:rPr>
          <w:rFonts w:ascii="仿宋_GB2312" w:hAnsi="仿宋_GB2312" w:cs="仿宋_GB2312" w:eastAsia="仿宋_GB2312"/>
        </w:rPr>
        <w:t>详见附件：磋商响应方案--应急预案.docx</w:t>
      </w:r>
    </w:p>
    <w:p>
      <w:pPr>
        <w:pStyle w:val="null3"/>
        <w:ind w:firstLine="960"/>
      </w:pPr>
      <w:r>
        <w:rPr>
          <w:rFonts w:ascii="仿宋_GB2312" w:hAnsi="仿宋_GB2312" w:cs="仿宋_GB2312" w:eastAsia="仿宋_GB2312"/>
        </w:rPr>
        <w:t>详见附件：磋商响应方案--项目负责人.docx</w:t>
      </w:r>
    </w:p>
    <w:p>
      <w:pPr>
        <w:pStyle w:val="null3"/>
        <w:ind w:firstLine="960"/>
      </w:pPr>
      <w:r>
        <w:rPr>
          <w:rFonts w:ascii="仿宋_GB2312" w:hAnsi="仿宋_GB2312" w:cs="仿宋_GB2312" w:eastAsia="仿宋_GB2312"/>
        </w:rPr>
        <w:t>详见附件：磋商响应方案--技术团队.docx</w:t>
      </w:r>
    </w:p>
    <w:p>
      <w:pPr>
        <w:pStyle w:val="null3"/>
        <w:ind w:firstLine="960"/>
      </w:pPr>
      <w:r>
        <w:rPr>
          <w:rFonts w:ascii="仿宋_GB2312" w:hAnsi="仿宋_GB2312" w:cs="仿宋_GB2312" w:eastAsia="仿宋_GB2312"/>
        </w:rPr>
        <w:t>详见附件：磋商响应方案--人员资质.docx</w:t>
      </w:r>
    </w:p>
    <w:p>
      <w:pPr>
        <w:pStyle w:val="null3"/>
        <w:ind w:firstLine="960"/>
      </w:pPr>
      <w:r>
        <w:rPr>
          <w:rFonts w:ascii="仿宋_GB2312" w:hAnsi="仿宋_GB2312" w:cs="仿宋_GB2312" w:eastAsia="仿宋_GB2312"/>
        </w:rPr>
        <w:t>详见附件：磋商响应方案--培训、保密方案.docx</w:t>
      </w:r>
    </w:p>
    <w:p>
      <w:pPr>
        <w:pStyle w:val="null3"/>
        <w:ind w:firstLine="960"/>
      </w:pPr>
      <w:r>
        <w:rPr>
          <w:rFonts w:ascii="仿宋_GB2312" w:hAnsi="仿宋_GB2312" w:cs="仿宋_GB2312" w:eastAsia="仿宋_GB2312"/>
        </w:rPr>
        <w:t>详见附件：磋商响应方案--重难点分析、合理化建议.docx</w:t>
      </w:r>
    </w:p>
    <w:p>
      <w:pPr>
        <w:pStyle w:val="null3"/>
        <w:ind w:firstLine="960"/>
      </w:pPr>
      <w:r>
        <w:rPr>
          <w:rFonts w:ascii="仿宋_GB2312" w:hAnsi="仿宋_GB2312" w:cs="仿宋_GB2312" w:eastAsia="仿宋_GB2312"/>
        </w:rPr>
        <w:t>详见附件：磋商响应方案--服务承诺.docx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