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D2AA36">
      <w:pPr>
        <w:pStyle w:val="2"/>
        <w:keepNext w:val="0"/>
        <w:pageBreakBefore/>
        <w:numPr>
          <w:ilvl w:val="0"/>
          <w:numId w:val="0"/>
        </w:numPr>
        <w:jc w:val="center"/>
        <w:rPr>
          <w:rFonts w:ascii="宋体" w:hAnsi="宋体" w:cs="宋体"/>
          <w:color w:val="000000"/>
          <w:szCs w:val="32"/>
        </w:rPr>
      </w:pPr>
      <w:bookmarkStart w:id="0" w:name="_Toc16046"/>
      <w:r>
        <w:rPr>
          <w:rFonts w:ascii="宋体" w:hAnsi="宋体" w:cs="宋体"/>
          <w:color w:val="000000"/>
          <w:szCs w:val="32"/>
        </w:rPr>
        <w:t>采购内容和技术要求</w:t>
      </w:r>
      <w:bookmarkEnd w:id="0"/>
    </w:p>
    <w:p w14:paraId="7658EB21">
      <w:pPr>
        <w:keepNext/>
        <w:keepLines w:val="0"/>
        <w:pageBreakBefore w:val="0"/>
        <w:widowControl w:val="0"/>
        <w:numPr>
          <w:ilvl w:val="0"/>
          <w:numId w:val="0"/>
        </w:numPr>
        <w:tabs>
          <w:tab w:val="left" w:pos="0"/>
        </w:tabs>
        <w:kinsoku/>
        <w:wordWrap/>
        <w:overflowPunct/>
        <w:topLinePunct w:val="0"/>
        <w:bidi w:val="0"/>
        <w:snapToGrid w:val="0"/>
        <w:spacing w:line="600" w:lineRule="exact"/>
        <w:ind w:left="0" w:leftChars="0" w:right="0" w:firstLine="482" w:firstLineChars="200"/>
        <w:textAlignment w:val="auto"/>
        <w:rPr>
          <w:rStyle w:val="8"/>
          <w:rFonts w:hint="eastAsia" w:ascii="宋体" w:hAnsi="宋体" w:eastAsia="宋体" w:cs="宋体"/>
          <w:b/>
          <w:sz w:val="24"/>
          <w:szCs w:val="24"/>
        </w:rPr>
      </w:pPr>
      <w:r>
        <w:rPr>
          <w:rFonts w:hint="eastAsia" w:ascii="宋体" w:hAnsi="宋体" w:eastAsia="宋体" w:cs="宋体"/>
          <w:b/>
          <w:kern w:val="2"/>
          <w:sz w:val="24"/>
          <w:szCs w:val="24"/>
          <w:lang w:val="en-US" w:eastAsia="zh-CN" w:bidi="ar-SA"/>
        </w:rPr>
        <w:t>一、</w:t>
      </w:r>
      <w:r>
        <w:rPr>
          <w:rStyle w:val="8"/>
          <w:rFonts w:hint="eastAsia" w:ascii="宋体" w:hAnsi="宋体" w:eastAsia="宋体" w:cs="宋体"/>
          <w:b/>
          <w:sz w:val="24"/>
          <w:szCs w:val="24"/>
        </w:rPr>
        <w:t>服务内容</w:t>
      </w:r>
    </w:p>
    <w:p w14:paraId="761F3081">
      <w:pPr>
        <w:pStyle w:val="5"/>
        <w:keepLines w:val="0"/>
        <w:pageBreakBefore w:val="0"/>
        <w:widowControl w:val="0"/>
        <w:kinsoku/>
        <w:wordWrap/>
        <w:overflowPunct/>
        <w:topLinePunct w:val="0"/>
        <w:bidi w:val="0"/>
        <w:spacing w:line="600" w:lineRule="exact"/>
        <w:ind w:left="0" w:right="0" w:firstLine="640"/>
        <w:textAlignment w:val="auto"/>
        <w:rPr>
          <w:rFonts w:hint="eastAsia" w:ascii="宋体" w:hAnsi="宋体" w:eastAsia="宋体" w:cs="宋体"/>
          <w:sz w:val="24"/>
          <w:szCs w:val="24"/>
        </w:rPr>
      </w:pPr>
      <w:r>
        <w:rPr>
          <w:rFonts w:hint="eastAsia" w:ascii="宋体" w:hAnsi="宋体" w:eastAsia="宋体" w:cs="宋体"/>
          <w:sz w:val="24"/>
          <w:szCs w:val="24"/>
        </w:rPr>
        <w:t>按照要求编制《宜川县城市公益性公墓及殡仪馆提升改造项目农用地转用和土地征收组卷报批</w:t>
      </w:r>
      <w:r>
        <w:rPr>
          <w:rFonts w:hint="eastAsia" w:ascii="宋体" w:hAnsi="宋体" w:eastAsia="宋体" w:cs="宋体"/>
          <w:bCs/>
          <w:sz w:val="24"/>
          <w:szCs w:val="24"/>
        </w:rPr>
        <w:t>服务</w:t>
      </w:r>
      <w:r>
        <w:rPr>
          <w:rFonts w:hint="eastAsia" w:ascii="宋体" w:hAnsi="宋体" w:eastAsia="宋体" w:cs="宋体"/>
          <w:sz w:val="24"/>
          <w:szCs w:val="24"/>
        </w:rPr>
        <w:t>》工作内容包括：确定项目范围；办理项目土地预选址意见书；节约集约用地论证分析专章报告；编制项目可行性研究报告；项目初步设计报告；勘测定界及地类认定；完成稳定性风险评估；地质灾害评估报告及备案；林、草地审核同意书；水土保持方案及批复；环境影响评价报告及批复；压覆重要矿产资源批复；建设用地土地组卷报批通过县市省审查并取得陕西省人民政府建设用地批文等工作。</w:t>
      </w:r>
    </w:p>
    <w:p w14:paraId="609777A3">
      <w:pPr>
        <w:pStyle w:val="5"/>
        <w:keepLines w:val="0"/>
        <w:pageBreakBefore w:val="0"/>
        <w:widowControl w:val="0"/>
        <w:kinsoku/>
        <w:wordWrap/>
        <w:overflowPunct/>
        <w:topLinePunct w:val="0"/>
        <w:bidi w:val="0"/>
        <w:spacing w:line="600" w:lineRule="exact"/>
        <w:ind w:left="0" w:right="0" w:firstLine="640"/>
        <w:textAlignment w:val="auto"/>
        <w:rPr>
          <w:rFonts w:hint="eastAsia" w:ascii="宋体" w:hAnsi="宋体" w:eastAsia="宋体" w:cs="宋体"/>
          <w:sz w:val="24"/>
          <w:szCs w:val="24"/>
        </w:rPr>
      </w:pPr>
      <w:r>
        <w:rPr>
          <w:rFonts w:hint="eastAsia" w:ascii="宋体" w:hAnsi="宋体" w:eastAsia="宋体" w:cs="宋体"/>
          <w:sz w:val="24"/>
          <w:szCs w:val="24"/>
        </w:rPr>
        <w:t>附件：宜川县城市公益性公墓及殡仪馆提升改造项目农用地转用和土地征收组卷报批</w:t>
      </w:r>
      <w:r>
        <w:rPr>
          <w:rFonts w:hint="eastAsia" w:ascii="宋体" w:hAnsi="宋体" w:eastAsia="宋体" w:cs="宋体"/>
          <w:bCs/>
          <w:sz w:val="24"/>
          <w:szCs w:val="24"/>
        </w:rPr>
        <w:t>服务</w:t>
      </w:r>
      <w:r>
        <w:rPr>
          <w:rFonts w:hint="eastAsia" w:ascii="宋体" w:hAnsi="宋体" w:eastAsia="宋体" w:cs="宋体"/>
          <w:sz w:val="24"/>
          <w:szCs w:val="24"/>
        </w:rPr>
        <w:t>工作内容明细表</w:t>
      </w:r>
    </w:p>
    <w:tbl>
      <w:tblPr>
        <w:tblStyle w:val="6"/>
        <w:tblW w:w="8300" w:type="dxa"/>
        <w:tblInd w:w="14" w:type="dxa"/>
        <w:tblLayout w:type="fixed"/>
        <w:tblCellMar>
          <w:top w:w="0" w:type="dxa"/>
          <w:left w:w="108" w:type="dxa"/>
          <w:bottom w:w="0" w:type="dxa"/>
          <w:right w:w="108" w:type="dxa"/>
        </w:tblCellMar>
      </w:tblPr>
      <w:tblGrid>
        <w:gridCol w:w="970"/>
        <w:gridCol w:w="3428"/>
        <w:gridCol w:w="3902"/>
      </w:tblGrid>
      <w:tr w14:paraId="7B4CF211">
        <w:tblPrEx>
          <w:tblCellMar>
            <w:top w:w="0" w:type="dxa"/>
            <w:left w:w="108" w:type="dxa"/>
            <w:bottom w:w="0" w:type="dxa"/>
            <w:right w:w="108" w:type="dxa"/>
          </w:tblCellMar>
        </w:tblPrEx>
        <w:trPr>
          <w:trHeight w:val="508"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54B3C6F">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0FC0D94">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名称</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FDBA785">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内容</w:t>
            </w:r>
          </w:p>
        </w:tc>
      </w:tr>
      <w:tr w14:paraId="08541276">
        <w:tblPrEx>
          <w:tblCellMar>
            <w:top w:w="0" w:type="dxa"/>
            <w:left w:w="108" w:type="dxa"/>
            <w:bottom w:w="0" w:type="dxa"/>
            <w:right w:w="108" w:type="dxa"/>
          </w:tblCellMar>
        </w:tblPrEx>
        <w:trPr>
          <w:trHeight w:val="1858"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90353AA">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bookmarkStart w:id="1" w:name="_Hlk234494858"/>
            <w:r>
              <w:rPr>
                <w:rFonts w:hint="eastAsia" w:ascii="宋体" w:hAnsi="宋体" w:eastAsia="宋体" w:cs="宋体"/>
                <w:color w:val="000000"/>
                <w:sz w:val="24"/>
                <w:szCs w:val="24"/>
              </w:rPr>
              <w:t>1</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845DBA0">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土地预选址意见书</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244A896">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负责办理项目前期核查地块规划合规、用地规模、地类管控等事项，向自然资源部门提交预审材料申请，通过审查后，核发预选址意见书。</w:t>
            </w:r>
          </w:p>
        </w:tc>
      </w:tr>
      <w:bookmarkEnd w:id="1"/>
      <w:tr w14:paraId="5D95C44A">
        <w:tblPrEx>
          <w:tblCellMar>
            <w:top w:w="0" w:type="dxa"/>
            <w:left w:w="108" w:type="dxa"/>
            <w:bottom w:w="0" w:type="dxa"/>
            <w:right w:w="108" w:type="dxa"/>
          </w:tblCellMar>
        </w:tblPrEx>
        <w:trPr>
          <w:trHeight w:val="2215"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D7029A8">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3D3F868">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节约集约用地论证分析专章报告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025C665">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对项目占用耕地必要性和合理性、用地规模与功能分区合理性、节地水平先进性，进行多方案必选结论，并编制节约集约专章报告，上报自然资源部门审查通过后，取得相关批复。</w:t>
            </w:r>
          </w:p>
        </w:tc>
      </w:tr>
      <w:tr w14:paraId="0D9C0EF9">
        <w:tblPrEx>
          <w:tblCellMar>
            <w:top w:w="0" w:type="dxa"/>
            <w:left w:w="108" w:type="dxa"/>
            <w:bottom w:w="0" w:type="dxa"/>
            <w:right w:w="108" w:type="dxa"/>
          </w:tblCellMar>
        </w:tblPrEx>
        <w:trPr>
          <w:trHeight w:val="2327"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70FA8BC4">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60DBF8E">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可行性研究报告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27629B4">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对项目建设必要性、选址用地、工程技术方案、投资估算、资源配套等方面进行多维度论证，编制可研报告并提交行业主管部门审批，并拿到相关批复文件。</w:t>
            </w:r>
          </w:p>
        </w:tc>
      </w:tr>
      <w:tr w14:paraId="2C5B70C9">
        <w:tblPrEx>
          <w:tblCellMar>
            <w:top w:w="0" w:type="dxa"/>
            <w:left w:w="108" w:type="dxa"/>
            <w:bottom w:w="0" w:type="dxa"/>
            <w:right w:w="108" w:type="dxa"/>
          </w:tblCellMar>
        </w:tblPrEx>
        <w:trPr>
          <w:trHeight w:val="2728"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74913F1">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62A7C3B">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初步设计报告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2EAFA16">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对项目建筑结构、电气、暖通等各专业设计，配套工程、总平面设计、工程概算、节能、消防、环保等专项设计，细化各专业工程方案并编制概算，形成初步设计报告报送主管部门评审，并取得相关批复文件。</w:t>
            </w:r>
          </w:p>
        </w:tc>
      </w:tr>
      <w:tr w14:paraId="76D61A65">
        <w:tblPrEx>
          <w:tblCellMar>
            <w:top w:w="0" w:type="dxa"/>
            <w:left w:w="108" w:type="dxa"/>
            <w:bottom w:w="0" w:type="dxa"/>
            <w:right w:w="108" w:type="dxa"/>
          </w:tblCellMar>
        </w:tblPrEx>
        <w:trPr>
          <w:trHeight w:val="2399"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28A2AC8D">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1E015F9">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勘测定界及地类认定</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EC37974">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对项目实地测量用地边界、界址坐标，查清地块权属、地类、各地类面积并绘图制表形成技术测绘成果，上报自然资源部门审查后，出具正式勘测定界报告</w:t>
            </w:r>
          </w:p>
        </w:tc>
      </w:tr>
      <w:tr w14:paraId="21A00C39">
        <w:tblPrEx>
          <w:tblCellMar>
            <w:top w:w="0" w:type="dxa"/>
            <w:left w:w="108" w:type="dxa"/>
            <w:bottom w:w="0" w:type="dxa"/>
            <w:right w:w="108" w:type="dxa"/>
          </w:tblCellMar>
        </w:tblPrEx>
        <w:trPr>
          <w:trHeight w:val="2754"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AB5446C">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285635F">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bookmarkStart w:id="2" w:name="OLE_LINK3"/>
            <w:bookmarkStart w:id="3" w:name="OLE_LINK4"/>
            <w:r>
              <w:rPr>
                <w:rFonts w:hint="eastAsia" w:ascii="宋体" w:hAnsi="宋体" w:eastAsia="宋体" w:cs="宋体"/>
                <w:color w:val="000000"/>
                <w:sz w:val="24"/>
                <w:szCs w:val="24"/>
              </w:rPr>
              <w:t>稳定性风险评估</w:t>
            </w:r>
            <w:bookmarkEnd w:id="2"/>
            <w:bookmarkEnd w:id="3"/>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F7A6AE4">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负责办理建设项目稳评和土地征收稳评，评估项目整体全流程社会风险评估编制项目稳定性风险评估；走访征求群众意见，排查征地拆迁、环境影响等隐患，编制土地征收稳评分析材料并经专家评审通过、政法委备案。</w:t>
            </w:r>
          </w:p>
        </w:tc>
      </w:tr>
      <w:tr w14:paraId="64AD385D">
        <w:tblPrEx>
          <w:tblCellMar>
            <w:top w:w="0" w:type="dxa"/>
            <w:left w:w="108" w:type="dxa"/>
            <w:bottom w:w="0" w:type="dxa"/>
            <w:right w:w="108" w:type="dxa"/>
          </w:tblCellMar>
        </w:tblPrEx>
        <w:trPr>
          <w:trHeight w:val="3027"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448809A">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7E7FCA64">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地质灾害评估报告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F7F9107">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针对项目区现有滑坡、危岩、泥石流等隐患分布、规模进行现状评估，划分危险等级，收集区域地质灾害资料进行现场踏勘，并编制评估报告，组织专家评审通过后，上报自然资源部门备案，取得备案意见。</w:t>
            </w:r>
          </w:p>
        </w:tc>
      </w:tr>
      <w:tr w14:paraId="522DEAAF">
        <w:tblPrEx>
          <w:tblCellMar>
            <w:top w:w="0" w:type="dxa"/>
            <w:left w:w="108" w:type="dxa"/>
            <w:bottom w:w="0" w:type="dxa"/>
            <w:right w:w="108" w:type="dxa"/>
          </w:tblCellMar>
        </w:tblPrEx>
        <w:trPr>
          <w:trHeight w:val="2325"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7778801">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1B7C3BD">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林、草地审核同意书</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CBCC079">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编制林、草地使用专项报告并备齐项目手续向林业部门申报，林业部门进行现场查验、公示占地情况，并上报上级主管部门审查通过后，缴纳植被恢复费，并核发林、草地审核同意书。</w:t>
            </w:r>
          </w:p>
        </w:tc>
      </w:tr>
      <w:tr w14:paraId="3EF5CDEE">
        <w:tblPrEx>
          <w:tblCellMar>
            <w:top w:w="0" w:type="dxa"/>
            <w:left w:w="108" w:type="dxa"/>
            <w:bottom w:w="0" w:type="dxa"/>
            <w:right w:w="108" w:type="dxa"/>
          </w:tblCellMar>
        </w:tblPrEx>
        <w:trPr>
          <w:trHeight w:val="3813"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542FDA6">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CDF0410">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水土保持方案</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1021ADB">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地形地貌、土石方平衡、生态环境、水土流失现状实地勘测，核查区域内水土保持划分、生态红线、水土保持管控要求，完成现状水土流失评价，按照相关规范要求编制水土保持方案，并上报主管部门评审通过后，缴纳水土保持补偿费，取得相关批复文件。</w:t>
            </w:r>
          </w:p>
        </w:tc>
      </w:tr>
      <w:tr w14:paraId="66C575FB">
        <w:tblPrEx>
          <w:tblCellMar>
            <w:top w:w="0" w:type="dxa"/>
            <w:left w:w="108" w:type="dxa"/>
            <w:bottom w:w="0" w:type="dxa"/>
            <w:right w:w="108" w:type="dxa"/>
          </w:tblCellMar>
        </w:tblPrEx>
        <w:trPr>
          <w:trHeight w:val="3124"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5D6C634">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A6CC0A4">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环境影响评价报告</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27AF64B0">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选址周围环境现状分析，工程产污分析，环保治理措施，公示参与，采纳收集群众意见，收集区域内环境监测数据，现场踏勘，编制环评报告，组织专家评审通过后，上报生态环境局审批备案，取得相关批复文件。</w:t>
            </w:r>
          </w:p>
        </w:tc>
      </w:tr>
      <w:tr w14:paraId="5C908BCE">
        <w:tblPrEx>
          <w:tblCellMar>
            <w:top w:w="0" w:type="dxa"/>
            <w:left w:w="108" w:type="dxa"/>
            <w:bottom w:w="0" w:type="dxa"/>
            <w:right w:w="108" w:type="dxa"/>
          </w:tblCellMar>
        </w:tblPrEx>
        <w:trPr>
          <w:trHeight w:val="1784"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FFABEEF">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95E69F7">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压覆重要矿产资源批复</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23FF113F">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对项目区域内是否涉及矿产资源、已设探矿权、采矿权、国家规划矿区进行核实分析，并上报主管部门进行审核确认，最终取得相关批复文件。</w:t>
            </w:r>
          </w:p>
        </w:tc>
      </w:tr>
      <w:tr w14:paraId="3AE48650">
        <w:tblPrEx>
          <w:tblCellMar>
            <w:top w:w="0" w:type="dxa"/>
            <w:left w:w="108" w:type="dxa"/>
            <w:bottom w:w="0" w:type="dxa"/>
            <w:right w:w="108" w:type="dxa"/>
          </w:tblCellMar>
        </w:tblPrEx>
        <w:trPr>
          <w:trHeight w:val="2746" w:hRule="exact"/>
        </w:trPr>
        <w:tc>
          <w:tcPr>
            <w:tcW w:w="970"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4896C7C">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3428"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838DD72">
            <w:pPr>
              <w:keepLines w:val="0"/>
              <w:pageBreakBefore w:val="0"/>
              <w:widowControl w:val="0"/>
              <w:kinsoku/>
              <w:wordWrap/>
              <w:overflowPunct/>
              <w:topLinePunct w:val="0"/>
              <w:autoSpaceDE w:val="0"/>
              <w:autoSpaceDN w:val="0"/>
              <w:bidi w:val="0"/>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土地组卷报批</w:t>
            </w:r>
          </w:p>
        </w:tc>
        <w:tc>
          <w:tcPr>
            <w:tcW w:w="3902" w:type="dxa"/>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8155FA0">
            <w:pPr>
              <w:keepLines w:val="0"/>
              <w:pageBreakBefore w:val="0"/>
              <w:widowControl w:val="0"/>
              <w:kinsoku/>
              <w:wordWrap/>
              <w:overflowPunct/>
              <w:topLinePunct w:val="0"/>
              <w:autoSpaceDE w:val="0"/>
              <w:autoSpaceDN w:val="0"/>
              <w:bidi w:val="0"/>
              <w:spacing w:line="360" w:lineRule="auto"/>
              <w:ind w:left="0" w:righ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项目完成立项、初设、地灾、林草地批复等单项资料后，出具勘测定界报告，履行征地程序，编制相关报批材料后，上报县、市、省级自然资源部门审查通过后，上报省政府审批，拿到建设用地批复文件。</w:t>
            </w:r>
          </w:p>
        </w:tc>
      </w:tr>
    </w:tbl>
    <w:p w14:paraId="21DC89BF">
      <w:pPr>
        <w:keepNext/>
        <w:keepLines w:val="0"/>
        <w:pageBreakBefore w:val="0"/>
        <w:widowControl w:val="0"/>
        <w:tabs>
          <w:tab w:val="left" w:pos="0"/>
        </w:tabs>
        <w:kinsoku/>
        <w:wordWrap/>
        <w:overflowPunct/>
        <w:topLinePunct w:val="0"/>
        <w:bidi w:val="0"/>
        <w:snapToGrid w:val="0"/>
        <w:spacing w:line="600" w:lineRule="exact"/>
        <w:ind w:left="0" w:right="0"/>
        <w:textAlignment w:val="auto"/>
        <w:rPr>
          <w:rStyle w:val="8"/>
          <w:rFonts w:hint="eastAsia" w:ascii="宋体" w:hAnsi="宋体" w:eastAsia="宋体" w:cs="宋体"/>
          <w:b/>
          <w:kern w:val="0"/>
          <w:sz w:val="24"/>
          <w:szCs w:val="24"/>
        </w:rPr>
      </w:pPr>
      <w:r>
        <w:rPr>
          <w:rStyle w:val="8"/>
          <w:rFonts w:hint="eastAsia" w:ascii="宋体" w:hAnsi="宋体" w:eastAsia="宋体" w:cs="宋体"/>
          <w:b/>
          <w:kern w:val="0"/>
          <w:sz w:val="24"/>
          <w:szCs w:val="24"/>
        </w:rPr>
        <w:t>二、服务目标</w:t>
      </w:r>
    </w:p>
    <w:p w14:paraId="317B064F">
      <w:pPr>
        <w:keepLines w:val="0"/>
        <w:pageBreakBefore w:val="0"/>
        <w:widowControl w:val="0"/>
        <w:kinsoku/>
        <w:wordWrap/>
        <w:overflowPunct/>
        <w:topLinePunct w:val="0"/>
        <w:bidi w:val="0"/>
        <w:spacing w:line="6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本次采购的宜川县城市公益性公墓及殡仪馆提升改造项目农用地转用和土地征收组卷报批</w:t>
      </w:r>
      <w:r>
        <w:rPr>
          <w:rStyle w:val="8"/>
          <w:rFonts w:hint="eastAsia" w:ascii="宋体" w:hAnsi="宋体" w:eastAsia="宋体" w:cs="宋体"/>
          <w:sz w:val="24"/>
          <w:szCs w:val="24"/>
        </w:rPr>
        <w:t>服务</w:t>
      </w:r>
      <w:r>
        <w:rPr>
          <w:rFonts w:hint="eastAsia" w:ascii="宋体" w:hAnsi="宋体" w:eastAsia="宋体" w:cs="宋体"/>
          <w:sz w:val="24"/>
          <w:szCs w:val="24"/>
        </w:rPr>
        <w:t>工作，必须按照《中华人民共和国土地管理法》的相关规定实施，按时完成各项报告编制、组卷等工作内容，及时上报，进而完成土地报批工作。</w:t>
      </w:r>
    </w:p>
    <w:p w14:paraId="3548E0D0">
      <w:pPr>
        <w:keepLines w:val="0"/>
        <w:pageBreakBefore w:val="0"/>
        <w:widowControl w:val="0"/>
        <w:kinsoku/>
        <w:wordWrap/>
        <w:overflowPunct/>
        <w:topLinePunct w:val="0"/>
        <w:bidi w:val="0"/>
        <w:spacing w:line="600" w:lineRule="exact"/>
        <w:ind w:left="0" w:right="0" w:firstLine="482" w:firstLineChars="200"/>
        <w:textAlignment w:val="auto"/>
        <w:rPr>
          <w:rFonts w:hint="default" w:ascii="宋体" w:hAnsi="宋体" w:eastAsia="宋体" w:cs="宋体"/>
          <w:sz w:val="24"/>
          <w:szCs w:val="24"/>
          <w:lang w:val="en-US"/>
        </w:rPr>
      </w:pPr>
      <w:r>
        <w:rPr>
          <w:rStyle w:val="8"/>
          <w:rFonts w:hint="eastAsia" w:ascii="宋体" w:hAnsi="宋体" w:eastAsia="宋体" w:cs="宋体"/>
          <w:b/>
          <w:kern w:val="0"/>
          <w:sz w:val="24"/>
          <w:szCs w:val="24"/>
        </w:rPr>
        <w:t>三、</w:t>
      </w:r>
      <w:r>
        <w:rPr>
          <w:rStyle w:val="8"/>
          <w:rFonts w:hint="eastAsia" w:ascii="宋体" w:hAnsi="宋体" w:eastAsia="宋体" w:cs="宋体"/>
          <w:b/>
          <w:kern w:val="0"/>
          <w:sz w:val="24"/>
          <w:szCs w:val="24"/>
          <w:lang w:val="en-US"/>
        </w:rPr>
        <w:t>验收</w:t>
      </w:r>
    </w:p>
    <w:p w14:paraId="45F75447">
      <w:pPr>
        <w:keepLines w:val="0"/>
        <w:pageBreakBefore w:val="0"/>
        <w:widowControl w:val="0"/>
        <w:kinsoku/>
        <w:wordWrap/>
        <w:overflowPunct/>
        <w:topLinePunct w:val="0"/>
        <w:bidi w:val="0"/>
        <w:spacing w:line="600" w:lineRule="exact"/>
        <w:ind w:left="0" w:right="0" w:firstLine="480" w:firstLineChars="200"/>
        <w:textAlignment w:val="auto"/>
        <w:rPr>
          <w:rFonts w:hint="eastAsia" w:ascii="宋体" w:hAnsi="宋体" w:eastAsia="宋体" w:cs="宋体"/>
          <w:sz w:val="24"/>
          <w:szCs w:val="24"/>
        </w:rPr>
      </w:pPr>
      <w:r>
        <w:rPr>
          <w:rStyle w:val="8"/>
          <w:rFonts w:hint="eastAsia" w:ascii="宋体" w:hAnsi="宋体" w:eastAsia="宋体" w:cs="宋体"/>
          <w:kern w:val="0"/>
          <w:sz w:val="24"/>
          <w:szCs w:val="24"/>
        </w:rPr>
        <w:t>验收步骤为技术单位完成数据提交等工作后，将数据等资料提交自然资源局，由我局组织人员按照相关文件要求进行验收。</w:t>
      </w:r>
    </w:p>
    <w:p w14:paraId="38395644">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9D19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3"/>
    <w:next w:val="1"/>
    <w:qFormat/>
    <w:uiPriority w:val="0"/>
    <w:pPr>
      <w:keepNext/>
      <w:keepLines/>
      <w:spacing w:beforeLines="0" w:afterLines="0" w:line="360" w:lineRule="auto"/>
      <w:outlineLvl w:val="0"/>
    </w:pPr>
    <w:rPr>
      <w:rFonts w:hint="eastAsia"/>
      <w:kern w:val="44"/>
      <w:sz w:val="32"/>
    </w:rPr>
  </w:style>
  <w:style w:type="paragraph" w:styleId="4">
    <w:name w:val="heading 2"/>
    <w:basedOn w:val="1"/>
    <w:next w:val="1"/>
    <w:qFormat/>
    <w:uiPriority w:val="0"/>
    <w:pPr>
      <w:keepNext/>
      <w:keepLines/>
      <w:spacing w:before="260" w:beforeLines="0" w:after="260" w:afterLines="0" w:line="416" w:lineRule="auto"/>
      <w:jc w:val="left"/>
      <w:outlineLvl w:val="1"/>
    </w:pPr>
    <w:rPr>
      <w:rFonts w:hint="eastAsia" w:ascii="Cambria" w:hAnsi="Cambria"/>
      <w:b/>
      <w:sz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Title"/>
    <w:basedOn w:val="4"/>
    <w:next w:val="1"/>
    <w:qFormat/>
    <w:uiPriority w:val="0"/>
    <w:pPr>
      <w:adjustRightInd w:val="0"/>
      <w:spacing w:before="240" w:after="60" w:line="420" w:lineRule="atLeast"/>
      <w:jc w:val="center"/>
      <w:textAlignment w:val="baseline"/>
      <w:outlineLvl w:val="0"/>
    </w:pPr>
    <w:rPr>
      <w:rFonts w:ascii="Arial" w:hAnsi="Arial"/>
      <w:kern w:val="0"/>
      <w:sz w:val="32"/>
      <w:szCs w:val="20"/>
    </w:rPr>
  </w:style>
  <w:style w:type="paragraph" w:styleId="5">
    <w:name w:val="Normal Indent"/>
    <w:basedOn w:val="1"/>
    <w:qFormat/>
    <w:uiPriority w:val="99"/>
    <w:pPr>
      <w:autoSpaceDE w:val="0"/>
      <w:autoSpaceDN w:val="0"/>
      <w:adjustRightInd w:val="0"/>
      <w:ind w:firstLine="420"/>
    </w:pPr>
    <w:rPr>
      <w:kern w:val="0"/>
      <w:szCs w:val="21"/>
    </w:rPr>
  </w:style>
  <w:style w:type="character" w:customStyle="1" w:styleId="8">
    <w:name w:val="NormalCharacter"/>
    <w:qFormat/>
    <w:uiPriority w:val="0"/>
    <w:rPr>
      <w:rFonts w:hint="eastAsia"/>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2026-07-17T02:21:24Z</dcterms:created>
  <dc:creator>admin</dc:creator>
  <cp:lastModifiedBy>admin</cp:lastModifiedBy>
  <dcterms:modified xsi:type="dcterms:W3CDTF">2026-07-17T02:21:52Z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eyJoZGlkIjoiNDFiZmZmNDQyYzUxMzhiOWVkN2IzMDRmYThlNTRhNTAiLCJ1c2VySWQiOiI3ODAwNzU1NjEifQ==</vt:lpwstr>
  </property>
  <property fmtid="{D5CDD505-2E9C-101B-9397-08002B2CF9AE}" pid="4" name="ICV">
    <vt:lpwstr>6624737A22234C33A8B80F3B0B0F0496_12</vt:lpwstr>
  </property>
</Properties>
</file>