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版本号：HSGJ2026-121-120260430001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“在城市触摸秦岭”文化传播项目(二次)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HSGJ2026-121-1</w:t>
      </w:r>
      <w:r>
        <w:br/>
      </w:r>
      <w:r>
        <w:br/>
      </w:r>
      <w:r>
        <w:br/>
      </w:r>
    </w:p>
    <w:p>
      <w:pPr>
        <w:pStyle w:val="null3"/>
        <w:jc w:val="center"/>
        <w:outlineLvl w:val="2"/>
      </w:pPr>
      <w:r>
        <w:rPr>
          <w:rFonts w:ascii="仿宋_GB2312" w:hAnsi="仿宋_GB2312" w:cs="仿宋_GB2312" w:eastAsia="仿宋_GB2312"/>
          <w:sz w:val="28"/>
          <w:b/>
        </w:rPr>
        <w:t>西安市秦岭生态环境保护管理局（本级）</w:t>
      </w:r>
    </w:p>
    <w:p>
      <w:pPr>
        <w:pStyle w:val="null3"/>
        <w:jc w:val="center"/>
        <w:outlineLvl w:val="2"/>
      </w:pPr>
      <w:r>
        <w:rPr>
          <w:rFonts w:ascii="仿宋_GB2312" w:hAnsi="仿宋_GB2312" w:cs="仿宋_GB2312" w:eastAsia="仿宋_GB2312"/>
          <w:sz w:val="28"/>
          <w:b/>
        </w:rPr>
        <w:t>华晟国际项目管理有限公司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华晟国际项目管理有限公司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西安市秦岭生态环境保护管理局（本级）</w:t>
      </w:r>
      <w:r>
        <w:rPr>
          <w:rFonts w:ascii="仿宋_GB2312" w:hAnsi="仿宋_GB2312" w:cs="仿宋_GB2312" w:eastAsia="仿宋_GB2312"/>
        </w:rPr>
        <w:t>委托，拟对</w:t>
      </w:r>
      <w:r>
        <w:rPr>
          <w:rFonts w:ascii="仿宋_GB2312" w:hAnsi="仿宋_GB2312" w:cs="仿宋_GB2312" w:eastAsia="仿宋_GB2312"/>
        </w:rPr>
        <w:t>“在城市触摸秦岭”文化传播项目(二次)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HSGJ2026-121-1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“在城市触摸秦岭”文化传播项目(二次)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“在城市触摸秦岭”文化传播项目（二次），具体内容详见第三章。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采购包1（“在城市触摸秦岭”文化传播项目（二次））：属于专门面向中小企业采购。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1、有效的主体资格证明：提供具有独立承担民事责任能力的法人、其他组织或自然人，并出具合法有效的相关证明材料；</w:t>
      </w:r>
    </w:p>
    <w:p>
      <w:pPr>
        <w:pStyle w:val="null3"/>
      </w:pPr>
      <w:r>
        <w:rPr>
          <w:rFonts w:ascii="仿宋_GB2312" w:hAnsi="仿宋_GB2312" w:cs="仿宋_GB2312" w:eastAsia="仿宋_GB2312"/>
        </w:rPr>
        <w:t>2、财务状况证明：供应商提供2024年度或2025年度经审计的财务会计报告（包括审计报告、资产负债表、利润表、现金流量表、所有者权益变动表及其附注，成立时间至提交投标文件截止时间不足一年的可提供成立后任意时段的资产负债表），或其磋商前三个月内基本存款账户开户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3、税收缴纳证明：提供2025年4月1日至今已缴纳任意一个月的纳税证明或完税证明（任意税种），依法免税的单位应提供相关证明材料；</w:t>
      </w:r>
    </w:p>
    <w:p>
      <w:pPr>
        <w:pStyle w:val="null3"/>
      </w:pPr>
      <w:r>
        <w:rPr>
          <w:rFonts w:ascii="仿宋_GB2312" w:hAnsi="仿宋_GB2312" w:cs="仿宋_GB2312" w:eastAsia="仿宋_GB2312"/>
        </w:rPr>
        <w:t>4、社会保障资金缴纳证明：提供2025年4月1日至今已缴纳任意一个月的社会保障资金缴存单据或社保机构开具的社会保险参保缴费情况证明，依法不需要缴纳社会保障资金的单位应提供相关证明材料；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5、无重大违法记录声明：参加政府采购活动前三年内，在经营活动中没有重大违法记录的书面声明（成立时间至提交响应文件截止时间不足三年的可提供成立至今的书面声明）；</w:t>
      </w:r>
    </w:p>
    <w:p>
      <w:pPr>
        <w:pStyle w:val="null3"/>
      </w:pPr>
      <w:r>
        <w:rPr>
          <w:rFonts w:ascii="仿宋_GB2312" w:hAnsi="仿宋_GB2312" w:cs="仿宋_GB2312" w:eastAsia="仿宋_GB2312"/>
        </w:rPr>
        <w:t>6、专业技术能力证明：提供具有履行合同所必需的设备和专业技术能力的承诺；</w:t>
      </w:r>
    </w:p>
    <w:p>
      <w:pPr>
        <w:pStyle w:val="null3"/>
      </w:pPr>
      <w:r>
        <w:rPr>
          <w:rFonts w:ascii="仿宋_GB2312" w:hAnsi="仿宋_GB2312" w:cs="仿宋_GB2312" w:eastAsia="仿宋_GB2312"/>
        </w:rPr>
        <w:t>7、法定代表人委托授权书\身份证明：法定代表人委托授权书\身份证明：法定代表人授权书及被授权人身份证（法定代表人直接参加磋商的须提供其法定代表人身份证），非法人单位参照执行。法定代表人授权代表参加磋商的，须出具法定代表人授权书及授权代表身份证；</w:t>
      </w:r>
    </w:p>
    <w:p>
      <w:pPr>
        <w:pStyle w:val="null3"/>
      </w:pPr>
      <w:r>
        <w:rPr>
          <w:rFonts w:ascii="仿宋_GB2312" w:hAnsi="仿宋_GB2312" w:cs="仿宋_GB2312" w:eastAsia="仿宋_GB2312"/>
        </w:rPr>
        <w:t>8、信用查询：供应商不得为“信用中国(www.creditchina.gov.cn)”中列入失信被执行人和重大税收违法案件当事人名单的供应商，不得为“中国政府采购网(www.ccgp.gov.cn)”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政府采购严重违法失信行为记录名单中被财政部门禁止参加政府采购活动的供应商（采购代理机构查询时限为响应文件递交截止之日）。</w:t>
      </w:r>
    </w:p>
    <w:p>
      <w:pPr>
        <w:pStyle w:val="null3"/>
      </w:pPr>
      <w:r>
        <w:rPr>
          <w:rFonts w:ascii="仿宋_GB2312" w:hAnsi="仿宋_GB2312" w:cs="仿宋_GB2312" w:eastAsia="仿宋_GB2312"/>
        </w:rPr>
        <w:t>9、关联关系：单位负责人为同一人或者存在直接控股、管理关系的不同供应商，不得参加同一合同项下的政府采购活动。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10、中小企业声明函：本项目专门面向中小微企业采购，须符合《政府采购促进中小企业发展管理办法》（财库〔2020〕46号）规定的中小微企业参加，符合要求的监狱企业或残疾人福利单位视同小微企业，并按要求提供声明函。</w:t>
      </w:r>
    </w:p>
    <w:p>
      <w:pPr>
        <w:pStyle w:val="null3"/>
      </w:pPr>
      <w:r>
        <w:rPr>
          <w:rFonts w:ascii="仿宋_GB2312" w:hAnsi="仿宋_GB2312" w:cs="仿宋_GB2312" w:eastAsia="仿宋_GB2312"/>
        </w:rPr>
        <w:t>11、联合体情况：本项目不接受联合体投标；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西安市秦岭生态环境保护管理局（本级）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西安市长安区关中环线子午段2345号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叶静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029-89801352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华晟国际项目管理有限公司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西安市高新路88号尚品国际B幢25层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曹美奇、杨阳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029-81779899转8013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采购包1：721,900.00元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代理服务费收费标准：按照国家计委颁布的《招标代理服务收费管理暂行办法》（计价格『2002』1980号）及发改办价格『2003』857号文规定按服务类收取代理服务费。 银行户名：华晟国际项目管理有限公司 开户银行：建设银行西安劳动路支行 账 号：610501 740015 00000 427 转账事由：HSGJ2026-121项目代理服务费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西安市秦岭生态环境保护管理局（本级）</w:t>
      </w:r>
      <w:r>
        <w:rPr>
          <w:rFonts w:ascii="仿宋_GB2312" w:hAnsi="仿宋_GB2312" w:cs="仿宋_GB2312" w:eastAsia="仿宋_GB2312"/>
        </w:rPr>
        <w:t>和</w:t>
      </w:r>
      <w:r>
        <w:rPr>
          <w:rFonts w:ascii="仿宋_GB2312" w:hAnsi="仿宋_GB2312" w:cs="仿宋_GB2312" w:eastAsia="仿宋_GB2312"/>
        </w:rPr>
        <w:t>华晟国际项目管理有限公司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西安市秦岭生态环境保护管理局（本级）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华晟国际项目管理有限公司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西安市秦岭生态环境保护管理局（本级）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华晟国际项目管理有限公司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联系人：曹美奇、杨阳</w:t>
      </w:r>
    </w:p>
    <w:p>
      <w:pPr>
        <w:pStyle w:val="null3"/>
      </w:pPr>
      <w:r>
        <w:rPr>
          <w:rFonts w:ascii="仿宋_GB2312" w:hAnsi="仿宋_GB2312" w:cs="仿宋_GB2312" w:eastAsia="仿宋_GB2312"/>
        </w:rPr>
        <w:t>联系电话：029-81779899转8013</w:t>
      </w:r>
    </w:p>
    <w:p>
      <w:pPr>
        <w:pStyle w:val="null3"/>
      </w:pPr>
      <w:r>
        <w:rPr>
          <w:rFonts w:ascii="仿宋_GB2312" w:hAnsi="仿宋_GB2312" w:cs="仿宋_GB2312" w:eastAsia="仿宋_GB2312"/>
        </w:rPr>
        <w:t>地址：西安市高新路88号尚品国际B幢25层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4"/>
          <w:color w:val="000000"/>
        </w:rPr>
        <w:t>“在城市触摸秦岭”文化传播项目（二次），具体详见项目需求。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721,900.00</w:t>
      </w:r>
    </w:p>
    <w:p>
      <w:pPr>
        <w:pStyle w:val="null3"/>
      </w:pPr>
      <w:r>
        <w:rPr>
          <w:rFonts w:ascii="仿宋_GB2312" w:hAnsi="仿宋_GB2312" w:cs="仿宋_GB2312" w:eastAsia="仿宋_GB2312"/>
        </w:rPr>
        <w:t>采购包最高限价（元）: 721,900.00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在城市触摸秦岭文化传播项目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721,900.00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标的名称：在城市触摸秦岭文化传播项目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color w:val="000000"/>
              </w:rPr>
              <w:t>一、</w:t>
            </w:r>
            <w:r>
              <w:rPr>
                <w:rFonts w:ascii="仿宋_GB2312" w:hAnsi="仿宋_GB2312" w:cs="仿宋_GB2312" w:eastAsia="仿宋_GB2312"/>
                <w:sz w:val="24"/>
                <w:b/>
                <w:color w:val="000000"/>
              </w:rPr>
              <w:t>项目概况</w:t>
            </w:r>
          </w:p>
          <w:p>
            <w:pPr>
              <w:pStyle w:val="null3"/>
              <w:ind w:firstLine="566"/>
            </w:pPr>
            <w:r>
              <w:rPr>
                <w:rFonts w:ascii="仿宋_GB2312" w:hAnsi="仿宋_GB2312" w:cs="仿宋_GB2312" w:eastAsia="仿宋_GB2312"/>
                <w:sz w:val="24"/>
                <w:color w:val="000000"/>
              </w:rPr>
              <w:t>为深入贯彻落实关于秦岭生态环境保护的重要指示批示精神，牢固树立</w:t>
            </w:r>
            <w:r>
              <w:rPr>
                <w:rFonts w:ascii="仿宋_GB2312" w:hAnsi="仿宋_GB2312" w:cs="仿宋_GB2312" w:eastAsia="仿宋_GB2312"/>
                <w:sz w:val="24"/>
                <w:color w:val="000000"/>
              </w:rPr>
              <w:t>“绿水青山就是金山银山”理念，本项目旨在通过专业化、系统化、创新性的文化传播活动，有效提升公众对秦岭生态环境保护的知晓度、认同感与参与度，凝聚社会共识，引导形成全民共建、共治、共享的良好社会氛围，为持续筑牢国家重要生态安全屏障、推动生态文明建设高质量发展提供坚实的社会基础和舆论支持。</w:t>
            </w:r>
          </w:p>
          <w:p>
            <w:pPr>
              <w:pStyle w:val="null3"/>
              <w:ind w:firstLine="482"/>
              <w:jc w:val="both"/>
            </w:pPr>
            <w:r>
              <w:rPr>
                <w:rFonts w:ascii="仿宋_GB2312" w:hAnsi="仿宋_GB2312" w:cs="仿宋_GB2312" w:eastAsia="仿宋_GB2312"/>
                <w:sz w:val="24"/>
                <w:b/>
                <w:color w:val="000000"/>
              </w:rPr>
              <w:t>二、服务内容（包括工作区域、工作内容等）</w:t>
            </w:r>
          </w:p>
          <w:p>
            <w:pPr>
              <w:pStyle w:val="null3"/>
              <w:ind w:firstLine="480"/>
              <w:jc w:val="both"/>
            </w:pPr>
            <w:r>
              <w:rPr>
                <w:rFonts w:ascii="仿宋_GB2312" w:hAnsi="仿宋_GB2312" w:cs="仿宋_GB2312" w:eastAsia="仿宋_GB2312"/>
                <w:sz w:val="24"/>
                <w:color w:val="000000"/>
              </w:rPr>
              <w:t>本项目主要包含三大核心板块：</w:t>
            </w:r>
          </w:p>
          <w:p>
            <w:pPr>
              <w:pStyle w:val="null3"/>
              <w:ind w:firstLine="480"/>
              <w:jc w:val="both"/>
            </w:pPr>
            <w:r>
              <w:rPr>
                <w:rFonts w:ascii="仿宋_GB2312" w:hAnsi="仿宋_GB2312" w:cs="仿宋_GB2312" w:eastAsia="仿宋_GB2312"/>
                <w:sz w:val="24"/>
                <w:color w:val="000000"/>
              </w:rPr>
              <w:t>（一）年度影视记录</w:t>
            </w:r>
          </w:p>
          <w:p>
            <w:pPr>
              <w:pStyle w:val="null3"/>
              <w:ind w:firstLine="480"/>
              <w:jc w:val="both"/>
            </w:pPr>
            <w:r>
              <w:rPr>
                <w:rFonts w:ascii="仿宋_GB2312" w:hAnsi="仿宋_GB2312" w:cs="仿宋_GB2312" w:eastAsia="仿宋_GB2312"/>
                <w:sz w:val="24"/>
                <w:color w:val="000000"/>
              </w:rPr>
              <w:t>1.秦岭四时记录；以春夏秋冬四季为时间轴，运用延时摄影、航拍、地面风光拍摄等手法，记录秦岭四季更迭的自然之美与生态活力。具体产出：随天气景色变化，拍摄包含≥【200G】高质量延时摄影镜头（展现云海流转、日出日落、城市与山脉变迁）；</w:t>
            </w:r>
          </w:p>
          <w:p>
            <w:pPr>
              <w:pStyle w:val="null3"/>
              <w:ind w:firstLine="480"/>
              <w:jc w:val="both"/>
            </w:pPr>
            <w:r>
              <w:rPr>
                <w:rFonts w:ascii="仿宋_GB2312" w:hAnsi="仿宋_GB2312" w:cs="仿宋_GB2312" w:eastAsia="仿宋_GB2312"/>
                <w:sz w:val="24"/>
                <w:color w:val="000000"/>
              </w:rPr>
              <w:t>2.生态保护工作纪实记录：跟随工作人员拍摄秦岭保护纪实工作相关素材。具体产出：≥6条工作纪实纪录片（视频规格：分辨率≥1920×1080、成片时长180秒以内）。</w:t>
            </w:r>
          </w:p>
          <w:p>
            <w:pPr>
              <w:pStyle w:val="null3"/>
              <w:ind w:firstLine="480"/>
              <w:jc w:val="both"/>
            </w:pPr>
            <w:r>
              <w:rPr>
                <w:rFonts w:ascii="仿宋_GB2312" w:hAnsi="仿宋_GB2312" w:cs="仿宋_GB2312" w:eastAsia="仿宋_GB2312"/>
                <w:sz w:val="24"/>
                <w:color w:val="000000"/>
              </w:rPr>
              <w:t>3.秦岭违建整治对比记录：以“整治前档案素材+整治后实景拍摄”相结合的方式，运用定点重访、航拍对比、地面跟拍等手法，记录秦岭北麓等重点区域违建拆除、生态修复、复绿成效的全过程。通过每月一次同一机位、同一角度的前后影像对比，直观呈现秦岭生态环境的治理成果。具体产出：</w:t>
            </w:r>
            <w:r>
              <w:rPr>
                <w:rFonts w:ascii="仿宋_GB2312" w:hAnsi="仿宋_GB2312" w:cs="仿宋_GB2312" w:eastAsia="仿宋_GB2312"/>
                <w:sz w:val="24"/>
                <w:color w:val="000000"/>
              </w:rPr>
              <w:t>≥3条对比专题短视频（视频规格：分辨率≥1920×1080，单条时长180秒以内），并整理形成完整的影像档案资料。</w:t>
            </w:r>
          </w:p>
          <w:p>
            <w:pPr>
              <w:pStyle w:val="null3"/>
              <w:ind w:firstLine="480"/>
              <w:jc w:val="both"/>
            </w:pPr>
            <w:r>
              <w:rPr>
                <w:rFonts w:ascii="仿宋_GB2312" w:hAnsi="仿宋_GB2312" w:cs="仿宋_GB2312" w:eastAsia="仿宋_GB2312"/>
                <w:sz w:val="24"/>
                <w:color w:val="000000"/>
              </w:rPr>
              <w:t>（二）创意短视频制作</w:t>
            </w:r>
          </w:p>
          <w:p>
            <w:pPr>
              <w:pStyle w:val="null3"/>
              <w:ind w:firstLine="480"/>
              <w:jc w:val="both"/>
            </w:pPr>
            <w:r>
              <w:rPr>
                <w:rFonts w:ascii="仿宋_GB2312" w:hAnsi="仿宋_GB2312" w:cs="仿宋_GB2312" w:eastAsia="仿宋_GB2312"/>
                <w:sz w:val="24"/>
                <w:color w:val="000000"/>
              </w:rPr>
              <w:t>策划并拍摄以</w:t>
            </w:r>
            <w:r>
              <w:rPr>
                <w:rFonts w:ascii="仿宋_GB2312" w:hAnsi="仿宋_GB2312" w:cs="仿宋_GB2312" w:eastAsia="仿宋_GB2312"/>
                <w:sz w:val="24"/>
                <w:color w:val="000000"/>
              </w:rPr>
              <w:t>“秦岭生态保护”为主题的系列短视频（短剧），紧追社会热点通过故事化、剧情化的方式，软性植入生态保护政策与知识，增强传播的趣味性与互动性。具体产出：不少于20条，每条1-1.5分钟。每季结合当季生态特点（如春季踏青植物保护、夏季防火、秋季观鸟护鸟、冬季救助野生动物等）编写剧本。剧情需贴近生活，人物设定鲜明，避免说教式宣传。包含剧本创作、演员选角、服化道、拍摄剪辑、后期特效及配乐。</w:t>
            </w:r>
          </w:p>
          <w:p>
            <w:pPr>
              <w:pStyle w:val="null3"/>
              <w:ind w:firstLine="480"/>
              <w:jc w:val="both"/>
            </w:pPr>
            <w:r>
              <w:rPr>
                <w:rFonts w:ascii="仿宋_GB2312" w:hAnsi="仿宋_GB2312" w:cs="仿宋_GB2312" w:eastAsia="仿宋_GB2312"/>
                <w:sz w:val="24"/>
                <w:color w:val="000000"/>
              </w:rPr>
              <w:t>（三）策划优质传播内容</w:t>
            </w:r>
          </w:p>
          <w:p>
            <w:pPr>
              <w:pStyle w:val="null3"/>
              <w:ind w:firstLine="480"/>
              <w:jc w:val="both"/>
            </w:pPr>
            <w:r>
              <w:rPr>
                <w:rFonts w:ascii="仿宋_GB2312" w:hAnsi="仿宋_GB2312" w:cs="仿宋_GB2312" w:eastAsia="仿宋_GB2312"/>
                <w:sz w:val="24"/>
                <w:color w:val="000000"/>
              </w:rPr>
              <w:t>为深入挖掘秦岭生态文化与人文内涵，策划并制作一系列围绕秦岭自然风光、珍稀物种、守护人物、历史传说及社区共建等主题的优质传播内容。需以生动笔触讲述有温度、有深度的秦岭故事，内容真实感人、叙事鲜活流畅，兼具知识性与感染力，充分展现秦岭的生态价值与文化底蕴。相关内容将用于宣传手册、新媒体推文、展览解说等多种场景的发布与推广，为</w:t>
            </w:r>
            <w:r>
              <w:rPr>
                <w:rFonts w:ascii="仿宋_GB2312" w:hAnsi="仿宋_GB2312" w:cs="仿宋_GB2312" w:eastAsia="仿宋_GB2312"/>
                <w:sz w:val="24"/>
                <w:color w:val="000000"/>
              </w:rPr>
              <w:t>“在城市触摸秦岭”文化传播项目提供高质量的内容支撑，助力公众感知秦岭之美、激发守护之情。</w:t>
            </w:r>
          </w:p>
          <w:p>
            <w:pPr>
              <w:pStyle w:val="null3"/>
              <w:ind w:firstLine="482"/>
              <w:jc w:val="both"/>
            </w:pPr>
            <w:r>
              <w:rPr>
                <w:rFonts w:ascii="仿宋_GB2312" w:hAnsi="仿宋_GB2312" w:cs="仿宋_GB2312" w:eastAsia="仿宋_GB2312"/>
                <w:sz w:val="24"/>
                <w:b/>
                <w:color w:val="000000"/>
              </w:rPr>
              <w:t>三、要求</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一</w:t>
            </w:r>
            <w:r>
              <w:rPr>
                <w:rFonts w:ascii="仿宋_GB2312" w:hAnsi="仿宋_GB2312" w:cs="仿宋_GB2312" w:eastAsia="仿宋_GB2312"/>
                <w:sz w:val="24"/>
                <w:color w:val="000000"/>
              </w:rPr>
              <w:t>）实施进度安排：合同签订之日起</w:t>
            </w:r>
            <w:r>
              <w:rPr>
                <w:rFonts w:ascii="仿宋_GB2312" w:hAnsi="仿宋_GB2312" w:cs="仿宋_GB2312" w:eastAsia="仿宋_GB2312"/>
                <w:sz w:val="24"/>
                <w:color w:val="000000"/>
              </w:rPr>
              <w:t>一年内执行完毕</w:t>
            </w:r>
            <w:r>
              <w:rPr>
                <w:rFonts w:ascii="仿宋_GB2312" w:hAnsi="仿宋_GB2312" w:cs="仿宋_GB2312" w:eastAsia="仿宋_GB2312"/>
                <w:sz w:val="24"/>
                <w:color w:val="000000"/>
              </w:rPr>
              <w:t>。</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二</w:t>
            </w:r>
            <w:r>
              <w:rPr>
                <w:rFonts w:ascii="仿宋_GB2312" w:hAnsi="仿宋_GB2312" w:cs="仿宋_GB2312" w:eastAsia="仿宋_GB2312"/>
                <w:sz w:val="24"/>
                <w:color w:val="000000"/>
              </w:rPr>
              <w:t>）付款计划：服务费用分贰次支付。合同签订且供应商开具增值税发票后的</w:t>
            </w:r>
            <w:r>
              <w:rPr>
                <w:rFonts w:ascii="仿宋_GB2312" w:hAnsi="仿宋_GB2312" w:cs="仿宋_GB2312" w:eastAsia="仿宋_GB2312"/>
                <w:sz w:val="24"/>
                <w:color w:val="000000"/>
              </w:rPr>
              <w:t>30个工作日内，以银行转账方式向其支付合同总费用70%。项目结束后，供应商出具结项报告，第三方验收完成后30个工作日内，付清30%尾款。</w:t>
            </w:r>
          </w:p>
          <w:p>
            <w:pPr>
              <w:pStyle w:val="null3"/>
              <w:ind w:firstLine="482"/>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三</w:t>
            </w:r>
            <w:r>
              <w:rPr>
                <w:rFonts w:ascii="仿宋_GB2312" w:hAnsi="仿宋_GB2312" w:cs="仿宋_GB2312" w:eastAsia="仿宋_GB2312"/>
                <w:sz w:val="24"/>
                <w:color w:val="000000"/>
              </w:rPr>
              <w:t>）验收条件：完成合同约定的各类事项。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供应商根据采购需求配备相关人员。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供应商根据采购需求配备相关设施设备。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合同签订之日起一年内执行完毕。</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1、完成合同约定的工作后，按照成交供应商所提供的资料进行验收； 2、最终验收：自合同签订之日起至完成全部项目内容，需按照采购人确定的时间完成交付并验收合格，验收合格后，填写验收单。 3.验收依据： （1）合同文本。 （2）磋商响应文件、磋商文件、澄清函。 （3）国家和行业制定的相应的标准和规范。 4.验收和评价方式 乙方提供的服务最终验收达不到磋商文件要求和磋商响应文件承诺及国家或行业标准，或在使用中发现甲方不能容忍的缺陷等，将视为验收不合格，乙方应在甲方要求的时间内无条件完善或要求赔付采购人损失。 5.若发现乙方有弄虚作假的，及在项目实施阶段故意或随意夸大服务，本项目合同解除，乙方赔偿甲方相应的损失。 6. 验收标准：按磋商文件、磋商响应文件等服务指标进行逐项验收，各项指标均应符合验收标准及要求。 7. 验收合格后，填写验收单，双方盖章、签字生效。</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合同签订且供应商开具增值税发票后的30个工作日内，以银行转账方式向其支付合同总费用70%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项目结束后，供应商出具结项报告，验收完成后30个工作日内，付清30%尾款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1、按《民法典》中的相关条款执行。 2、乙方未按合同要求提供服务或服务质量不能满足合同要求，甲方应当将供应商违约的情况以及拟采取的措施以书面形式报政府采购监管部门，根据政府采购监管部门的处理意见，甲方有权依据《民法典》有关条款及合同约定解除合同，乙方应向甲方支付合同总价款30%的违约金。同时，政府采购监管部门有权依据《政府采购法》及相关法律法规对乙方的违法行为进行相应的处罚。 3、乙方提供的服务不符合本项目相关文件和本合同规定的，甲方有权单方解除合同，并且乙方须向甲方支付本合同总价款30%的违约金。 4、乙方未能按照本合同约定时间提供服务或完成约定的项目服务内容的，从逾期之日起每日按本合同总价款0.05%的数额向甲方支付违约金；逾期90日以上的，甲方有权终止合同，由此造成的甲方经济损失由乙方承担。 5、主要技术指标未达标视为根本违约，甲方有权扣减50%合同价款。 6、供应商违反保密义务或侵犯他人权利造成采购人损失的，应承担全部法律责任并赔偿甲方因此遭受的全部损失。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1.详见合同。 2.付款条件说明（上述“3.3.5.支付约定”付款格式为制式模板，以此处为准）：合同签订且供应商开具增值税发票后的30个工作日内，以银行转账方式向其支付合同总费用70%。项目结束后，供应商出具结项报告，验收完成后30个工作日内，付清30%尾款。</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提供具有独立承担民事责任能力的法人、其他组织或自然人，并出具合法有效的相关证明材料；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的财务会计报告（包括审计报告、资产负债表、利润表、现金流量表、所有者权益变动表及其附注，成立时间至提交投标文件截止时间不足一年的可提供成立后任意时段的资产负债表），或其磋商前三个月内基本存款账户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提供2025年4月1日至今已缴纳任意一个月的纳税证明或完税证明（任意税种），依法免税的单位应提供相关证明材料；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提供2025年4月1日至今已缴纳任意一个月的社会保障资金缴存单据或社保机构开具的社会保险参保缴费情况证明，依法不需要缴纳社会保障资金的单位应提供相关证明材料；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参加政府采购活动前三年内，在经营活动中没有重大违法记录的书面声明（成立时间至提交响应文件截止时间不足三年的可提供成立至今的书面声明）；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法定代表人委托授权书\身份证明</w:t>
            </w:r>
          </w:p>
        </w:tc>
        <w:tc>
          <w:tcPr>
            <w:tcW w:type="dxa" w:w="3322"/>
          </w:tcPr>
          <w:p>
            <w:pPr>
              <w:pStyle w:val="null3"/>
            </w:pPr>
            <w:r>
              <w:rPr>
                <w:rFonts w:ascii="仿宋_GB2312" w:hAnsi="仿宋_GB2312" w:cs="仿宋_GB2312" w:eastAsia="仿宋_GB2312"/>
              </w:rPr>
              <w:t>法定代表人委托授权书\身份证明：法定代表人授权书及被授权人身份证（法定代表人直接参加磋商的须提供其法定代表人身份证），非法人单位参照执行。法定代表人授权代表参加磋商的，须出具法定代表人授权书及授权代表身份证；</w:t>
            </w:r>
          </w:p>
        </w:tc>
        <w:tc>
          <w:tcPr>
            <w:tcW w:type="dxa" w:w="1661"/>
          </w:tcPr>
          <w:p>
            <w:pPr>
              <w:pStyle w:val="null3"/>
            </w:pPr>
            <w:r>
              <w:rPr>
                <w:rFonts w:ascii="仿宋_GB2312" w:hAnsi="仿宋_GB2312" w:cs="仿宋_GB2312" w:eastAsia="仿宋_GB2312"/>
              </w:rPr>
              <w:t>法定代表人证明书及法定代表人授权书.docx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政府采购严重违法失信行为记录名单中被财政部门禁止参加政府采购活动的供应商（采购代理机构查询时限为响应文件递交截止之日）。</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本项目专门面向中小微企业采购，须符合《政府采购促进中小企业发展管理办法》（财库〔2020〕46号）规定的中小微企业参加，符合要求的监狱企业或残疾人福利单位视同小微企业，并按要求提供声明函。</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联合体情况</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磋商内容未出现漏项或数量与要求不符，未出现重大负偏差；</w:t>
            </w:r>
          </w:p>
        </w:tc>
        <w:tc>
          <w:tcPr>
            <w:tcW w:type="dxa" w:w="1661"/>
          </w:tcPr>
          <w:p>
            <w:pPr>
              <w:pStyle w:val="null3"/>
            </w:pPr>
            <w:r>
              <w:rPr>
                <w:rFonts w:ascii="仿宋_GB2312" w:hAnsi="仿宋_GB2312" w:cs="仿宋_GB2312" w:eastAsia="仿宋_GB2312"/>
              </w:rPr>
              <w:t>服务需求响应表.docx 法定代表人证明书及法定代表人授权书.docx 商务偏离表.docx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磋商响应文件的签署、加盖公章有效；</w:t>
            </w:r>
          </w:p>
        </w:tc>
        <w:tc>
          <w:tcPr>
            <w:tcW w:type="dxa" w:w="1661"/>
          </w:tcPr>
          <w:p>
            <w:pPr>
              <w:pStyle w:val="null3"/>
            </w:pPr>
            <w:r>
              <w:rPr>
                <w:rFonts w:ascii="仿宋_GB2312" w:hAnsi="仿宋_GB2312" w:cs="仿宋_GB2312" w:eastAsia="仿宋_GB2312"/>
              </w:rPr>
              <w:t>响应文件封面 磋商响应单位承诺书.docx 标的清单 法定代表人证明书及法定代表人授权书.docx 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磋商响应文件有效期达到磋商文件的要求；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完全理解并接受法律法规和磋商文件对供应商合法经营的各类规约和责任义务要求，未出现法律、法规或磋商文件规定的其他无效情形的。</w:t>
            </w:r>
          </w:p>
        </w:tc>
        <w:tc>
          <w:tcPr>
            <w:tcW w:type="dxa" w:w="1661"/>
          </w:tcPr>
          <w:p>
            <w:pPr>
              <w:pStyle w:val="null3"/>
            </w:pPr>
            <w:r>
              <w:rPr>
                <w:rFonts w:ascii="仿宋_GB2312" w:hAnsi="仿宋_GB2312" w:cs="仿宋_GB2312" w:eastAsia="仿宋_GB2312"/>
              </w:rPr>
              <w:t>响应文件封面 服务需求响应表.docx 磋商响应单位承诺书.docx 类似项目业绩.docx 分项报价明细表.docx 标的清单 法定代表人证明书及法定代表人授权书.docx 响应函 商务偏离表.docx 资格证明文件.docx 磋商响应方案说明.docx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报价未超过磋商文件中规定的（采购预算）最高限价的</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年度影视记录方案</w:t>
            </w:r>
          </w:p>
        </w:tc>
        <w:tc>
          <w:tcPr>
            <w:tcW w:type="dxa" w:w="2492"/>
          </w:tcPr>
          <w:p>
            <w:pPr>
              <w:pStyle w:val="null3"/>
            </w:pPr>
            <w:r>
              <w:rPr>
                <w:rFonts w:ascii="仿宋_GB2312" w:hAnsi="仿宋_GB2312" w:cs="仿宋_GB2312" w:eastAsia="仿宋_GB2312"/>
              </w:rPr>
              <w:t>供应商按要求提供秦岭四时记录、生态保护工作纪实记录、秦岭违建整治对比记录方案。 1.方案完整、详尽、计划合理、可行、满足项目需求针对性强的，得10分。 2.方案完整性、合理性、可行性较强，较好的满足项目需求，得8分； 3.方案完整性、合理性、可行性基本满足项目需求，得6分； 4.方案基本满足本次活动的要求，可行性一般，得4分； 5.方案一般，可行性差，得2分； 6.未提供相关内容的不得分。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创意短视频制作方案</w:t>
            </w:r>
          </w:p>
        </w:tc>
        <w:tc>
          <w:tcPr>
            <w:tcW w:type="dxa" w:w="2492"/>
          </w:tcPr>
          <w:p>
            <w:pPr>
              <w:pStyle w:val="null3"/>
            </w:pPr>
            <w:r>
              <w:rPr>
                <w:rFonts w:ascii="仿宋_GB2312" w:hAnsi="仿宋_GB2312" w:cs="仿宋_GB2312" w:eastAsia="仿宋_GB2312"/>
              </w:rPr>
              <w:t>供应商按要求策划并拍摄以“秦岭生态保护”为主题的系列短剧，通过故事化、剧情化的方式，软性植入生态保护政策与知识，增强传播的趣味性与互动性。 1.方案完整、详尽、计划合理、可行、满足项目需求针对性强的，得10分。 2.方案完整性、合理性、可行性较强，较好的满足项目需求，得8分； 3.方案完整性、合理性、可行性基本满足项目需求，得6分； 4.方案基本满足本次活动的要求，可行性一般，得4分； 5.方案一般，可行性差，得2分； 6.未提供相关内容的不得分。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策划优质传播内容</w:t>
            </w:r>
          </w:p>
        </w:tc>
        <w:tc>
          <w:tcPr>
            <w:tcW w:type="dxa" w:w="2492"/>
          </w:tcPr>
          <w:p>
            <w:pPr>
              <w:pStyle w:val="null3"/>
            </w:pPr>
            <w:r>
              <w:rPr>
                <w:rFonts w:ascii="仿宋_GB2312" w:hAnsi="仿宋_GB2312" w:cs="仿宋_GB2312" w:eastAsia="仿宋_GB2312"/>
              </w:rPr>
              <w:t>根据各供应商为本项目提供的策划优质传播内容的方案，由磋商小组进行评分。 1.方案完整、详尽、计划合理、可行、满足项目需求针对性强的，得10分。 2.方案完整性、合理性、可行性较强，较好的满足项目需求，得8分； 3.方案完整性、合理性、可行性基本满足项目需求，得6分； 4.方案基本满足本次活动的要求，可行性一般，得4分； 5.方案一般，可行性差，得2分； 6.未提供相关内容的不得分。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材料设备投入计划</w:t>
            </w:r>
          </w:p>
        </w:tc>
        <w:tc>
          <w:tcPr>
            <w:tcW w:type="dxa" w:w="2492"/>
          </w:tcPr>
          <w:p>
            <w:pPr>
              <w:pStyle w:val="null3"/>
            </w:pPr>
            <w:r>
              <w:rPr>
                <w:rFonts w:ascii="仿宋_GB2312" w:hAnsi="仿宋_GB2312" w:cs="仿宋_GB2312" w:eastAsia="仿宋_GB2312"/>
              </w:rPr>
              <w:t>根据完成本项目须提供的相关材料设备物品等明确的投入计划。 1.材料设备配备齐全，质量可靠，充分满足服务需求，有备品备件，得5分； 2.材料设备配备基本齐全，质量基本可靠，满足服务需求，得3分； 3.材料设备配备紧张，基本满足服务需求，得1分。 4.未提供相关内容的不得分。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供应商针对本项目提供服务团队的人员配备方案具有专业的执行团队（包括但不限于项目负责人、策划、摄影师、剪辑师、宣传、管理等岗位设置），提供人员证明材料（不限于毕业证或学历证、资格证等相关证明材料复印件）。 1.人员配备合理，专业性强，经验丰富，职责分工明确，得10分； 2.人员配备较合理，专业性较强，经验较丰富，职责分工较明确，得8分； 3.人员配备基本合理，专业性经验基本丰富，职责分工基本明确，得6分； 4.人员配备一般、专业性一般，经验欠缺，职责分工一般，得4分； 5.人员配备合理差、专业性差，职责分工不明确，得2分； 6.未提供相关内容的不得分。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服务质量保证方案</w:t>
            </w:r>
          </w:p>
        </w:tc>
        <w:tc>
          <w:tcPr>
            <w:tcW w:type="dxa" w:w="2492"/>
          </w:tcPr>
          <w:p>
            <w:pPr>
              <w:pStyle w:val="null3"/>
            </w:pPr>
            <w:r>
              <w:rPr>
                <w:rFonts w:ascii="仿宋_GB2312" w:hAnsi="仿宋_GB2312" w:cs="仿宋_GB2312" w:eastAsia="仿宋_GB2312"/>
              </w:rPr>
              <w:t>提供针对本项目的服务质量保证方案（包括：健全的质量控制体系、针对本项目的质量把控方案、质量保证措施，并有质量目标无法实现时的认罚承诺等）。 1.方案完整、详尽、计划合理、可行、满足项目需求针对性强的得8分； 2.方案完整性、合理性、可行性较强，较好的满足项目需求得6分； 3.方案基本满足本次活动的要求，可行性一般得4分； 4.方案宽泛内容一般，可行性差，得2分； 5.未提供相关内容的不得分。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满足用户的服务要求，对完成项目所涉及的货物、服务等方面具有详细的服务承诺； 1.服务承诺完善、详尽、计划合理、可行、满足项目需求针对性强的得8分； 2.服务承诺完整性、合理性、可行性较强，较好的满足项目需求得6分； 3.服务承诺基本满足本次活动的要求，可行性一般得4分； 4.服务承诺宽泛内容一般，可行性差，得2分； 5.未提供相关内容的不得分。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进度目标及保障措施</w:t>
            </w:r>
          </w:p>
        </w:tc>
        <w:tc>
          <w:tcPr>
            <w:tcW w:type="dxa" w:w="2492"/>
          </w:tcPr>
          <w:p>
            <w:pPr>
              <w:pStyle w:val="null3"/>
            </w:pPr>
            <w:r>
              <w:rPr>
                <w:rFonts w:ascii="仿宋_GB2312" w:hAnsi="仿宋_GB2312" w:cs="仿宋_GB2312" w:eastAsia="仿宋_GB2312"/>
              </w:rPr>
              <w:t>供应商针对本项目提供详细的进度目标及内控保障措施： 1.进度目标及保障措施完善、详尽、计划合理、可行、满足项目需求针对性强的得8分； 2.进度目标及保障措施完整性、合理性、可行性较强，较好的满足项目需求得6分； 3.进度目标及保障措施基本满足本次活动的要求，可行性一般得4分； 4.进度目标及保障措施宽泛内容一般，可行性差，得2分； 5.未提供相关内容的不得分。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突发事件应急预案</w:t>
            </w:r>
          </w:p>
        </w:tc>
        <w:tc>
          <w:tcPr>
            <w:tcW w:type="dxa" w:w="2492"/>
          </w:tcPr>
          <w:p>
            <w:pPr>
              <w:pStyle w:val="null3"/>
            </w:pPr>
            <w:r>
              <w:rPr>
                <w:rFonts w:ascii="仿宋_GB2312" w:hAnsi="仿宋_GB2312" w:cs="仿宋_GB2312" w:eastAsia="仿宋_GB2312"/>
              </w:rPr>
              <w:t>制定合理、可行的各种突发情况（包含服务中出现的各种突发事件，活动现场秩序调节、停电、断网、所提供的设备及材料出现质量问题等）的应急预案。 1.应急预案内容完善，应对措施全面、可行性强、考虑充分，能够确保活动顺利开展，得6分； 2.应急预案内容基本完善，应对措施的可 行性较强，考虑得当，基本能够确保活动顺利开展，得4分； 3.应急预案内容基本完善，应对措施有一定可行性，考虑不足，得2分； 4.未提供相关内容的不得分。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供应商针对本项目进行重难点分析。 1.方案合理，对工作重点、难点分析准确针对性强的得5分； 2.方案基本合理，对工作重点、难点分析一般的得3分； 3.方案宽泛，对工作重点、难点分析较差的得1分； 4.未提供相关内容的不得分。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供应商自2023年1月1日起至今具有类似项目业绩，每提供1份得2分，最多得10分。 注：1、以合同协议书复印件加盖公章为准。2、时间以合同协议书签订时间为准。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经资格审查、符合性审查合格的磋商响应文件，其磋商报价为有效磋商报价。满足磋商文件要求且磋商价格最低的磋商报价为评标基准价，其价格分为满分。价格分按照下列公式计算。 报价总得分=（评标基准价/磋商总报价）×10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详见附件：分项报价明细表.docx</w:t>
      </w:r>
    </w:p>
    <w:p>
      <w:pPr>
        <w:pStyle w:val="null3"/>
        <w:ind w:firstLine="960"/>
      </w:pPr>
      <w:r>
        <w:rPr>
          <w:rFonts w:ascii="仿宋_GB2312" w:hAnsi="仿宋_GB2312" w:cs="仿宋_GB2312" w:eastAsia="仿宋_GB2312"/>
        </w:rPr>
        <w:t>详见附件：法定代表人证明书及法定代表人授权书.docx</w:t>
      </w:r>
    </w:p>
    <w:p>
      <w:pPr>
        <w:pStyle w:val="null3"/>
        <w:ind w:firstLine="960"/>
      </w:pPr>
      <w:r>
        <w:rPr>
          <w:rFonts w:ascii="仿宋_GB2312" w:hAnsi="仿宋_GB2312" w:cs="仿宋_GB2312" w:eastAsia="仿宋_GB2312"/>
        </w:rPr>
        <w:t>详见附件：服务需求响应表.docx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详见附件：类似项目业绩.docx</w:t>
      </w:r>
    </w:p>
    <w:p>
      <w:pPr>
        <w:pStyle w:val="null3"/>
        <w:ind w:firstLine="960"/>
      </w:pPr>
      <w:r>
        <w:rPr>
          <w:rFonts w:ascii="仿宋_GB2312" w:hAnsi="仿宋_GB2312" w:cs="仿宋_GB2312" w:eastAsia="仿宋_GB2312"/>
        </w:rPr>
        <w:t>详见附件：磋商响应方案说明.docx</w:t>
      </w:r>
    </w:p>
    <w:p>
      <w:pPr>
        <w:pStyle w:val="null3"/>
        <w:ind w:firstLine="960"/>
      </w:pPr>
      <w:r>
        <w:rPr>
          <w:rFonts w:ascii="仿宋_GB2312" w:hAnsi="仿宋_GB2312" w:cs="仿宋_GB2312" w:eastAsia="仿宋_GB2312"/>
        </w:rPr>
        <w:t>详见附件：磋商响应单位承诺书.docx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