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7AB11">
      <w:pPr>
        <w:spacing w:before="91" w:line="360" w:lineRule="auto"/>
        <w:ind w:left="0" w:leftChars="0"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拟签订采购合同文本</w:t>
      </w:r>
    </w:p>
    <w:p w14:paraId="1C5AFC9E">
      <w:pPr>
        <w:spacing w:line="360" w:lineRule="auto"/>
        <w:jc w:val="center"/>
        <w:rPr>
          <w:rFonts w:hint="eastAsia" w:ascii="宋体" w:hAnsi="宋体" w:eastAsia="宋体" w:cs="宋体"/>
          <w:b/>
          <w:bCs/>
          <w:color w:val="auto"/>
          <w:kern w:val="44"/>
          <w:sz w:val="24"/>
          <w:highlight w:val="none"/>
          <w:lang w:eastAsia="zh-CN"/>
        </w:rPr>
      </w:pPr>
    </w:p>
    <w:p w14:paraId="79433772">
      <w:pPr>
        <w:spacing w:line="360" w:lineRule="auto"/>
        <w:jc w:val="center"/>
        <w:rPr>
          <w:rFonts w:hint="eastAsia" w:ascii="宋体" w:hAnsi="宋体" w:eastAsia="宋体" w:cs="宋体"/>
          <w:b/>
          <w:bCs/>
          <w:color w:val="auto"/>
          <w:kern w:val="44"/>
          <w:sz w:val="24"/>
          <w:highlight w:val="none"/>
          <w:lang w:eastAsia="zh-CN"/>
        </w:rPr>
      </w:pPr>
    </w:p>
    <w:p w14:paraId="5BC5A2AC">
      <w:pPr>
        <w:spacing w:line="360" w:lineRule="auto"/>
        <w:jc w:val="center"/>
        <w:rPr>
          <w:rFonts w:hint="eastAsia" w:ascii="宋体" w:hAnsi="宋体" w:eastAsia="宋体" w:cs="宋体"/>
          <w:b/>
          <w:bCs/>
          <w:color w:val="auto"/>
          <w:kern w:val="44"/>
          <w:sz w:val="24"/>
          <w:highlight w:val="none"/>
          <w:lang w:eastAsia="zh-CN"/>
        </w:rPr>
      </w:pPr>
    </w:p>
    <w:p w14:paraId="200F663F">
      <w:pPr>
        <w:spacing w:line="360" w:lineRule="auto"/>
        <w:jc w:val="center"/>
        <w:rPr>
          <w:rFonts w:hint="eastAsia" w:ascii="宋体" w:hAnsi="宋体" w:eastAsia="宋体" w:cs="宋体"/>
          <w:b/>
          <w:color w:val="auto"/>
          <w:sz w:val="40"/>
          <w:szCs w:val="40"/>
          <w:highlight w:val="none"/>
          <w:lang w:eastAsia="zh-CN"/>
        </w:rPr>
      </w:pPr>
      <w:r>
        <w:rPr>
          <w:rFonts w:hint="eastAsia" w:ascii="宋体" w:hAnsi="宋体" w:eastAsia="宋体" w:cs="宋体"/>
          <w:b/>
          <w:color w:val="auto"/>
          <w:sz w:val="40"/>
          <w:szCs w:val="40"/>
          <w:highlight w:val="none"/>
          <w:lang w:eastAsia="zh-CN"/>
        </w:rPr>
        <w:t>西安市雁塔区城市和管理综合执法局</w:t>
      </w:r>
    </w:p>
    <w:p w14:paraId="4B540070">
      <w:pPr>
        <w:spacing w:line="360" w:lineRule="auto"/>
        <w:jc w:val="center"/>
        <w:rPr>
          <w:rFonts w:hint="eastAsia" w:ascii="宋体" w:hAnsi="宋体" w:eastAsia="宋体" w:cs="宋体"/>
          <w:b/>
          <w:color w:val="auto"/>
          <w:sz w:val="44"/>
          <w:szCs w:val="44"/>
          <w:highlight w:val="none"/>
          <w:lang w:eastAsia="zh-CN"/>
        </w:rPr>
      </w:pPr>
      <w:r>
        <w:rPr>
          <w:rFonts w:hint="eastAsia" w:ascii="宋体" w:hAnsi="宋体" w:eastAsia="宋体" w:cs="宋体"/>
          <w:b/>
          <w:color w:val="auto"/>
          <w:sz w:val="40"/>
          <w:szCs w:val="40"/>
          <w:highlight w:val="none"/>
          <w:lang w:eastAsia="zh-CN"/>
        </w:rPr>
        <w:t>机关灶劳务外包</w:t>
      </w:r>
    </w:p>
    <w:p w14:paraId="1216C788">
      <w:pPr>
        <w:pStyle w:val="3"/>
        <w:rPr>
          <w:rFonts w:hint="eastAsia"/>
          <w:color w:val="auto"/>
          <w:highlight w:val="none"/>
          <w:lang w:eastAsia="zh-CN"/>
        </w:rPr>
      </w:pPr>
    </w:p>
    <w:p w14:paraId="3FB138F0">
      <w:pPr>
        <w:spacing w:line="360" w:lineRule="auto"/>
        <w:ind w:firstLine="2249" w:firstLineChars="700"/>
        <w:jc w:val="both"/>
        <w:rPr>
          <w:rFonts w:hint="eastAsia" w:ascii="宋体" w:hAnsi="宋体" w:eastAsia="宋体" w:cs="宋体"/>
          <w:b/>
          <w:color w:val="auto"/>
          <w:sz w:val="32"/>
          <w:szCs w:val="32"/>
          <w:highlight w:val="none"/>
          <w:lang w:eastAsia="zh-CN"/>
        </w:rPr>
      </w:pPr>
    </w:p>
    <w:p w14:paraId="4F84E6C3">
      <w:pPr>
        <w:spacing w:line="360" w:lineRule="auto"/>
        <w:ind w:firstLine="2249" w:firstLineChars="700"/>
        <w:jc w:val="both"/>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合同编号：__________________</w:t>
      </w:r>
    </w:p>
    <w:p w14:paraId="3007EA1D">
      <w:pPr>
        <w:spacing w:line="360" w:lineRule="auto"/>
        <w:rPr>
          <w:rFonts w:hint="eastAsia" w:ascii="宋体" w:hAnsi="宋体" w:eastAsia="宋体" w:cs="宋体"/>
          <w:color w:val="auto"/>
          <w:sz w:val="24"/>
          <w:highlight w:val="none"/>
          <w:lang w:eastAsia="zh-CN"/>
        </w:rPr>
      </w:pPr>
    </w:p>
    <w:p w14:paraId="1F2ACD53">
      <w:pPr>
        <w:spacing w:line="360" w:lineRule="auto"/>
        <w:jc w:val="center"/>
        <w:rPr>
          <w:rFonts w:hint="eastAsia" w:ascii="宋体" w:hAnsi="宋体" w:eastAsia="宋体" w:cs="宋体"/>
          <w:b/>
          <w:color w:val="auto"/>
          <w:sz w:val="36"/>
          <w:szCs w:val="36"/>
          <w:highlight w:val="none"/>
          <w:lang w:eastAsia="zh-CN"/>
        </w:rPr>
      </w:pPr>
    </w:p>
    <w:p w14:paraId="505D90E1">
      <w:pPr>
        <w:rPr>
          <w:rFonts w:hint="eastAsia" w:ascii="宋体" w:hAnsi="宋体" w:eastAsia="宋体" w:cs="宋体"/>
          <w:b/>
          <w:color w:val="auto"/>
          <w:sz w:val="36"/>
          <w:szCs w:val="36"/>
          <w:highlight w:val="none"/>
          <w:lang w:eastAsia="zh-CN"/>
        </w:rPr>
      </w:pPr>
    </w:p>
    <w:p w14:paraId="4F6D3B82">
      <w:pPr>
        <w:rPr>
          <w:rFonts w:hint="eastAsia" w:ascii="宋体" w:hAnsi="宋体" w:eastAsia="宋体" w:cs="宋体"/>
          <w:b/>
          <w:color w:val="auto"/>
          <w:sz w:val="36"/>
          <w:szCs w:val="36"/>
          <w:highlight w:val="none"/>
          <w:lang w:eastAsia="zh-CN"/>
        </w:rPr>
      </w:pPr>
    </w:p>
    <w:p w14:paraId="517F84AA">
      <w:pPr>
        <w:pStyle w:val="2"/>
        <w:rPr>
          <w:rFonts w:hint="eastAsia" w:ascii="宋体" w:hAnsi="宋体" w:eastAsia="宋体" w:cs="宋体"/>
          <w:color w:val="auto"/>
          <w:highlight w:val="none"/>
          <w:lang w:eastAsia="zh-CN"/>
        </w:rPr>
      </w:pPr>
    </w:p>
    <w:p w14:paraId="778AE620">
      <w:pPr>
        <w:spacing w:line="360" w:lineRule="auto"/>
        <w:jc w:val="center"/>
        <w:rPr>
          <w:rFonts w:hint="eastAsia" w:ascii="宋体" w:hAnsi="宋体" w:eastAsia="宋体" w:cs="宋体"/>
          <w:b/>
          <w:color w:val="auto"/>
          <w:sz w:val="48"/>
          <w:szCs w:val="48"/>
          <w:highlight w:val="none"/>
          <w:lang w:eastAsia="zh-CN"/>
        </w:rPr>
      </w:pPr>
      <w:r>
        <w:rPr>
          <w:rFonts w:hint="eastAsia" w:ascii="宋体" w:hAnsi="宋体" w:eastAsia="宋体" w:cs="宋体"/>
          <w:b/>
          <w:color w:val="auto"/>
          <w:sz w:val="48"/>
          <w:szCs w:val="48"/>
          <w:highlight w:val="none"/>
          <w:lang w:eastAsia="zh-CN"/>
        </w:rPr>
        <w:t>合同书</w:t>
      </w:r>
    </w:p>
    <w:p w14:paraId="540073C3">
      <w:pPr>
        <w:spacing w:line="360" w:lineRule="auto"/>
        <w:rPr>
          <w:rFonts w:hint="eastAsia" w:ascii="宋体" w:hAnsi="宋体" w:eastAsia="宋体" w:cs="宋体"/>
          <w:color w:val="auto"/>
          <w:sz w:val="24"/>
          <w:highlight w:val="none"/>
          <w:lang w:eastAsia="zh-CN"/>
        </w:rPr>
      </w:pPr>
    </w:p>
    <w:p w14:paraId="7C4E2F94">
      <w:pPr>
        <w:spacing w:line="360" w:lineRule="auto"/>
        <w:rPr>
          <w:rFonts w:hint="eastAsia" w:ascii="宋体" w:hAnsi="宋体" w:eastAsia="宋体" w:cs="宋体"/>
          <w:color w:val="auto"/>
          <w:sz w:val="24"/>
          <w:highlight w:val="none"/>
          <w:lang w:eastAsia="zh-CN"/>
        </w:rPr>
      </w:pPr>
    </w:p>
    <w:p w14:paraId="75C3CB61">
      <w:pPr>
        <w:spacing w:line="360" w:lineRule="auto"/>
        <w:rPr>
          <w:rFonts w:hint="eastAsia" w:ascii="宋体" w:hAnsi="宋体" w:eastAsia="宋体" w:cs="宋体"/>
          <w:color w:val="auto"/>
          <w:sz w:val="24"/>
          <w:highlight w:val="none"/>
          <w:lang w:eastAsia="zh-CN"/>
        </w:rPr>
      </w:pPr>
    </w:p>
    <w:p w14:paraId="0032C921">
      <w:pPr>
        <w:spacing w:line="360" w:lineRule="auto"/>
        <w:rPr>
          <w:rFonts w:hint="eastAsia" w:ascii="宋体" w:hAnsi="宋体" w:eastAsia="宋体" w:cs="宋体"/>
          <w:color w:val="auto"/>
          <w:sz w:val="28"/>
          <w:szCs w:val="28"/>
          <w:highlight w:val="none"/>
          <w:lang w:eastAsia="zh-CN"/>
        </w:rPr>
      </w:pPr>
    </w:p>
    <w:p w14:paraId="187C418F">
      <w:pPr>
        <w:spacing w:line="360" w:lineRule="auto"/>
        <w:ind w:firstLine="1687" w:firstLineChars="600"/>
        <w:rPr>
          <w:rFonts w:hint="eastAsia" w:ascii="宋体" w:hAnsi="宋体" w:eastAsia="宋体" w:cs="宋体"/>
          <w:b/>
          <w:bCs/>
          <w:color w:val="auto"/>
          <w:sz w:val="28"/>
          <w:szCs w:val="28"/>
          <w:highlight w:val="none"/>
          <w:u w:val="single"/>
          <w:lang w:eastAsia="zh-CN"/>
        </w:rPr>
      </w:pPr>
      <w:r>
        <w:rPr>
          <w:rFonts w:hint="eastAsia" w:ascii="宋体" w:hAnsi="宋体" w:eastAsia="宋体" w:cs="宋体"/>
          <w:b/>
          <w:bCs/>
          <w:color w:val="auto"/>
          <w:sz w:val="28"/>
          <w:szCs w:val="28"/>
          <w:highlight w:val="none"/>
          <w:lang w:eastAsia="zh-CN"/>
        </w:rPr>
        <w:t>采购人（甲方）：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589295BD">
      <w:pPr>
        <w:spacing w:line="360" w:lineRule="auto"/>
        <w:ind w:firstLine="1687" w:firstLineChars="600"/>
        <w:rPr>
          <w:rFonts w:hint="eastAsia" w:ascii="宋体" w:hAnsi="宋体" w:eastAsia="宋体" w:cs="宋体"/>
          <w:b/>
          <w:bCs/>
          <w:color w:val="auto"/>
          <w:sz w:val="28"/>
          <w:szCs w:val="28"/>
          <w:highlight w:val="none"/>
          <w:u w:val="single"/>
          <w:lang w:eastAsia="zh-CN"/>
        </w:rPr>
      </w:pPr>
      <w:r>
        <w:rPr>
          <w:rFonts w:hint="eastAsia" w:ascii="宋体" w:hAnsi="宋体" w:eastAsia="宋体" w:cs="宋体"/>
          <w:b/>
          <w:bCs/>
          <w:color w:val="auto"/>
          <w:sz w:val="28"/>
          <w:szCs w:val="28"/>
          <w:highlight w:val="none"/>
          <w:lang w:eastAsia="zh-CN"/>
        </w:rPr>
        <w:t>成交人（乙方）：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6F1A02FB">
      <w:pPr>
        <w:spacing w:line="360" w:lineRule="auto"/>
        <w:ind w:firstLine="1687" w:firstLineChars="600"/>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签订日期：</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4E973409">
      <w:pPr>
        <w:pStyle w:val="2"/>
        <w:rPr>
          <w:rFonts w:hint="eastAsia" w:ascii="宋体" w:hAnsi="宋体" w:eastAsia="宋体" w:cs="宋体"/>
          <w:color w:val="auto"/>
          <w:highlight w:val="none"/>
          <w:lang w:eastAsia="zh-CN"/>
        </w:rPr>
      </w:pPr>
    </w:p>
    <w:p w14:paraId="68073E6B">
      <w:pPr>
        <w:pStyle w:val="2"/>
        <w:rPr>
          <w:rFonts w:hint="eastAsia" w:ascii="宋体" w:hAnsi="宋体" w:eastAsia="宋体" w:cs="宋体"/>
          <w:color w:val="auto"/>
          <w:highlight w:val="none"/>
          <w:lang w:eastAsia="zh-CN"/>
        </w:rPr>
      </w:pPr>
    </w:p>
    <w:p w14:paraId="74D65650">
      <w:pPr>
        <w:pStyle w:val="4"/>
        <w:keepNext w:val="0"/>
        <w:keepLines w:val="0"/>
        <w:pageBreakBefore w:val="0"/>
        <w:widowControl w:val="0"/>
        <w:kinsoku/>
        <w:wordWrap/>
        <w:overflowPunct/>
        <w:topLinePunct w:val="0"/>
        <w:autoSpaceDE/>
        <w:autoSpaceDN/>
        <w:bidi w:val="0"/>
        <w:adjustRightInd/>
        <w:snapToGrid/>
        <w:spacing w:before="100" w:beforeAutospacing="0" w:after="100" w:afterAutospacing="0" w:line="360" w:lineRule="auto"/>
        <w:ind w:left="0" w:leftChars="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kern w:val="2"/>
          <w:sz w:val="24"/>
          <w:szCs w:val="24"/>
          <w:highlight w:val="none"/>
        </w:rPr>
        <w:t xml:space="preserve">合同编号： </w:t>
      </w:r>
    </w:p>
    <w:p w14:paraId="52D4A9F3">
      <w:pPr>
        <w:keepNext w:val="0"/>
        <w:keepLines w:val="0"/>
        <w:pageBreakBefore w:val="0"/>
        <w:widowControl w:val="0"/>
        <w:kinsoku/>
        <w:wordWrap/>
        <w:overflowPunct/>
        <w:topLinePunct w:val="0"/>
        <w:autoSpaceDE/>
        <w:autoSpaceDN/>
        <w:bidi w:val="0"/>
        <w:adjustRightInd/>
        <w:snapToGrid/>
        <w:spacing w:before="100" w:beforeAutospacing="0" w:after="100" w:afterAutospacing="0" w:line="360" w:lineRule="auto"/>
        <w:ind w:right="0" w:firstLine="480" w:firstLineChars="200"/>
        <w:jc w:val="both"/>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 xml:space="preserve">签订地点： </w:t>
      </w:r>
    </w:p>
    <w:p w14:paraId="4D94DA60">
      <w:pPr>
        <w:keepNext w:val="0"/>
        <w:keepLines w:val="0"/>
        <w:pageBreakBefore w:val="0"/>
        <w:widowControl w:val="0"/>
        <w:kinsoku/>
        <w:wordWrap/>
        <w:overflowPunct/>
        <w:topLinePunct w:val="0"/>
        <w:autoSpaceDE/>
        <w:autoSpaceDN/>
        <w:bidi w:val="0"/>
        <w:adjustRightInd/>
        <w:snapToGrid/>
        <w:spacing w:before="100" w:beforeAutospacing="0" w:after="100" w:afterAutospacing="0" w:line="360" w:lineRule="auto"/>
        <w:ind w:right="0" w:firstLine="480" w:firstLineChars="200"/>
        <w:jc w:val="both"/>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签订时间：</w:t>
      </w:r>
    </w:p>
    <w:p w14:paraId="272FC121">
      <w:pPr>
        <w:keepNext w:val="0"/>
        <w:keepLines w:val="0"/>
        <w:pageBreakBefore w:val="0"/>
        <w:widowControl w:val="0"/>
        <w:shd w:val="clear" w:color="auto" w:fill="FFFFFF"/>
        <w:kinsoku/>
        <w:wordWrap/>
        <w:overflowPunct/>
        <w:topLinePunct w:val="0"/>
        <w:autoSpaceDE/>
        <w:autoSpaceDN/>
        <w:bidi w:val="0"/>
        <w:adjustRightInd/>
        <w:snapToGrid/>
        <w:spacing w:before="100" w:beforeAutospacing="0" w:after="100" w:afterAutospacing="0" w:line="360" w:lineRule="auto"/>
        <w:ind w:right="0"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本合同是否为中小企业预留份额合同：</w:t>
      </w:r>
    </w:p>
    <w:p w14:paraId="0BB73457">
      <w:pPr>
        <w:keepNext w:val="0"/>
        <w:keepLines w:val="0"/>
        <w:pageBreakBefore w:val="0"/>
        <w:widowControl w:val="0"/>
        <w:kinsoku/>
        <w:wordWrap/>
        <w:overflowPunct/>
        <w:topLinePunct w:val="0"/>
        <w:autoSpaceDE/>
        <w:autoSpaceDN/>
        <w:bidi w:val="0"/>
        <w:adjustRightInd/>
        <w:snapToGrid/>
        <w:spacing w:before="100" w:beforeAutospacing="0" w:after="100" w:afterAutospacing="0" w:line="360" w:lineRule="auto"/>
        <w:ind w:right="0" w:firstLine="480" w:firstLineChars="200"/>
        <w:jc w:val="both"/>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甲方（甲方）：</w:t>
      </w:r>
    </w:p>
    <w:p w14:paraId="4356355B">
      <w:pPr>
        <w:keepNext w:val="0"/>
        <w:keepLines w:val="0"/>
        <w:pageBreakBefore w:val="0"/>
        <w:widowControl w:val="0"/>
        <w:kinsoku/>
        <w:wordWrap/>
        <w:overflowPunct/>
        <w:topLinePunct w:val="0"/>
        <w:autoSpaceDE/>
        <w:autoSpaceDN/>
        <w:bidi w:val="0"/>
        <w:adjustRightInd/>
        <w:snapToGrid/>
        <w:spacing w:before="100" w:beforeAutospacing="0" w:after="100" w:afterAutospacing="0" w:line="360" w:lineRule="auto"/>
        <w:ind w:right="0" w:firstLine="480" w:firstLineChars="200"/>
        <w:jc w:val="both"/>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供应商（乙方）：</w:t>
      </w:r>
    </w:p>
    <w:p w14:paraId="12F0E5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根据《中华人民共和国政府采购法》及实施条例、《中华人民共和国民法典》和甲方</w:t>
      </w:r>
      <w:r>
        <w:rPr>
          <w:rFonts w:hint="eastAsia" w:ascii="宋体" w:hAnsi="宋体" w:eastAsia="宋体" w:cs="宋体"/>
          <w:color w:val="auto"/>
          <w:kern w:val="2"/>
          <w:sz w:val="24"/>
          <w:szCs w:val="24"/>
          <w:highlight w:val="none"/>
          <w:u w:val="single"/>
          <w:lang w:val="en-US" w:eastAsia="zh-CN" w:bidi="ar-SA"/>
        </w:rPr>
        <w:t xml:space="preserve"> （项目名称） （项目编号</w:t>
      </w:r>
      <w:r>
        <w:rPr>
          <w:rFonts w:hint="eastAsia" w:ascii="宋体" w:hAnsi="宋体" w:eastAsia="宋体" w:cs="宋体"/>
          <w:color w:val="auto"/>
          <w:kern w:val="2"/>
          <w:sz w:val="24"/>
          <w:szCs w:val="24"/>
          <w:highlight w:val="none"/>
          <w:lang w:val="en-US" w:eastAsia="zh-CN" w:bidi="ar-SA"/>
        </w:rPr>
        <w:t>）的采购文件、响应文件等有关规定，为确保甲方采购项目的顺利实施，甲、乙双方在平等自愿原则下签订本合同，并共同遵守如下条款：</w:t>
      </w:r>
      <w:bookmarkStart w:id="0" w:name="_Toc14987"/>
    </w:p>
    <w:bookmarkEnd w:id="0"/>
    <w:p w14:paraId="490B9145">
      <w:pPr>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条</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项目概况</w:t>
      </w:r>
    </w:p>
    <w:p w14:paraId="09D2DE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lang w:val="en-US" w:eastAsia="zh-CN"/>
        </w:rPr>
        <w:t>乙方根据责任划分范围，提供食堂餐品的加工、供餐、就餐等服务，配合并促进采购人完成食堂正常运转、后厨卫生保洁等服务工作，营造安全、整洁、舒适、和谐的食堂环境秩序；各项服务标准符合国家、省、市（行业）强制性标准及甲方</w:t>
      </w:r>
      <w:r>
        <w:rPr>
          <w:rFonts w:hint="eastAsia" w:ascii="宋体" w:hAnsi="宋体" w:eastAsia="宋体" w:cs="宋体"/>
          <w:b w:val="0"/>
          <w:bCs/>
          <w:color w:val="auto"/>
          <w:sz w:val="24"/>
          <w:szCs w:val="24"/>
          <w:highlight w:val="none"/>
          <w:lang w:eastAsia="zh-CN"/>
        </w:rPr>
        <w:t>要求。</w:t>
      </w:r>
    </w:p>
    <w:p w14:paraId="0AEAFEA1">
      <w:pPr>
        <w:keepNext w:val="0"/>
        <w:keepLines w:val="0"/>
        <w:pageBreakBefore w:val="0"/>
        <w:wordWrap/>
        <w:overflowPunct/>
        <w:topLinePunct w:val="0"/>
        <w:bidi w:val="0"/>
        <w:spacing w:line="360" w:lineRule="auto"/>
        <w:ind w:firstLine="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kern w:val="0"/>
          <w:sz w:val="24"/>
          <w:szCs w:val="24"/>
          <w:highlight w:val="none"/>
        </w:rPr>
        <w:t>第二条  服务内容及要求</w:t>
      </w:r>
    </w:p>
    <w:p w14:paraId="1D9622F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服务</w:t>
      </w:r>
      <w:r>
        <w:rPr>
          <w:rFonts w:hint="eastAsia" w:ascii="宋体" w:hAnsi="宋体" w:eastAsia="宋体" w:cs="宋体"/>
          <w:b/>
          <w:color w:val="auto"/>
          <w:sz w:val="24"/>
          <w:szCs w:val="24"/>
          <w:highlight w:val="none"/>
          <w:lang w:val="en-US" w:eastAsia="zh-CN"/>
        </w:rPr>
        <w:t>内容</w:t>
      </w:r>
      <w:r>
        <w:rPr>
          <w:rFonts w:hint="eastAsia" w:ascii="宋体" w:hAnsi="宋体" w:eastAsia="宋体" w:cs="宋体"/>
          <w:b/>
          <w:color w:val="auto"/>
          <w:sz w:val="24"/>
          <w:szCs w:val="24"/>
          <w:highlight w:val="none"/>
          <w:lang w:eastAsia="zh-CN"/>
        </w:rPr>
        <w:t>：</w:t>
      </w:r>
      <w:r>
        <w:rPr>
          <w:rFonts w:hint="eastAsia" w:ascii="宋体" w:hAnsi="宋体" w:eastAsia="宋体" w:cs="宋体"/>
          <w:b w:val="0"/>
          <w:bCs/>
          <w:color w:val="auto"/>
          <w:sz w:val="24"/>
          <w:szCs w:val="24"/>
          <w:highlight w:val="none"/>
          <w:lang w:eastAsia="zh-CN"/>
        </w:rPr>
        <w:t>根据责任划分范围，提供食堂餐品的加工、供餐、就餐等服务，配合并促进采购人完成食堂正常运转、后厨卫生保洁等服务工作，营造安全、整洁、舒适、和谐的食堂环境秩序</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eastAsia="zh-CN"/>
        </w:rPr>
        <w:t>具体服务内容（包括但不限于）如下：</w:t>
      </w:r>
    </w:p>
    <w:p w14:paraId="6A1590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服务方</w:t>
      </w:r>
      <w:r>
        <w:rPr>
          <w:rFonts w:hint="eastAsia" w:ascii="宋体" w:hAnsi="宋体" w:eastAsia="宋体" w:cs="宋体"/>
          <w:b w:val="0"/>
          <w:bCs/>
          <w:color w:val="auto"/>
          <w:sz w:val="24"/>
          <w:szCs w:val="24"/>
          <w:highlight w:val="none"/>
        </w:rPr>
        <w:t>负责局内的餐食提供，餐品凸显当地饮食特色</w:t>
      </w:r>
      <w:r>
        <w:rPr>
          <w:rFonts w:hint="eastAsia" w:ascii="宋体" w:hAnsi="宋体" w:eastAsia="宋体" w:cs="宋体"/>
          <w:b w:val="0"/>
          <w:bCs/>
          <w:color w:val="auto"/>
          <w:sz w:val="24"/>
          <w:szCs w:val="24"/>
          <w:highlight w:val="none"/>
          <w:lang w:eastAsia="zh-CN"/>
        </w:rPr>
        <w:t>；</w:t>
      </w:r>
    </w:p>
    <w:p w14:paraId="3C009D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服务方</w:t>
      </w:r>
      <w:r>
        <w:rPr>
          <w:rFonts w:hint="eastAsia" w:ascii="宋体" w:hAnsi="宋体" w:eastAsia="宋体" w:cs="宋体"/>
          <w:b w:val="0"/>
          <w:bCs/>
          <w:color w:val="auto"/>
          <w:sz w:val="24"/>
          <w:szCs w:val="24"/>
          <w:highlight w:val="none"/>
        </w:rPr>
        <w:t>必须保证正常工作日期间膳食供应</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双休日及法定节假日如需供餐，</w:t>
      </w:r>
      <w:r>
        <w:rPr>
          <w:rFonts w:hint="eastAsia" w:ascii="宋体" w:hAnsi="宋体" w:eastAsia="宋体" w:cs="宋体"/>
          <w:b w:val="0"/>
          <w:bCs/>
          <w:color w:val="auto"/>
          <w:sz w:val="24"/>
          <w:szCs w:val="24"/>
          <w:highlight w:val="none"/>
          <w:lang w:val="en-US" w:eastAsia="zh-CN"/>
        </w:rPr>
        <w:t>服务方</w:t>
      </w:r>
      <w:r>
        <w:rPr>
          <w:rFonts w:hint="eastAsia" w:ascii="宋体" w:hAnsi="宋体" w:eastAsia="宋体" w:cs="宋体"/>
          <w:b w:val="0"/>
          <w:bCs/>
          <w:color w:val="auto"/>
          <w:sz w:val="24"/>
          <w:szCs w:val="24"/>
          <w:highlight w:val="none"/>
        </w:rPr>
        <w:t>必须无条件供餐及不另外计算劳务报酬</w:t>
      </w:r>
      <w:r>
        <w:rPr>
          <w:rFonts w:hint="eastAsia" w:ascii="宋体" w:hAnsi="宋体" w:eastAsia="宋体" w:cs="宋体"/>
          <w:b w:val="0"/>
          <w:bCs/>
          <w:color w:val="auto"/>
          <w:sz w:val="24"/>
          <w:szCs w:val="24"/>
          <w:highlight w:val="none"/>
          <w:lang w:eastAsia="zh-CN"/>
        </w:rPr>
        <w:t>；</w:t>
      </w:r>
    </w:p>
    <w:p w14:paraId="50C587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服务方</w:t>
      </w:r>
      <w:r>
        <w:rPr>
          <w:rFonts w:hint="eastAsia" w:ascii="宋体" w:hAnsi="宋体" w:eastAsia="宋体" w:cs="宋体"/>
          <w:b w:val="0"/>
          <w:bCs/>
          <w:color w:val="auto"/>
          <w:sz w:val="24"/>
          <w:szCs w:val="24"/>
          <w:highlight w:val="none"/>
        </w:rPr>
        <w:t>可根据自己的经营方式提供供餐方案，但菜品及价格需报经采购人审定同意后方可执行且不得随意更改</w:t>
      </w:r>
      <w:r>
        <w:rPr>
          <w:rFonts w:hint="eastAsia" w:ascii="宋体" w:hAnsi="宋体" w:eastAsia="宋体" w:cs="宋体"/>
          <w:b w:val="0"/>
          <w:bCs/>
          <w:color w:val="auto"/>
          <w:sz w:val="24"/>
          <w:szCs w:val="24"/>
          <w:highlight w:val="none"/>
          <w:lang w:eastAsia="zh-CN"/>
        </w:rPr>
        <w:t>；</w:t>
      </w:r>
    </w:p>
    <w:p w14:paraId="2BD38D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采购人</w:t>
      </w:r>
      <w:r>
        <w:rPr>
          <w:rFonts w:hint="eastAsia" w:ascii="宋体" w:hAnsi="宋体" w:eastAsia="宋体" w:cs="宋体"/>
          <w:b w:val="0"/>
          <w:bCs/>
          <w:color w:val="auto"/>
          <w:sz w:val="24"/>
          <w:szCs w:val="24"/>
          <w:highlight w:val="none"/>
        </w:rPr>
        <w:t>负责食材、辅材的采购、餐厅设施设备、水、电的维护、维修</w:t>
      </w:r>
      <w:r>
        <w:rPr>
          <w:rFonts w:hint="eastAsia" w:ascii="宋体" w:hAnsi="宋体" w:eastAsia="宋体" w:cs="宋体"/>
          <w:b w:val="0"/>
          <w:bCs/>
          <w:color w:val="auto"/>
          <w:sz w:val="24"/>
          <w:szCs w:val="24"/>
          <w:highlight w:val="none"/>
          <w:lang w:eastAsia="zh-CN"/>
        </w:rPr>
        <w:t>；</w:t>
      </w:r>
    </w:p>
    <w:p w14:paraId="6EB981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服务方</w:t>
      </w:r>
      <w:r>
        <w:rPr>
          <w:rFonts w:hint="eastAsia" w:ascii="宋体" w:hAnsi="宋体" w:eastAsia="宋体" w:cs="宋体"/>
          <w:b w:val="0"/>
          <w:bCs/>
          <w:color w:val="auto"/>
          <w:sz w:val="24"/>
          <w:szCs w:val="24"/>
          <w:highlight w:val="none"/>
        </w:rPr>
        <w:t>抓好单项成本核算,根据市场价格制定菜单。每半月总结分析生产经营情况，改进生产工艺，准确控制成本率，不断提高厨房的生产质量。</w:t>
      </w:r>
    </w:p>
    <w:p w14:paraId="124383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bCs w:val="0"/>
          <w:color w:val="auto"/>
          <w:sz w:val="24"/>
          <w:szCs w:val="24"/>
          <w:highlight w:val="none"/>
          <w:lang w:eastAsia="zh-CN"/>
        </w:rPr>
        <w:t>餐饮标准：</w:t>
      </w:r>
      <w:r>
        <w:rPr>
          <w:rFonts w:hint="eastAsia" w:ascii="宋体" w:hAnsi="宋体" w:eastAsia="宋体" w:cs="宋体"/>
          <w:b w:val="0"/>
          <w:bCs/>
          <w:color w:val="auto"/>
          <w:sz w:val="24"/>
          <w:szCs w:val="24"/>
          <w:highlight w:val="none"/>
          <w:lang w:eastAsia="zh-CN"/>
        </w:rPr>
        <w:t>餐饮服务包括职工工作日用餐（早、中两顿餐），餐饮菜品配置如下：</w:t>
      </w:r>
    </w:p>
    <w:p w14:paraId="14D6A4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）早餐：4种小菜(1荤+3素)+1咸菜+2种主食+1种杂粮+1种汤粥+鸡蛋。</w:t>
      </w:r>
    </w:p>
    <w:p w14:paraId="7328B5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eastAsia="zh-CN"/>
        </w:rPr>
        <w:t>）午餐：3种荤菜+3种素菜+1种主食+1种汤粥+1种面食+1种水果+乳制品。</w:t>
      </w:r>
    </w:p>
    <w:p w14:paraId="5B4275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注：</w:t>
      </w:r>
      <w:r>
        <w:rPr>
          <w:rFonts w:hint="eastAsia" w:ascii="宋体" w:hAnsi="宋体" w:eastAsia="宋体" w:cs="宋体"/>
          <w:b w:val="0"/>
          <w:bCs/>
          <w:color w:val="auto"/>
          <w:sz w:val="24"/>
          <w:szCs w:val="24"/>
          <w:highlight w:val="none"/>
          <w:lang w:eastAsia="zh-CN"/>
        </w:rPr>
        <w:t>具体以采购人要求为准）</w:t>
      </w:r>
    </w:p>
    <w:p w14:paraId="7BCF3E0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安全要求：</w:t>
      </w:r>
      <w:r>
        <w:rPr>
          <w:rFonts w:hint="eastAsia" w:ascii="宋体" w:hAnsi="宋体" w:eastAsia="宋体" w:cs="宋体"/>
          <w:color w:val="auto"/>
          <w:sz w:val="24"/>
          <w:szCs w:val="24"/>
          <w:highlight w:val="none"/>
        </w:rPr>
        <w:t>（1）食堂的水、电、气及操作设备符合安全要求；</w:t>
      </w:r>
    </w:p>
    <w:p w14:paraId="4880CF18">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（2）食堂应配备灭火器、灭火毯等消防器材，并定期对人员进行消防知识培训；</w:t>
      </w:r>
    </w:p>
    <w:p w14:paraId="1EAF4AA3">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（3）所有操作设备要明确责任人，所有工作人员必须</w:t>
      </w:r>
      <w:r>
        <w:rPr>
          <w:rFonts w:hint="eastAsia" w:ascii="宋体" w:hAnsi="宋体" w:eastAsia="宋体" w:cs="宋体"/>
          <w:color w:val="auto"/>
          <w:sz w:val="24"/>
          <w:szCs w:val="24"/>
          <w:highlight w:val="none"/>
          <w:lang w:eastAsia="zh-CN"/>
        </w:rPr>
        <w:t>戴帽子</w:t>
      </w:r>
      <w:r>
        <w:rPr>
          <w:rFonts w:hint="eastAsia" w:ascii="宋体" w:hAnsi="宋体" w:eastAsia="宋体" w:cs="宋体"/>
          <w:color w:val="auto"/>
          <w:sz w:val="24"/>
          <w:szCs w:val="24"/>
          <w:highlight w:val="none"/>
        </w:rPr>
        <w:t>及口罩进入操作间，要求每个设备操作人员严格按照设备操作安全规范操作；</w:t>
      </w:r>
    </w:p>
    <w:p w14:paraId="2BECC689">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（4）做好设施设备的检查工作，确保每天有专人负责检查加工区、就餐区的空调、冰箱、消毒柜、蒸饭柜等设备运行情况，在供餐结束后关闭水、电、气开关；</w:t>
      </w:r>
    </w:p>
    <w:p w14:paraId="0F2FA7A6">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（5）每周对所有设施设备进行检查，发现异常情况立即上报，并及时进行维修更换。</w:t>
      </w:r>
    </w:p>
    <w:p w14:paraId="7A0E3A7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卫生要求</w:t>
      </w:r>
      <w:r>
        <w:rPr>
          <w:rFonts w:hint="eastAsia" w:ascii="宋体" w:hAnsi="宋体" w:eastAsia="宋体" w:cs="宋体"/>
          <w:b/>
          <w:color w:val="auto"/>
          <w:sz w:val="24"/>
          <w:szCs w:val="24"/>
          <w:highlight w:val="none"/>
          <w:lang w:eastAsia="zh-CN"/>
        </w:rPr>
        <w:t>：</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严格执行</w:t>
      </w:r>
      <w:r>
        <w:rPr>
          <w:rFonts w:hint="eastAsia" w:ascii="宋体" w:hAnsi="宋体" w:eastAsia="宋体" w:cs="宋体"/>
          <w:color w:val="auto"/>
          <w:sz w:val="24"/>
          <w:szCs w:val="24"/>
          <w:highlight w:val="none"/>
        </w:rPr>
        <w:t>“一洗二过三消毒”的消毒规程，定期对运营场所进行防鼠、灭蝇、灭蟑工作，确保食堂区域安全卫生；</w:t>
      </w:r>
    </w:p>
    <w:p w14:paraId="2D3B8DA1">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（2）后厨、食堂必须严格按照每日一小扫，每周一大扫制度进行卫生打扫，后厨、食堂、食材库房必须随时保持整洁物品堆放整齐；</w:t>
      </w:r>
    </w:p>
    <w:p w14:paraId="4233FA94">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杜绝不合格食品流入，防止交叉感染，所有餐具必须严格按照清洗消毒流程保证餐具使用卫生，发现破损餐具第一时间进行更换，当日验收过的食材需及时入库、入冰箱，禁止随意堆放，避免食物出现发霉变质情况；</w:t>
      </w:r>
    </w:p>
    <w:p w14:paraId="37935BFD">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（4）在食物加工过程中应将生食和熟食所使用的餐具分开；</w:t>
      </w:r>
    </w:p>
    <w:p w14:paraId="11C3C6B2">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（5）所有炉灶、案板、饭台、饭槽、冰柜、冰箱、平冷柜、烤箱、电</w:t>
      </w:r>
      <w:r>
        <w:rPr>
          <w:rFonts w:hint="eastAsia" w:ascii="宋体" w:hAnsi="宋体" w:eastAsia="宋体" w:cs="宋体"/>
          <w:color w:val="auto"/>
          <w:sz w:val="24"/>
          <w:szCs w:val="24"/>
          <w:highlight w:val="none"/>
          <w:lang w:eastAsia="zh-CN"/>
        </w:rPr>
        <w:t>饼铛</w:t>
      </w:r>
      <w:r>
        <w:rPr>
          <w:rFonts w:hint="eastAsia" w:ascii="宋体" w:hAnsi="宋体" w:eastAsia="宋体" w:cs="宋体"/>
          <w:color w:val="auto"/>
          <w:sz w:val="24"/>
          <w:szCs w:val="24"/>
          <w:highlight w:val="none"/>
        </w:rPr>
        <w:t>等操作设备必须保持日常干净卫生，日常锅碗瓢盆、菜墩、刀具、汤勺、菜盆等使用完毕必须清洗干净进行消毒并摆放整齐，冷冻冷藏设备定期除冰；</w:t>
      </w:r>
    </w:p>
    <w:p w14:paraId="3636894F">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（6）随时保持桌面、地面、墙面等就餐环境整洁，发现有残留食品、废纸等垃圾、倒洒汤汁需第一时间进行清理；</w:t>
      </w:r>
    </w:p>
    <w:p w14:paraId="037CB187">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（7）供餐完毕后，将所有的食物放保险盒或加保鲜膜后放入冰柜中；</w:t>
      </w:r>
    </w:p>
    <w:p w14:paraId="1CFBD0C5">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（8）每日将剩余饭菜残渣泔水按时清运，做好垃圾分类工作。</w:t>
      </w:r>
    </w:p>
    <w:p w14:paraId="1AACC55A">
      <w:pPr>
        <w:keepNext w:val="0"/>
        <w:keepLines w:val="0"/>
        <w:pageBreakBefore w:val="0"/>
        <w:tabs>
          <w:tab w:val="left" w:pos="7665"/>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lang w:val="en-US" w:eastAsia="zh-CN"/>
        </w:rPr>
        <w:t>5、餐饮制作</w:t>
      </w:r>
      <w:r>
        <w:rPr>
          <w:rFonts w:hint="eastAsia" w:ascii="宋体" w:hAnsi="宋体" w:eastAsia="宋体" w:cs="宋体"/>
          <w:b/>
          <w:color w:val="auto"/>
          <w:sz w:val="24"/>
          <w:szCs w:val="24"/>
          <w:highlight w:val="none"/>
        </w:rPr>
        <w:t>要求</w:t>
      </w:r>
      <w:r>
        <w:rPr>
          <w:rFonts w:hint="eastAsia" w:ascii="宋体" w:hAnsi="宋体" w:eastAsia="宋体" w:cs="宋体"/>
          <w:b/>
          <w:color w:val="auto"/>
          <w:sz w:val="24"/>
          <w:szCs w:val="24"/>
          <w:highlight w:val="none"/>
          <w:lang w:eastAsia="zh-CN"/>
        </w:rPr>
        <w:t>：</w:t>
      </w:r>
      <w:r>
        <w:rPr>
          <w:rFonts w:hint="eastAsia" w:ascii="宋体" w:hAnsi="宋体" w:eastAsia="宋体" w:cs="宋体"/>
          <w:color w:val="auto"/>
          <w:sz w:val="24"/>
          <w:szCs w:val="24"/>
          <w:highlight w:val="none"/>
        </w:rPr>
        <w:t>（1）餐品制作过程，严格按照《食品卫生法》要求，不得使用变质受污染的原材料，进行加工</w:t>
      </w:r>
      <w:r>
        <w:rPr>
          <w:rFonts w:hint="eastAsia" w:ascii="宋体" w:hAnsi="宋体" w:eastAsia="宋体" w:cs="宋体"/>
          <w:color w:val="auto"/>
          <w:sz w:val="24"/>
          <w:szCs w:val="24"/>
          <w:highlight w:val="none"/>
          <w:lang w:eastAsia="zh-CN"/>
        </w:rPr>
        <w:t>制作</w:t>
      </w:r>
      <w:r>
        <w:rPr>
          <w:rFonts w:hint="eastAsia" w:ascii="宋体" w:hAnsi="宋体" w:eastAsia="宋体" w:cs="宋体"/>
          <w:color w:val="auto"/>
          <w:sz w:val="24"/>
          <w:szCs w:val="24"/>
          <w:highlight w:val="none"/>
        </w:rPr>
        <w:t>，做到食品卫生安全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完善质保措施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确保就餐质量，满足就餐需求；</w:t>
      </w:r>
    </w:p>
    <w:p w14:paraId="676CE4C4">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（2）设立饭菜质量投诉意见箱和由就餐教师出任食品质量监督员，定期对饭菜的质量、味道、品种、数量等进行检查,并根据投诉意见和检查情况，进行调整；</w:t>
      </w:r>
    </w:p>
    <w:p w14:paraId="0CCF6BE8">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）配备留样专用冰箱，每餐的所有菜品进行留样保存必须由专人负责留样，并做好食品留样保存记录，留样食品在专用冰箱中保存至少48个小时；</w:t>
      </w:r>
    </w:p>
    <w:p w14:paraId="5F979FD5">
      <w:pPr>
        <w:keepNext w:val="0"/>
        <w:keepLines w:val="0"/>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）如出现食品安全问题将逐级上报严肃依法处理。</w:t>
      </w:r>
    </w:p>
    <w:p w14:paraId="6DEFBD80">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现行的国家标准或国家行政部门颁布的法律法规、规章制度等，是项目验收的重要依据，</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单位根据有关规范、规定及项目要求对</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配菜、营养搭配、服务水平及食品卫生、环境卫生安全等方面进行监督或</w:t>
      </w:r>
      <w:r>
        <w:rPr>
          <w:rFonts w:hint="eastAsia" w:ascii="宋体" w:hAnsi="宋体" w:eastAsia="宋体" w:cs="宋体"/>
          <w:color w:val="auto"/>
          <w:sz w:val="24"/>
          <w:szCs w:val="24"/>
          <w:highlight w:val="none"/>
          <w:lang w:val="en-US" w:eastAsia="zh-CN"/>
        </w:rPr>
        <w:t>检查</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须接受</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的各类监督或</w:t>
      </w:r>
      <w:r>
        <w:rPr>
          <w:rFonts w:hint="eastAsia" w:ascii="宋体" w:hAnsi="宋体" w:eastAsia="宋体" w:cs="宋体"/>
          <w:color w:val="auto"/>
          <w:sz w:val="24"/>
          <w:szCs w:val="24"/>
          <w:highlight w:val="none"/>
          <w:lang w:val="en-US" w:eastAsia="zh-CN"/>
        </w:rPr>
        <w:t>检查</w:t>
      </w:r>
      <w:r>
        <w:rPr>
          <w:rFonts w:hint="eastAsia" w:ascii="宋体" w:hAnsi="宋体" w:eastAsia="宋体" w:cs="宋体"/>
          <w:color w:val="auto"/>
          <w:sz w:val="24"/>
          <w:szCs w:val="24"/>
          <w:highlight w:val="none"/>
        </w:rPr>
        <w:t>；若验收不通过或服务质量不符合采购要求，</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应在一定期</w:t>
      </w:r>
      <w:r>
        <w:rPr>
          <w:rFonts w:hint="eastAsia" w:ascii="宋体" w:hAnsi="宋体" w:eastAsia="宋体" w:cs="宋体"/>
          <w:color w:val="auto"/>
          <w:sz w:val="24"/>
          <w:szCs w:val="24"/>
          <w:highlight w:val="none"/>
          <w:lang w:eastAsia="zh-CN"/>
        </w:rPr>
        <w:t>限内</w:t>
      </w:r>
      <w:r>
        <w:rPr>
          <w:rFonts w:hint="eastAsia" w:ascii="宋体" w:hAnsi="宋体" w:eastAsia="宋体" w:cs="宋体"/>
          <w:color w:val="auto"/>
          <w:sz w:val="24"/>
          <w:szCs w:val="24"/>
          <w:highlight w:val="none"/>
        </w:rPr>
        <w:t>以</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要求的标准进行整改或进一步完善，并再次进行考核或检查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在</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要求的期限内未整改达到</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要求，发生三次以上的，</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有权在通知</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后单方解除本合同，由此产生的一切责任和费用均由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承担</w:t>
      </w:r>
      <w:r>
        <w:rPr>
          <w:rFonts w:hint="eastAsia" w:ascii="宋体" w:hAnsi="宋体" w:eastAsia="宋体" w:cs="宋体"/>
          <w:color w:val="auto"/>
          <w:sz w:val="24"/>
          <w:szCs w:val="24"/>
          <w:highlight w:val="none"/>
          <w:lang w:eastAsia="zh-CN"/>
        </w:rPr>
        <w:t>。</w:t>
      </w:r>
    </w:p>
    <w:p w14:paraId="6E3C4DDA">
      <w:pPr>
        <w:keepNext w:val="0"/>
        <w:keepLines w:val="0"/>
        <w:pageBreakBefore w:val="0"/>
        <w:widowControl w:val="0"/>
        <w:numPr>
          <w:ilvl w:val="0"/>
          <w:numId w:val="0"/>
        </w:numPr>
        <w:shd w:val="clear" w:color="auto" w:fill="auto"/>
        <w:kinsoku/>
        <w:wordWrap/>
        <w:overflowPunct/>
        <w:topLinePunct w:val="0"/>
        <w:autoSpaceDE/>
        <w:autoSpaceDN/>
        <w:bidi w:val="0"/>
        <w:spacing w:line="360" w:lineRule="auto"/>
        <w:ind w:firstLine="0"/>
        <w:textAlignment w:val="auto"/>
        <w:rPr>
          <w:rFonts w:hint="eastAsia" w:ascii="宋体" w:hAnsi="宋体" w:eastAsia="宋体" w:cs="宋体"/>
          <w:b/>
          <w:color w:val="auto"/>
          <w:kern w:val="0"/>
          <w:sz w:val="24"/>
          <w:szCs w:val="24"/>
          <w:highlight w:val="none"/>
          <w:lang w:val="zh-CN" w:eastAsia="zh-CN" w:bidi="ar-SA"/>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rPr>
        <w:t>条</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kern w:val="0"/>
          <w:sz w:val="24"/>
          <w:szCs w:val="24"/>
          <w:highlight w:val="none"/>
          <w:lang w:val="zh-CN" w:eastAsia="zh-CN" w:bidi="ar-SA"/>
        </w:rPr>
        <w:t>服务期限</w:t>
      </w:r>
    </w:p>
    <w:p w14:paraId="6E6D0DCD">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自</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日起至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日止</w:t>
      </w:r>
    </w:p>
    <w:p w14:paraId="5DB5F291">
      <w:pPr>
        <w:keepNext w:val="0"/>
        <w:keepLines w:val="0"/>
        <w:pageBreakBefore w:val="0"/>
        <w:widowControl w:val="0"/>
        <w:numPr>
          <w:ilvl w:val="0"/>
          <w:numId w:val="0"/>
        </w:numPr>
        <w:shd w:val="clear" w:color="auto" w:fill="auto"/>
        <w:kinsoku/>
        <w:wordWrap/>
        <w:overflowPunct/>
        <w:topLinePunct w:val="0"/>
        <w:autoSpaceDE/>
        <w:autoSpaceDN/>
        <w:bidi w:val="0"/>
        <w:spacing w:line="360" w:lineRule="auto"/>
        <w:ind w:firstLine="0"/>
        <w:textAlignment w:val="auto"/>
        <w:rPr>
          <w:rFonts w:hint="eastAsia" w:ascii="宋体" w:hAnsi="宋体" w:eastAsia="宋体" w:cs="宋体"/>
          <w:b/>
          <w:color w:val="auto"/>
          <w:kern w:val="0"/>
          <w:sz w:val="24"/>
          <w:szCs w:val="24"/>
          <w:highlight w:val="none"/>
          <w:lang w:val="zh-CN" w:eastAsia="zh-CN" w:bidi="ar-SA"/>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rPr>
        <w:t>条</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kern w:val="0"/>
          <w:sz w:val="24"/>
          <w:szCs w:val="24"/>
          <w:highlight w:val="none"/>
          <w:lang w:val="zh-CN" w:eastAsia="zh-CN" w:bidi="ar-SA"/>
        </w:rPr>
        <w:t>合同价款及支付方式</w:t>
      </w:r>
    </w:p>
    <w:p w14:paraId="2CA7517D">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1、合同价款</w:t>
      </w:r>
    </w:p>
    <w:p w14:paraId="537BCFB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auto"/>
          <w:spacing w:val="-4"/>
          <w:sz w:val="24"/>
          <w:szCs w:val="24"/>
          <w:highlight w:val="none"/>
        </w:rPr>
      </w:pPr>
      <w:r>
        <w:rPr>
          <w:rFonts w:hint="eastAsia" w:ascii="宋体" w:hAnsi="宋体" w:eastAsia="宋体" w:cs="宋体"/>
          <w:b/>
          <w:bCs/>
          <w:color w:val="auto"/>
          <w:spacing w:val="-4"/>
          <w:sz w:val="24"/>
          <w:szCs w:val="24"/>
          <w:highlight w:val="none"/>
        </w:rPr>
        <w:t>服务清单一览表</w:t>
      </w:r>
    </w:p>
    <w:tbl>
      <w:tblPr>
        <w:tblStyle w:val="7"/>
        <w:tblW w:w="96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2578"/>
        <w:gridCol w:w="1985"/>
        <w:gridCol w:w="1276"/>
        <w:gridCol w:w="1417"/>
        <w:gridCol w:w="1559"/>
      </w:tblGrid>
      <w:tr w14:paraId="6C75D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21" w:type="dxa"/>
            <w:noWrap w:val="0"/>
            <w:vAlign w:val="center"/>
          </w:tcPr>
          <w:p w14:paraId="3DEE3DB4">
            <w:pPr>
              <w:keepNext w:val="0"/>
              <w:keepLines w:val="0"/>
              <w:pageBreakBefore w:val="0"/>
              <w:widowControl w:val="0"/>
              <w:wordWrap/>
              <w:overflowPunct/>
              <w:topLinePunct w:val="0"/>
              <w:bidi w:val="0"/>
              <w:spacing w:line="360" w:lineRule="auto"/>
              <w:ind w:firstLine="0" w:firstLineChars="0"/>
              <w:jc w:val="center"/>
              <w:rPr>
                <w:rFonts w:hint="eastAsia" w:ascii="宋体" w:hAnsi="宋体" w:eastAsia="宋体" w:cs="宋体"/>
                <w:b/>
                <w:bCs w:val="0"/>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序号</w:t>
            </w:r>
          </w:p>
        </w:tc>
        <w:tc>
          <w:tcPr>
            <w:tcW w:w="2578" w:type="dxa"/>
            <w:noWrap w:val="0"/>
            <w:vAlign w:val="center"/>
          </w:tcPr>
          <w:p w14:paraId="471EB17A">
            <w:pPr>
              <w:keepNext w:val="0"/>
              <w:keepLines w:val="0"/>
              <w:pageBreakBefore w:val="0"/>
              <w:widowControl w:val="0"/>
              <w:wordWrap/>
              <w:overflowPunct/>
              <w:topLinePunct w:val="0"/>
              <w:bidi w:val="0"/>
              <w:spacing w:line="360" w:lineRule="auto"/>
              <w:ind w:firstLine="0" w:firstLineChars="0"/>
              <w:jc w:val="center"/>
              <w:rPr>
                <w:rFonts w:hint="eastAsia" w:ascii="宋体" w:hAnsi="宋体" w:eastAsia="宋体" w:cs="宋体"/>
                <w:b/>
                <w:bCs w:val="0"/>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服务名称</w:t>
            </w:r>
          </w:p>
        </w:tc>
        <w:tc>
          <w:tcPr>
            <w:tcW w:w="1985" w:type="dxa"/>
            <w:noWrap w:val="0"/>
            <w:vAlign w:val="center"/>
          </w:tcPr>
          <w:p w14:paraId="39BD64D8">
            <w:pPr>
              <w:keepNext w:val="0"/>
              <w:keepLines w:val="0"/>
              <w:pageBreakBefore w:val="0"/>
              <w:widowControl w:val="0"/>
              <w:wordWrap/>
              <w:overflowPunct/>
              <w:topLinePunct w:val="0"/>
              <w:bidi w:val="0"/>
              <w:spacing w:line="360" w:lineRule="auto"/>
              <w:ind w:firstLine="0" w:firstLineChars="0"/>
              <w:jc w:val="center"/>
              <w:rPr>
                <w:rFonts w:hint="eastAsia" w:ascii="宋体" w:hAnsi="宋体" w:eastAsia="宋体" w:cs="宋体"/>
                <w:b/>
                <w:bCs w:val="0"/>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服务内容</w:t>
            </w:r>
          </w:p>
        </w:tc>
        <w:tc>
          <w:tcPr>
            <w:tcW w:w="1276" w:type="dxa"/>
            <w:noWrap w:val="0"/>
            <w:vAlign w:val="center"/>
          </w:tcPr>
          <w:p w14:paraId="597F1874">
            <w:pPr>
              <w:keepNext w:val="0"/>
              <w:keepLines w:val="0"/>
              <w:pageBreakBefore w:val="0"/>
              <w:widowControl w:val="0"/>
              <w:wordWrap/>
              <w:overflowPunct/>
              <w:topLinePunct w:val="0"/>
              <w:bidi w:val="0"/>
              <w:spacing w:line="360" w:lineRule="auto"/>
              <w:ind w:firstLine="0" w:firstLineChars="0"/>
              <w:jc w:val="center"/>
              <w:rPr>
                <w:rFonts w:hint="eastAsia" w:ascii="宋体" w:hAnsi="宋体" w:eastAsia="宋体" w:cs="宋体"/>
                <w:b/>
                <w:bCs w:val="0"/>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计量单位</w:t>
            </w:r>
          </w:p>
        </w:tc>
        <w:tc>
          <w:tcPr>
            <w:tcW w:w="1417" w:type="dxa"/>
            <w:noWrap w:val="0"/>
            <w:vAlign w:val="center"/>
          </w:tcPr>
          <w:p w14:paraId="009E239B">
            <w:pPr>
              <w:keepNext w:val="0"/>
              <w:keepLines w:val="0"/>
              <w:pageBreakBefore w:val="0"/>
              <w:widowControl w:val="0"/>
              <w:wordWrap/>
              <w:overflowPunct/>
              <w:topLinePunct w:val="0"/>
              <w:bidi w:val="0"/>
              <w:spacing w:line="360" w:lineRule="auto"/>
              <w:ind w:firstLine="0" w:firstLineChars="0"/>
              <w:jc w:val="center"/>
              <w:rPr>
                <w:rFonts w:hint="eastAsia" w:ascii="宋体" w:hAnsi="宋体" w:eastAsia="宋体" w:cs="宋体"/>
                <w:b/>
                <w:bCs w:val="0"/>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数量</w:t>
            </w:r>
          </w:p>
        </w:tc>
        <w:tc>
          <w:tcPr>
            <w:tcW w:w="1559" w:type="dxa"/>
            <w:noWrap w:val="0"/>
            <w:vAlign w:val="center"/>
          </w:tcPr>
          <w:p w14:paraId="67A0F6CD">
            <w:pPr>
              <w:keepNext w:val="0"/>
              <w:keepLines w:val="0"/>
              <w:pageBreakBefore w:val="0"/>
              <w:widowControl w:val="0"/>
              <w:wordWrap/>
              <w:overflowPunct/>
              <w:topLinePunct w:val="0"/>
              <w:bidi w:val="0"/>
              <w:spacing w:line="360" w:lineRule="auto"/>
              <w:ind w:firstLine="0" w:firstLineChars="0"/>
              <w:jc w:val="center"/>
              <w:rPr>
                <w:rFonts w:hint="eastAsia" w:ascii="宋体" w:hAnsi="宋体" w:eastAsia="宋体" w:cs="宋体"/>
                <w:b/>
                <w:bCs w:val="0"/>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服务费用</w:t>
            </w:r>
          </w:p>
        </w:tc>
      </w:tr>
      <w:tr w14:paraId="002636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noWrap w:val="0"/>
            <w:vAlign w:val="center"/>
          </w:tcPr>
          <w:p w14:paraId="0B08C297">
            <w:pPr>
              <w:keepNext w:val="0"/>
              <w:keepLines w:val="0"/>
              <w:pageBreakBefore w:val="0"/>
              <w:widowControl w:val="0"/>
              <w:kinsoku w:val="0"/>
              <w:wordWrap/>
              <w:overflowPunct/>
              <w:topLinePunct w:val="0"/>
              <w:autoSpaceDE w:val="0"/>
              <w:autoSpaceDN w:val="0"/>
              <w:bidi w:val="0"/>
              <w:adjustRightInd w:val="0"/>
              <w:snapToGrid w:val="0"/>
              <w:spacing w:before="0" w:line="360" w:lineRule="auto"/>
              <w:ind w:left="96" w:right="100" w:firstLine="240" w:firstLineChars="100"/>
              <w:jc w:val="center"/>
              <w:textAlignment w:val="baseline"/>
              <w:rPr>
                <w:rFonts w:hint="eastAsia" w:ascii="宋体" w:hAnsi="宋体" w:eastAsia="宋体" w:cs="宋体"/>
                <w:snapToGrid/>
                <w:color w:val="auto"/>
                <w:kern w:val="0"/>
                <w:sz w:val="24"/>
                <w:szCs w:val="24"/>
                <w:highlight w:val="none"/>
                <w:lang w:val="en-US" w:eastAsia="zh-CN" w:bidi="ar-SA"/>
              </w:rPr>
            </w:pPr>
          </w:p>
        </w:tc>
        <w:tc>
          <w:tcPr>
            <w:tcW w:w="2578" w:type="dxa"/>
            <w:noWrap w:val="0"/>
            <w:vAlign w:val="center"/>
          </w:tcPr>
          <w:p w14:paraId="4C128D60">
            <w:pPr>
              <w:keepNext w:val="0"/>
              <w:keepLines w:val="0"/>
              <w:pageBreakBefore w:val="0"/>
              <w:widowControl w:val="0"/>
              <w:kinsoku w:val="0"/>
              <w:wordWrap/>
              <w:overflowPunct/>
              <w:topLinePunct w:val="0"/>
              <w:autoSpaceDE w:val="0"/>
              <w:autoSpaceDN w:val="0"/>
              <w:bidi w:val="0"/>
              <w:adjustRightInd w:val="0"/>
              <w:snapToGrid w:val="0"/>
              <w:spacing w:before="0" w:line="360" w:lineRule="auto"/>
              <w:ind w:left="96" w:right="100" w:firstLine="240" w:firstLineChars="100"/>
              <w:jc w:val="center"/>
              <w:textAlignment w:val="baseline"/>
              <w:rPr>
                <w:rFonts w:hint="eastAsia" w:ascii="宋体" w:hAnsi="宋体" w:eastAsia="宋体" w:cs="宋体"/>
                <w:snapToGrid/>
                <w:color w:val="auto"/>
                <w:kern w:val="0"/>
                <w:sz w:val="24"/>
                <w:szCs w:val="24"/>
                <w:highlight w:val="none"/>
                <w:lang w:val="en-US" w:eastAsia="zh-CN" w:bidi="ar-SA"/>
              </w:rPr>
            </w:pPr>
          </w:p>
        </w:tc>
        <w:tc>
          <w:tcPr>
            <w:tcW w:w="1985" w:type="dxa"/>
            <w:noWrap w:val="0"/>
            <w:vAlign w:val="center"/>
          </w:tcPr>
          <w:p w14:paraId="009C06A2">
            <w:pPr>
              <w:keepNext w:val="0"/>
              <w:keepLines w:val="0"/>
              <w:pageBreakBefore w:val="0"/>
              <w:widowControl w:val="0"/>
              <w:kinsoku w:val="0"/>
              <w:wordWrap/>
              <w:overflowPunct/>
              <w:topLinePunct w:val="0"/>
              <w:autoSpaceDE w:val="0"/>
              <w:autoSpaceDN w:val="0"/>
              <w:bidi w:val="0"/>
              <w:adjustRightInd w:val="0"/>
              <w:snapToGrid w:val="0"/>
              <w:spacing w:before="0" w:line="360" w:lineRule="auto"/>
              <w:ind w:left="96" w:right="100" w:firstLine="240" w:firstLineChars="100"/>
              <w:jc w:val="center"/>
              <w:textAlignment w:val="baseline"/>
              <w:rPr>
                <w:rFonts w:hint="eastAsia" w:ascii="宋体" w:hAnsi="宋体" w:eastAsia="宋体" w:cs="宋体"/>
                <w:snapToGrid/>
                <w:color w:val="auto"/>
                <w:kern w:val="0"/>
                <w:sz w:val="24"/>
                <w:szCs w:val="24"/>
                <w:highlight w:val="none"/>
                <w:lang w:val="en-US" w:eastAsia="zh-CN" w:bidi="ar-SA"/>
              </w:rPr>
            </w:pPr>
          </w:p>
        </w:tc>
        <w:tc>
          <w:tcPr>
            <w:tcW w:w="1276" w:type="dxa"/>
            <w:noWrap w:val="0"/>
            <w:vAlign w:val="center"/>
          </w:tcPr>
          <w:p w14:paraId="2518E1B9">
            <w:pPr>
              <w:keepNext w:val="0"/>
              <w:keepLines w:val="0"/>
              <w:pageBreakBefore w:val="0"/>
              <w:widowControl w:val="0"/>
              <w:wordWrap/>
              <w:overflowPunct/>
              <w:topLinePunct w:val="0"/>
              <w:bidi w:val="0"/>
              <w:spacing w:line="360" w:lineRule="auto"/>
              <w:ind w:left="5250" w:right="-199" w:firstLine="420"/>
              <w:jc w:val="center"/>
              <w:rPr>
                <w:rFonts w:hint="eastAsia"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个</w:t>
            </w:r>
          </w:p>
        </w:tc>
        <w:tc>
          <w:tcPr>
            <w:tcW w:w="1417" w:type="dxa"/>
            <w:noWrap w:val="0"/>
            <w:vAlign w:val="center"/>
          </w:tcPr>
          <w:p w14:paraId="024B3708">
            <w:pPr>
              <w:keepNext w:val="0"/>
              <w:keepLines w:val="0"/>
              <w:pageBreakBefore w:val="0"/>
              <w:widowControl w:val="0"/>
              <w:wordWrap/>
              <w:overflowPunct/>
              <w:topLinePunct w:val="0"/>
              <w:bidi w:val="0"/>
              <w:spacing w:line="360" w:lineRule="auto"/>
              <w:ind w:left="5250" w:right="-199" w:firstLine="420"/>
              <w:jc w:val="center"/>
              <w:rPr>
                <w:rFonts w:hint="eastAsia" w:ascii="宋体" w:hAnsi="宋体" w:eastAsia="宋体" w:cs="宋体"/>
                <w:bCs/>
                <w:snapToGrid w:val="0"/>
                <w:color w:val="auto"/>
                <w:kern w:val="0"/>
                <w:sz w:val="24"/>
                <w:szCs w:val="24"/>
                <w:highlight w:val="none"/>
              </w:rPr>
            </w:pPr>
          </w:p>
        </w:tc>
        <w:tc>
          <w:tcPr>
            <w:tcW w:w="1559" w:type="dxa"/>
            <w:noWrap w:val="0"/>
            <w:vAlign w:val="center"/>
          </w:tcPr>
          <w:p w14:paraId="486CF199">
            <w:pPr>
              <w:keepNext w:val="0"/>
              <w:keepLines w:val="0"/>
              <w:pageBreakBefore w:val="0"/>
              <w:widowControl w:val="0"/>
              <w:wordWrap/>
              <w:overflowPunct/>
              <w:topLinePunct w:val="0"/>
              <w:bidi w:val="0"/>
              <w:spacing w:line="360" w:lineRule="auto"/>
              <w:ind w:left="5250" w:right="-199" w:firstLine="420"/>
              <w:jc w:val="center"/>
              <w:rPr>
                <w:rFonts w:hint="eastAsia" w:ascii="宋体" w:hAnsi="宋体" w:eastAsia="宋体" w:cs="宋体"/>
                <w:bCs/>
                <w:snapToGrid w:val="0"/>
                <w:color w:val="auto"/>
                <w:kern w:val="0"/>
                <w:sz w:val="24"/>
                <w:szCs w:val="24"/>
                <w:highlight w:val="none"/>
              </w:rPr>
            </w:pPr>
          </w:p>
        </w:tc>
      </w:tr>
      <w:tr w14:paraId="599CC4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noWrap w:val="0"/>
            <w:vAlign w:val="center"/>
          </w:tcPr>
          <w:p w14:paraId="4F1283AC">
            <w:pPr>
              <w:keepNext w:val="0"/>
              <w:keepLines w:val="0"/>
              <w:pageBreakBefore w:val="0"/>
              <w:widowControl w:val="0"/>
              <w:kinsoku w:val="0"/>
              <w:wordWrap/>
              <w:overflowPunct/>
              <w:topLinePunct w:val="0"/>
              <w:autoSpaceDE w:val="0"/>
              <w:autoSpaceDN w:val="0"/>
              <w:bidi w:val="0"/>
              <w:adjustRightInd w:val="0"/>
              <w:snapToGrid w:val="0"/>
              <w:spacing w:before="0" w:line="360" w:lineRule="auto"/>
              <w:ind w:left="96" w:right="100" w:firstLine="240" w:firstLineChars="100"/>
              <w:jc w:val="center"/>
              <w:textAlignment w:val="baseline"/>
              <w:rPr>
                <w:rFonts w:hint="eastAsia" w:ascii="宋体" w:hAnsi="宋体" w:eastAsia="宋体" w:cs="宋体"/>
                <w:snapToGrid/>
                <w:color w:val="auto"/>
                <w:kern w:val="0"/>
                <w:sz w:val="24"/>
                <w:szCs w:val="24"/>
                <w:highlight w:val="none"/>
                <w:lang w:val="en-US" w:eastAsia="zh-CN" w:bidi="ar-SA"/>
              </w:rPr>
            </w:pPr>
          </w:p>
        </w:tc>
        <w:tc>
          <w:tcPr>
            <w:tcW w:w="2578" w:type="dxa"/>
            <w:noWrap w:val="0"/>
            <w:vAlign w:val="center"/>
          </w:tcPr>
          <w:p w14:paraId="5F897AF1">
            <w:pPr>
              <w:keepNext w:val="0"/>
              <w:keepLines w:val="0"/>
              <w:pageBreakBefore w:val="0"/>
              <w:widowControl w:val="0"/>
              <w:kinsoku w:val="0"/>
              <w:wordWrap/>
              <w:overflowPunct/>
              <w:topLinePunct w:val="0"/>
              <w:autoSpaceDE w:val="0"/>
              <w:autoSpaceDN w:val="0"/>
              <w:bidi w:val="0"/>
              <w:adjustRightInd w:val="0"/>
              <w:snapToGrid w:val="0"/>
              <w:spacing w:before="0" w:line="360" w:lineRule="auto"/>
              <w:ind w:left="96" w:right="100" w:firstLine="240" w:firstLineChars="100"/>
              <w:jc w:val="center"/>
              <w:textAlignment w:val="baseline"/>
              <w:rPr>
                <w:rFonts w:hint="eastAsia" w:ascii="宋体" w:hAnsi="宋体" w:eastAsia="宋体" w:cs="宋体"/>
                <w:snapToGrid/>
                <w:color w:val="auto"/>
                <w:kern w:val="0"/>
                <w:sz w:val="24"/>
                <w:szCs w:val="24"/>
                <w:highlight w:val="none"/>
                <w:lang w:val="en-US" w:eastAsia="zh-CN" w:bidi="ar-SA"/>
              </w:rPr>
            </w:pPr>
          </w:p>
        </w:tc>
        <w:tc>
          <w:tcPr>
            <w:tcW w:w="1985" w:type="dxa"/>
            <w:noWrap w:val="0"/>
            <w:vAlign w:val="center"/>
          </w:tcPr>
          <w:p w14:paraId="6C4DF4D8">
            <w:pPr>
              <w:keepNext w:val="0"/>
              <w:keepLines w:val="0"/>
              <w:pageBreakBefore w:val="0"/>
              <w:widowControl w:val="0"/>
              <w:kinsoku w:val="0"/>
              <w:wordWrap/>
              <w:overflowPunct/>
              <w:topLinePunct w:val="0"/>
              <w:autoSpaceDE w:val="0"/>
              <w:autoSpaceDN w:val="0"/>
              <w:bidi w:val="0"/>
              <w:adjustRightInd w:val="0"/>
              <w:snapToGrid w:val="0"/>
              <w:spacing w:before="0" w:line="360" w:lineRule="auto"/>
              <w:ind w:left="96" w:right="100" w:firstLine="240" w:firstLineChars="100"/>
              <w:jc w:val="center"/>
              <w:textAlignment w:val="baseline"/>
              <w:rPr>
                <w:rFonts w:hint="eastAsia" w:ascii="宋体" w:hAnsi="宋体" w:eastAsia="宋体" w:cs="宋体"/>
                <w:snapToGrid/>
                <w:color w:val="auto"/>
                <w:kern w:val="0"/>
                <w:sz w:val="24"/>
                <w:szCs w:val="24"/>
                <w:highlight w:val="none"/>
                <w:lang w:val="en-US" w:eastAsia="zh-CN" w:bidi="ar-SA"/>
              </w:rPr>
            </w:pPr>
          </w:p>
        </w:tc>
        <w:tc>
          <w:tcPr>
            <w:tcW w:w="1276" w:type="dxa"/>
            <w:noWrap w:val="0"/>
            <w:vAlign w:val="center"/>
          </w:tcPr>
          <w:p w14:paraId="448EC588">
            <w:pPr>
              <w:keepNext w:val="0"/>
              <w:keepLines w:val="0"/>
              <w:pageBreakBefore w:val="0"/>
              <w:widowControl w:val="0"/>
              <w:wordWrap/>
              <w:overflowPunct/>
              <w:topLinePunct w:val="0"/>
              <w:bidi w:val="0"/>
              <w:spacing w:line="360" w:lineRule="auto"/>
              <w:ind w:left="5250" w:right="-199" w:firstLine="420"/>
              <w:jc w:val="center"/>
              <w:rPr>
                <w:rFonts w:hint="eastAsia" w:ascii="宋体" w:hAnsi="宋体" w:eastAsia="宋体" w:cs="宋体"/>
                <w:bCs/>
                <w:snapToGrid w:val="0"/>
                <w:color w:val="auto"/>
                <w:kern w:val="0"/>
                <w:sz w:val="24"/>
                <w:szCs w:val="24"/>
                <w:highlight w:val="none"/>
              </w:rPr>
            </w:pPr>
          </w:p>
        </w:tc>
        <w:tc>
          <w:tcPr>
            <w:tcW w:w="1417" w:type="dxa"/>
            <w:noWrap w:val="0"/>
            <w:vAlign w:val="center"/>
          </w:tcPr>
          <w:p w14:paraId="28D51723">
            <w:pPr>
              <w:keepNext w:val="0"/>
              <w:keepLines w:val="0"/>
              <w:pageBreakBefore w:val="0"/>
              <w:widowControl w:val="0"/>
              <w:wordWrap/>
              <w:overflowPunct/>
              <w:topLinePunct w:val="0"/>
              <w:bidi w:val="0"/>
              <w:spacing w:line="360" w:lineRule="auto"/>
              <w:ind w:left="5250" w:right="-199" w:firstLine="420"/>
              <w:jc w:val="center"/>
              <w:rPr>
                <w:rFonts w:hint="eastAsia" w:ascii="宋体" w:hAnsi="宋体" w:eastAsia="宋体" w:cs="宋体"/>
                <w:bCs/>
                <w:snapToGrid w:val="0"/>
                <w:color w:val="auto"/>
                <w:kern w:val="0"/>
                <w:sz w:val="24"/>
                <w:szCs w:val="24"/>
                <w:highlight w:val="none"/>
              </w:rPr>
            </w:pPr>
          </w:p>
        </w:tc>
        <w:tc>
          <w:tcPr>
            <w:tcW w:w="1559" w:type="dxa"/>
            <w:noWrap w:val="0"/>
            <w:vAlign w:val="center"/>
          </w:tcPr>
          <w:p w14:paraId="64000DE2">
            <w:pPr>
              <w:keepNext w:val="0"/>
              <w:keepLines w:val="0"/>
              <w:pageBreakBefore w:val="0"/>
              <w:widowControl w:val="0"/>
              <w:wordWrap/>
              <w:overflowPunct/>
              <w:topLinePunct w:val="0"/>
              <w:bidi w:val="0"/>
              <w:spacing w:line="360" w:lineRule="auto"/>
              <w:ind w:left="5250" w:right="-199" w:firstLine="420"/>
              <w:jc w:val="center"/>
              <w:rPr>
                <w:rFonts w:hint="eastAsia" w:ascii="宋体" w:hAnsi="宋体" w:eastAsia="宋体" w:cs="宋体"/>
                <w:bCs/>
                <w:snapToGrid w:val="0"/>
                <w:color w:val="auto"/>
                <w:kern w:val="0"/>
                <w:sz w:val="24"/>
                <w:szCs w:val="24"/>
                <w:highlight w:val="none"/>
              </w:rPr>
            </w:pPr>
          </w:p>
        </w:tc>
      </w:tr>
      <w:tr w14:paraId="146FF9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6" w:hRule="atLeast"/>
          <w:jc w:val="center"/>
        </w:trPr>
        <w:tc>
          <w:tcPr>
            <w:tcW w:w="9636" w:type="dxa"/>
            <w:gridSpan w:val="6"/>
            <w:noWrap w:val="0"/>
            <w:vAlign w:val="center"/>
          </w:tcPr>
          <w:p w14:paraId="388C150E">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注：</w:t>
            </w:r>
            <w:r>
              <w:rPr>
                <w:rFonts w:hint="eastAsia" w:ascii="宋体" w:hAnsi="宋体" w:eastAsia="宋体" w:cs="宋体"/>
                <w:b w:val="0"/>
                <w:bCs w:val="0"/>
                <w:color w:val="auto"/>
                <w:kern w:val="0"/>
                <w:sz w:val="24"/>
                <w:szCs w:val="24"/>
                <w:highlight w:val="none"/>
              </w:rPr>
              <w:t>合同执行期间，合同总价不发生改变。（注：</w:t>
            </w:r>
            <w:r>
              <w:rPr>
                <w:rFonts w:hint="eastAsia" w:ascii="宋体" w:hAnsi="宋体" w:eastAsia="宋体" w:cs="宋体"/>
                <w:i w:val="0"/>
                <w:iCs w:val="0"/>
                <w:caps w:val="0"/>
                <w:color w:val="auto"/>
                <w:spacing w:val="0"/>
                <w:sz w:val="24"/>
                <w:szCs w:val="24"/>
                <w:highlight w:val="none"/>
                <w:shd w:val="clear" w:color="auto" w:fill="FFFFFF"/>
                <w:lang w:val="en-US" w:eastAsia="zh-CN"/>
              </w:rPr>
              <w:t>合同总价款是完成全部服务内容</w:t>
            </w:r>
            <w:r>
              <w:rPr>
                <w:rFonts w:hint="eastAsia" w:ascii="宋体" w:hAnsi="宋体" w:eastAsia="宋体" w:cs="宋体"/>
                <w:b w:val="0"/>
                <w:bCs w:val="0"/>
                <w:color w:val="auto"/>
                <w:kern w:val="0"/>
                <w:sz w:val="24"/>
                <w:szCs w:val="24"/>
                <w:highlight w:val="none"/>
              </w:rPr>
              <w:t>所需的直接费、间接费、利润、税金</w:t>
            </w:r>
            <w:r>
              <w:rPr>
                <w:rFonts w:hint="eastAsia" w:ascii="宋体" w:hAnsi="宋体" w:eastAsia="宋体" w:cs="宋体"/>
                <w:b w:val="0"/>
                <w:bCs w:val="0"/>
                <w:color w:val="auto"/>
                <w:kern w:val="0"/>
                <w:sz w:val="24"/>
                <w:szCs w:val="24"/>
                <w:highlight w:val="none"/>
                <w:lang w:eastAsia="zh-CN"/>
              </w:rPr>
              <w:t>及其他相关</w:t>
            </w:r>
            <w:r>
              <w:rPr>
                <w:rFonts w:hint="eastAsia" w:ascii="宋体" w:hAnsi="宋体" w:eastAsia="宋体" w:cs="宋体"/>
                <w:b w:val="0"/>
                <w:bCs w:val="0"/>
                <w:color w:val="auto"/>
                <w:kern w:val="0"/>
                <w:sz w:val="24"/>
                <w:szCs w:val="24"/>
                <w:highlight w:val="none"/>
              </w:rPr>
              <w:t>的一切费用，包括但不限于：人工费、服务费、设备使用费、管理费、验收费、采购代理服务费、利润、税金及不可预见费等全部费用；在提供服务的过程中的任何遗漏，均由乙方免费提供，甲方将不再支付任何费用）。</w:t>
            </w:r>
          </w:p>
        </w:tc>
      </w:tr>
    </w:tbl>
    <w:p w14:paraId="65CD32F6">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2、支付方式</w:t>
      </w:r>
    </w:p>
    <w:p w14:paraId="7FEBA1DF">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（1）合同签订后，达到付款条件，达到付款条件起30日内，支付合同总金额的30.00%。服务期满后，达到付款条件起30日内，支付合同总金额的70.00%。</w:t>
      </w:r>
    </w:p>
    <w:p w14:paraId="3D449DE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付款前，乙方应开具与付款金额一致的正式发票给甲方，甲方收到发票后以银行转账形式支付给乙方服务费，否则，甲方有权拒绝付款且不承担任何违约责任，且乙方不得以此为由停止履行本合同项下的任意义务。</w:t>
      </w:r>
    </w:p>
    <w:p w14:paraId="55433411">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（3）因甲方所有的付款均需财政部门审批，本合同履行期间，非因甲方故意拖延付款申请流程造成的逾期付款的，乙方对此予以谅解不得追究甲方的逾期付款责任。</w:t>
      </w:r>
    </w:p>
    <w:p w14:paraId="1F307472">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（4）甲方可直接或间接地根据政府购买服务绩效管理办法对项目进行绩效评价，资金支付将与绩效评价结果关联，其中评价结果为优的，付至合同总价的</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%，评价结果为良好的，付至合同总价的</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%，评价结果为合格的，付至合同总价的</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%，评价结果为差的，付至合同总价的</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%。（90分以上为优秀，80分以上、不足90分的为良好，60分以上、不足80分的为合格，不足60分的为不合格。）</w:t>
      </w:r>
    </w:p>
    <w:p w14:paraId="34BF3CEB">
      <w:pPr>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rPr>
        <w:t>条  知识产权</w:t>
      </w:r>
    </w:p>
    <w:p w14:paraId="3D9AAB91">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1、乙方应保证所提供的服务其任何一部分均不会侵犯任何第三方的专利权、商标权或著作权。</w:t>
      </w:r>
    </w:p>
    <w:p w14:paraId="34264AE5">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2、乙方保证</w:t>
      </w:r>
      <w:r>
        <w:rPr>
          <w:rFonts w:hint="eastAsia" w:ascii="宋体" w:hAnsi="宋体" w:eastAsia="宋体" w:cs="宋体"/>
          <w:color w:val="auto"/>
          <w:sz w:val="24"/>
          <w:szCs w:val="24"/>
          <w:highlight w:val="none"/>
          <w:lang w:eastAsia="zh-CN"/>
        </w:rPr>
        <w:t>其在</w:t>
      </w:r>
      <w:r>
        <w:rPr>
          <w:rFonts w:hint="eastAsia" w:ascii="宋体" w:hAnsi="宋体" w:eastAsia="宋体" w:cs="宋体"/>
          <w:color w:val="auto"/>
          <w:sz w:val="24"/>
          <w:szCs w:val="24"/>
          <w:highlight w:val="none"/>
        </w:rPr>
        <w:t>项目实施过程中不侵犯任何第三方的知识产权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103E743D">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jc w:val="left"/>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第六条  甲方的权利和义务</w:t>
      </w:r>
    </w:p>
    <w:p w14:paraId="476BDFD4">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乙方负责按照甲方的内部管理制度对服务人员的日常工作进行管理，甲方有权对服务人员进行工作指挥和调度。甲方有权监督和考核服务人员的工作情况，有权要求服务人员遵守甲方依法制定的规章制度和劳动纪律。如有岗位调整与乙方协商一致后进行岗位调整。乙方除合同约定的服务人员外，应另派至少一名监督管理人员，并建立查勤管理机制；根据甲方工作需要对服务人员的工作情况进行监督，保证服务人员的工作时间和工作效率。</w:t>
      </w:r>
    </w:p>
    <w:p w14:paraId="295C3DC1">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2、甲方应明确乙方从事劳务服务外包的工作岗位工作任务和工作要求，然后由乙方工作人员自行负责其指定工作岗位的工作任务。</w:t>
      </w:r>
    </w:p>
    <w:p w14:paraId="20635884">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3、甲方应为乙方员工提供符合政府劳动保护条例规定的工作场所和各项安全工作条件。</w:t>
      </w:r>
    </w:p>
    <w:p w14:paraId="74E4A4BE">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4、甲方应尊重乙方员工的民族习惯和宗教信仰，不因民族和性别不同歧视乙方员工。</w:t>
      </w:r>
    </w:p>
    <w:p w14:paraId="45DAB039">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5、甲方有权抽查复检经过乙方认定体检合格的乙方人员，对于复检不合格的乙方员工，甲方有权要求乙方及时更换，同时乙方必须保证出勤人数，不影响甲方的工作；甲方有权抽查乙方员工的劳动合同、身份证明等，乙方及其员工应配合甲方的抽检。</w:t>
      </w:r>
    </w:p>
    <w:p w14:paraId="4C6E3B85">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6、乙方员工有下列行为的，甲方有权要求乙方立即更换：</w:t>
      </w:r>
    </w:p>
    <w:p w14:paraId="71E84A1C">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（1）乙方员工严重违反甲方规章制度、岗位职责和劳动纪律的及造成所负责的工作不能正常进行或不能保证工作质量，给甲方造成损失的；</w:t>
      </w:r>
    </w:p>
    <w:p w14:paraId="0D9045F4">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（2）乙方员工不能提供真实有效的健康证明、身份证明的，或提供虚假的健康证明、身份证明的；</w:t>
      </w:r>
    </w:p>
    <w:p w14:paraId="097D8D38">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（3）乙方员工在工作中谩骂他人或斗殴或以肢体、拳脚相击的；</w:t>
      </w:r>
    </w:p>
    <w:p w14:paraId="504DB641">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以上一经发现，甲方有权要求乙方退回或更换，同时乙方必须保证出勤人数，不影响甲方的正常工作的进展；对于乙方支付员工的工资低于当地政府最低工资标准的，甲方有权要求其立即改正。</w:t>
      </w:r>
    </w:p>
    <w:p w14:paraId="4C0E892F">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7、甲方应按照本合同规定的标准和支付方式及时支付乙方劳务费用。</w:t>
      </w:r>
    </w:p>
    <w:p w14:paraId="3A710BA9">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8、甲方应对知悉的乙方有关信息、数据和资料(包括但不仅限于财务、人员方面的信息、数据和资料)及其他信息负有严格保密责任。</w:t>
      </w:r>
    </w:p>
    <w:p w14:paraId="4DE553CE">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jc w:val="left"/>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第七条  乙方的权利和义务</w:t>
      </w:r>
    </w:p>
    <w:p w14:paraId="3CCCCAC5">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1、乙方应保证具有履行本合同的法定资质，提供甲方有关营业执照等资质证明的原件及复印件。</w:t>
      </w:r>
    </w:p>
    <w:p w14:paraId="47895D27">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2、应根据甲方工作需求，选派符合甲方要求的乙方员工到甲方指定的工作地点工作，同时承诺不派出或使用童工。</w:t>
      </w:r>
    </w:p>
    <w:p w14:paraId="3C03BFA7">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3、乙方应为派到至甲方的员工办理合法的劳动用工手续，与其建立劳动关系并签订劳动合同，乙方应向甲方提供员工的其他有关证明的原件或复印件(包括但不限于履历表、学历证、身份证和健康证等)，并保证其资料的真实有效性。同时乙方应承诺遵守《中华人民共和国劳动民法典》相关规定。</w:t>
      </w:r>
    </w:p>
    <w:p w14:paraId="69E35D49">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4、除经甲方特殊的同意情况外，乙方员工必须符合以下条件:</w:t>
      </w:r>
    </w:p>
    <w:p w14:paraId="3814A9B4">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（1）身体健康，精神状态良好，并具有合格有效的健康证；</w:t>
      </w:r>
    </w:p>
    <w:p w14:paraId="3EFED8A3">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（2）未患有痢疾、伤寒、病毒性肝炎等消化道传染病(包括病原携带者)，活动性肺结核化脓性或者渗出性皮肤病以及其他有碍食品卫生的疾病；</w:t>
      </w:r>
    </w:p>
    <w:p w14:paraId="7237BF69">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（3）未患有职业病鉴定委员会鉴定的职业病。</w:t>
      </w:r>
    </w:p>
    <w:p w14:paraId="34FEA09D">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5、乙方应遵照甲方的管理制度进行相关服务。</w:t>
      </w:r>
    </w:p>
    <w:p w14:paraId="4D0F5FDF">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6、乙方应根据当地政府的有关规定，按月支付其员工的工资，为其员工按规定投缴社会保险及支付其他国家规定的相关费用，乙方支付员工的工资不得低于当地政府最低工资规定。</w:t>
      </w:r>
    </w:p>
    <w:p w14:paraId="213C0AF0">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7、除非征得甲方许可，乙方不能随意调换其员工的工作岗位，更不得随意召回其员工(乙方员工辞职除外)。</w:t>
      </w:r>
    </w:p>
    <w:p w14:paraId="246F45A2">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8.因乙方员工所造成乙方外包工作岗位的空缺，乙方应自接到通知后2个工作日内补齐。</w:t>
      </w:r>
    </w:p>
    <w:p w14:paraId="6A7D0CEA">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9.乙方人员在工作期间发生工伤，乙方应承担工伤认定申请和劳动能力鉴定申请，以及协调工作，甲方应积极配合。工伤认定申请和劳动能力鉴定申请结束后，由乙方按照《工伤保险条例》的有关规定承担用人单位的义务，并按有关规定执行。</w:t>
      </w:r>
    </w:p>
    <w:p w14:paraId="0A82B0C0">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jc w:val="left"/>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第八条  服务保证</w:t>
      </w:r>
    </w:p>
    <w:p w14:paraId="5CAF10BA">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1、服务方案科学、可行，人员配置合理，全面满足要求。</w:t>
      </w:r>
    </w:p>
    <w:p w14:paraId="441DDA53">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2、符合国家有关服务规范要求，确保服务要求达到本项目要求。</w:t>
      </w:r>
    </w:p>
    <w:p w14:paraId="630F17B2">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jc w:val="left"/>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第九条  保密</w:t>
      </w:r>
    </w:p>
    <w:p w14:paraId="26C69E55">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1、乙方人员在甲方工作期间获得及接触的甲方的任何形式的保密信息，乙方人员不得在本协议目的之外使用，也不得向任何第三方提供这些信息和接触这些信息的手段。</w:t>
      </w:r>
    </w:p>
    <w:p w14:paraId="731767AA">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2、乙方应管理和教育好拟派人员遵守甲方的保密规定。如果乙方人员违反甲方的保密要求，给甲方造成损失，甲方有权利追究乙方的责任。</w:t>
      </w:r>
    </w:p>
    <w:p w14:paraId="6EC9C5B8">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jc w:val="left"/>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第十条  违约责任</w:t>
      </w:r>
    </w:p>
    <w:p w14:paraId="6FDCC847">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1、合同违约情况按《中华人民共和国民法典》中的相关条款执行。</w:t>
      </w:r>
    </w:p>
    <w:p w14:paraId="67BD0E51">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2、甲乙双方必须遵守本合同并执行合同中的各项规定，保证本合同的正常履行。</w:t>
      </w:r>
    </w:p>
    <w:p w14:paraId="0EA4BF96">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jc w:val="left"/>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第十一条  不可抗力事件处理</w:t>
      </w:r>
    </w:p>
    <w:p w14:paraId="38ED43AD">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1、在合同有效期内，任何一方因不可抗力事件导致不能履行合同，则合同履行期可延长，其延长期与不可抗力影响期相同。</w:t>
      </w:r>
    </w:p>
    <w:p w14:paraId="0AC64266">
      <w:pPr>
        <w:keepNext w:val="0"/>
        <w:keepLines w:val="0"/>
        <w:pageBreakBefore w:val="0"/>
        <w:widowControl w:val="0"/>
        <w:shd w:val="clear" w:color="auto" w:fill="FFFFFF"/>
        <w:wordWrap/>
        <w:overflowPunct/>
        <w:topLinePunct w:val="0"/>
        <w:bidi w:val="0"/>
        <w:spacing w:before="0" w:beforeAutospacing="0" w:after="100" w:afterAutospacing="0" w:line="360" w:lineRule="auto"/>
        <w:ind w:left="0" w:right="0" w:firstLine="480" w:firstLineChars="200"/>
        <w:jc w:val="left"/>
        <w:rPr>
          <w:rFonts w:hint="eastAsia" w:ascii="宋体" w:hAnsi="宋体" w:eastAsia="宋体" w:cs="宋体"/>
          <w:color w:val="auto"/>
          <w:kern w:val="0"/>
          <w:sz w:val="24"/>
          <w:szCs w:val="24"/>
          <w:highlight w:val="none"/>
          <w:lang w:val="zh-CN" w:eastAsia="zh-CN" w:bidi="ar"/>
        </w:rPr>
      </w:pPr>
      <w:r>
        <w:rPr>
          <w:rFonts w:hint="eastAsia" w:ascii="宋体" w:hAnsi="宋体" w:eastAsia="宋体" w:cs="宋体"/>
          <w:color w:val="auto"/>
          <w:kern w:val="0"/>
          <w:sz w:val="24"/>
          <w:szCs w:val="24"/>
          <w:highlight w:val="none"/>
          <w:lang w:val="en-US" w:eastAsia="zh-CN" w:bidi="ar"/>
        </w:rPr>
        <w:t>2、不可抗力事件发生后，应立即通知对方，并寄送有关权威机构出具的证明。</w:t>
      </w:r>
    </w:p>
    <w:p w14:paraId="4F7C84E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十二</w:t>
      </w:r>
      <w:r>
        <w:rPr>
          <w:rFonts w:hint="eastAsia" w:ascii="宋体" w:hAnsi="宋体" w:eastAsia="宋体" w:cs="宋体"/>
          <w:b/>
          <w:color w:val="auto"/>
          <w:sz w:val="24"/>
          <w:szCs w:val="24"/>
          <w:highlight w:val="none"/>
        </w:rPr>
        <w:t xml:space="preserve">条 </w:t>
      </w:r>
      <w:r>
        <w:rPr>
          <w:rFonts w:hint="eastAsia" w:ascii="宋体" w:hAnsi="宋体" w:eastAsia="宋体" w:cs="宋体"/>
          <w:b/>
          <w:bCs/>
          <w:color w:val="auto"/>
          <w:sz w:val="24"/>
          <w:szCs w:val="24"/>
          <w:highlight w:val="none"/>
          <w:lang w:val="zh-CN" w:eastAsia="zh-CN"/>
        </w:rPr>
        <w:t>合同的变更和终止</w:t>
      </w:r>
    </w:p>
    <w:p w14:paraId="021B9A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除《中华人民共和国政府采购法》第49条、第50条第二款规定的情形外，本合同一经签订，甲乙双方不得擅自变更、中止或终止合同。</w:t>
      </w:r>
    </w:p>
    <w:p w14:paraId="3D3889D7">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b/>
          <w:bCs/>
          <w:color w:val="auto"/>
          <w:sz w:val="24"/>
          <w:szCs w:val="24"/>
          <w:highlight w:val="none"/>
          <w:lang w:val="zh-CN" w:eastAsia="zh-CN"/>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十三</w:t>
      </w:r>
      <w:r>
        <w:rPr>
          <w:rFonts w:hint="eastAsia" w:ascii="宋体" w:hAnsi="宋体" w:eastAsia="宋体" w:cs="宋体"/>
          <w:b/>
          <w:color w:val="auto"/>
          <w:sz w:val="24"/>
          <w:szCs w:val="24"/>
          <w:highlight w:val="none"/>
        </w:rPr>
        <w:t xml:space="preserve">条 </w:t>
      </w:r>
      <w:r>
        <w:rPr>
          <w:rFonts w:hint="eastAsia" w:ascii="宋体" w:hAnsi="宋体" w:eastAsia="宋体" w:cs="宋体"/>
          <w:b/>
          <w:bCs/>
          <w:color w:val="auto"/>
          <w:sz w:val="24"/>
          <w:szCs w:val="24"/>
          <w:highlight w:val="none"/>
          <w:lang w:val="zh-CN" w:eastAsia="zh-CN"/>
        </w:rPr>
        <w:t>解决合同纠纷的方式</w:t>
      </w:r>
    </w:p>
    <w:p w14:paraId="2816CD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zh-CN" w:eastAsia="zh-CN"/>
        </w:rPr>
        <w:t>在执行本合同中发生的或与本合同有关的争端，双方应通过友好协商解决，经协商在</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lang w:val="zh-CN" w:eastAsia="zh-CN"/>
        </w:rPr>
        <w:t>天内不能达成协议时，则采取以下第</w:t>
      </w:r>
      <w:r>
        <w:rPr>
          <w:rFonts w:hint="eastAsia" w:ascii="宋体" w:hAnsi="宋体" w:eastAsia="宋体" w:cs="宋体"/>
          <w:color w:val="auto"/>
          <w:sz w:val="24"/>
          <w:szCs w:val="24"/>
          <w:highlight w:val="none"/>
          <w:u w:val="single"/>
          <w:lang w:val="zh-CN" w:eastAsia="zh-CN"/>
        </w:rPr>
        <w:t>2</w:t>
      </w:r>
      <w:r>
        <w:rPr>
          <w:rFonts w:hint="eastAsia" w:ascii="宋体" w:hAnsi="宋体" w:eastAsia="宋体" w:cs="宋体"/>
          <w:color w:val="auto"/>
          <w:sz w:val="24"/>
          <w:szCs w:val="24"/>
          <w:highlight w:val="none"/>
          <w:lang w:val="zh-CN" w:eastAsia="zh-CN"/>
        </w:rPr>
        <w:t>种方式解决争议：</w:t>
      </w:r>
    </w:p>
    <w:p w14:paraId="19DE97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（1）向甲方所在地有管辖权的人民法院提起诉讼；</w:t>
      </w:r>
    </w:p>
    <w:p w14:paraId="416BEA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（2）向西安市仲裁委员会按其仲裁规则申请仲裁。</w:t>
      </w:r>
    </w:p>
    <w:p w14:paraId="459AE2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zh-CN" w:eastAsia="zh-CN"/>
        </w:rPr>
        <w:t>在仲裁期间，本合同应继续履行。</w:t>
      </w:r>
    </w:p>
    <w:p w14:paraId="0267A95B">
      <w:pPr>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w:t>
      </w: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rPr>
        <w:t>条  附件</w:t>
      </w:r>
    </w:p>
    <w:p w14:paraId="237E56A7">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竞争性磋商文件</w:t>
      </w:r>
    </w:p>
    <w:p w14:paraId="74B98E99">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2、修改澄清文件</w:t>
      </w:r>
    </w:p>
    <w:p w14:paraId="4A677879">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3、响应文件</w:t>
      </w:r>
    </w:p>
    <w:p w14:paraId="23AB547C">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w:t>
      </w:r>
    </w:p>
    <w:p w14:paraId="07FE6684">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5、其他</w:t>
      </w:r>
    </w:p>
    <w:p w14:paraId="65B93C85">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w:t>
      </w: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rPr>
        <w:t>条  合同生效及其他</w:t>
      </w:r>
    </w:p>
    <w:p w14:paraId="15697322">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1、合同经双方法定代表人或授权委托代理人签字并加盖单位公章后生效。</w:t>
      </w:r>
    </w:p>
    <w:p w14:paraId="2A2EA031">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2、合同执行中涉及采购资金和采购内容修改或补充的，须经政府采购监管部门审批，并</w:t>
      </w:r>
      <w:r>
        <w:rPr>
          <w:rFonts w:hint="eastAsia" w:ascii="宋体" w:hAnsi="宋体" w:eastAsia="宋体" w:cs="宋体"/>
          <w:color w:val="auto"/>
          <w:sz w:val="24"/>
          <w:szCs w:val="24"/>
          <w:highlight w:val="none"/>
          <w:lang w:eastAsia="zh-CN"/>
        </w:rPr>
        <w:t>签订</w:t>
      </w:r>
      <w:r>
        <w:rPr>
          <w:rFonts w:hint="eastAsia" w:ascii="宋体" w:hAnsi="宋体" w:eastAsia="宋体" w:cs="宋体"/>
          <w:color w:val="auto"/>
          <w:sz w:val="24"/>
          <w:szCs w:val="24"/>
          <w:highlight w:val="none"/>
        </w:rPr>
        <w:t>书面补充协议报政府采购监督管理部门备案，方可作为主合同不可分割的一部分。</w:t>
      </w:r>
    </w:p>
    <w:p w14:paraId="3C0C2700">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份，自双方签章之日起</w:t>
      </w:r>
      <w:r>
        <w:rPr>
          <w:rFonts w:hint="eastAsia" w:ascii="宋体" w:hAnsi="宋体" w:eastAsia="宋体" w:cs="宋体"/>
          <w:color w:val="auto"/>
          <w:sz w:val="24"/>
          <w:szCs w:val="24"/>
          <w:highlight w:val="none"/>
          <w:lang w:val="en-US" w:eastAsia="zh-CN"/>
        </w:rPr>
        <w:t>生效</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份，乙方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份，政府采购代理机构壹份，同级财政部门备案壹份，具有同等法律效力。</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7759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66BFBE7F">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甲  方</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61DF9D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乙  方</w:t>
            </w:r>
          </w:p>
        </w:tc>
      </w:tr>
      <w:tr w14:paraId="5592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5493D98">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（盖章）</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330DBB7">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成交供应商全称</w:t>
            </w:r>
          </w:p>
          <w:p w14:paraId="77D7FB5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（盖章）</w:t>
            </w:r>
          </w:p>
        </w:tc>
      </w:tr>
      <w:tr w14:paraId="79ED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59E7203">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628772D8">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50EE0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55FBFA9">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邮编：</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2CF44ADF">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36AD7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vMerge w:val="restart"/>
            <w:tcBorders>
              <w:top w:val="single" w:color="auto" w:sz="4" w:space="0"/>
              <w:left w:val="single" w:color="auto" w:sz="4" w:space="0"/>
              <w:right w:val="single" w:color="auto" w:sz="4" w:space="0"/>
            </w:tcBorders>
            <w:noWrap w:val="0"/>
            <w:vAlign w:val="center"/>
          </w:tcPr>
          <w:p w14:paraId="4707A8B1">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全权代表：（签字）</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5DE4B29">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lang w:eastAsia="zh-CN"/>
              </w:rPr>
              <w:t>法定代表人（负责人）</w:t>
            </w:r>
            <w:r>
              <w:rPr>
                <w:rFonts w:hint="eastAsia" w:ascii="宋体" w:hAnsi="宋体" w:eastAsia="宋体" w:cs="宋体"/>
                <w:color w:val="auto"/>
                <w:sz w:val="24"/>
                <w:highlight w:val="none"/>
              </w:rPr>
              <w:t>：</w:t>
            </w:r>
          </w:p>
        </w:tc>
      </w:tr>
      <w:tr w14:paraId="3CC1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vMerge w:val="continue"/>
            <w:tcBorders>
              <w:left w:val="single" w:color="auto" w:sz="4" w:space="0"/>
              <w:bottom w:val="single" w:color="auto" w:sz="4" w:space="0"/>
              <w:right w:val="single" w:color="auto" w:sz="4" w:space="0"/>
            </w:tcBorders>
            <w:noWrap w:val="0"/>
            <w:vAlign w:val="center"/>
          </w:tcPr>
          <w:p w14:paraId="6E62A09C">
            <w:pPr>
              <w:spacing w:line="360" w:lineRule="auto"/>
              <w:rPr>
                <w:rFonts w:ascii="宋体" w:hAnsi="宋体" w:eastAsia="宋体" w:cs="宋体"/>
                <w:color w:val="auto"/>
                <w:sz w:val="24"/>
                <w:highlight w:val="none"/>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B7F8391">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被授权代表：（签字）</w:t>
            </w:r>
          </w:p>
        </w:tc>
      </w:tr>
      <w:tr w14:paraId="083B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8142C45">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29E84A8A">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07B9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3306A4BD">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BFC8062">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r>
      <w:tr w14:paraId="5E41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7A05233">
            <w:pPr>
              <w:spacing w:line="360" w:lineRule="auto"/>
              <w:rPr>
                <w:rFonts w:ascii="宋体" w:hAnsi="宋体" w:eastAsia="宋体" w:cs="宋体"/>
                <w:color w:val="auto"/>
                <w:sz w:val="24"/>
                <w:highlight w:val="none"/>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73BCD5B">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开户银行：</w:t>
            </w:r>
          </w:p>
        </w:tc>
      </w:tr>
      <w:tr w14:paraId="2D058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4C1DA42E">
            <w:pPr>
              <w:spacing w:line="360" w:lineRule="auto"/>
              <w:rPr>
                <w:rFonts w:ascii="宋体" w:hAnsi="宋体" w:eastAsia="宋体" w:cs="宋体"/>
                <w:color w:val="auto"/>
                <w:sz w:val="24"/>
                <w:highlight w:val="none"/>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64F3A3C0">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账号:</w:t>
            </w:r>
          </w:p>
        </w:tc>
      </w:tr>
      <w:tr w14:paraId="3B47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26EF062">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E421B8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tc>
      </w:tr>
    </w:tbl>
    <w:p w14:paraId="1BF0317E">
      <w:pPr>
        <w:pStyle w:val="2"/>
        <w:rPr>
          <w:rFonts w:ascii="宋体" w:hAnsi="宋体" w:eastAsia="宋体" w:cs="宋体"/>
          <w:color w:val="auto"/>
          <w:kern w:val="2"/>
          <w:sz w:val="28"/>
          <w:szCs w:val="28"/>
          <w:highlight w:val="none"/>
          <w:lang w:eastAsia="zh-CN"/>
        </w:rPr>
      </w:pPr>
    </w:p>
    <w:p w14:paraId="186B0DAE">
      <w:pPr>
        <w:rPr>
          <w:rFonts w:ascii="宋体" w:hAnsi="宋体" w:eastAsia="宋体" w:cs="宋体"/>
          <w:color w:val="auto"/>
          <w:kern w:val="2"/>
          <w:sz w:val="28"/>
          <w:szCs w:val="28"/>
          <w:highlight w:val="none"/>
          <w:lang w:eastAsia="zh-CN"/>
        </w:rPr>
      </w:pPr>
    </w:p>
    <w:p w14:paraId="0D9EE9E6">
      <w:pPr>
        <w:bidi w:val="0"/>
        <w:rPr>
          <w:rFonts w:hint="eastAsia"/>
          <w:color w:val="auto"/>
        </w:rPr>
      </w:pPr>
    </w:p>
    <w:p w14:paraId="1C6FCF00">
      <w:pPr>
        <w:bidi w:val="0"/>
        <w:rPr>
          <w:rFonts w:hint="eastAsia"/>
          <w:color w:val="auto"/>
        </w:rPr>
      </w:pPr>
    </w:p>
    <w:p w14:paraId="006B6BE9">
      <w:pPr>
        <w:spacing w:before="10" w:line="360" w:lineRule="auto"/>
        <w:ind w:firstLine="0"/>
        <w:jc w:val="both"/>
        <w:rPr>
          <w:rFonts w:hint="eastAsia" w:ascii="宋体" w:hAnsi="宋体" w:eastAsia="宋体" w:cs="宋体"/>
          <w:color w:val="auto"/>
          <w:kern w:val="2"/>
          <w:sz w:val="21"/>
          <w:szCs w:val="24"/>
          <w:lang w:val="en-US" w:eastAsia="zh-Hans" w:bidi="ar-SA"/>
        </w:rPr>
      </w:pPr>
    </w:p>
    <w:p w14:paraId="17B60EDE">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E96FCB"/>
    <w:rsid w:val="64E9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561"/>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7">
    <w:name w:val="Table Normal"/>
    <w:qFormat/>
    <w:uiPriority w:val="0"/>
    <w:rPr>
      <w:rFonts w:ascii="Times New Roman" w:hAnsi="Times New Roman" w:eastAsia="宋体" w:cs="Times New Roman"/>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2026-06-23T06:49:00Z</dcterms:created>
  <dc:creator>默.</dc:creator>
  <cp:lastModifiedBy>默.</cp:lastModifiedBy>
  <dcterms:modified xsi:type="dcterms:W3CDTF">2026-06-23T06:49:32Z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61051037AE2A435A905D516779740374_11</vt:lpwstr>
  </property>
  <property fmtid="{D5CDD505-2E9C-101B-9397-08002B2CF9AE}" pid="4" name="KSOTemplateDocerSaveRecord">
    <vt:lpwstr>eyJoZGlkIjoiMDFhNGRjM2IyY2I1ZTdjZDQ1YjM3MWYxMGIwMWY2NjIiLCJ1c2VySWQiOiI0MjU4NjcyNzgifQ==</vt:lpwstr>
  </property>
</Properties>
</file>