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9D2AB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1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  <w:t>三、分项报价表</w:t>
      </w:r>
    </w:p>
    <w:p w14:paraId="3A2B8824">
      <w:pPr>
        <w:spacing w:line="480" w:lineRule="exact"/>
        <w:jc w:val="center"/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分项报价表</w:t>
      </w:r>
    </w:p>
    <w:p w14:paraId="2A9F7776">
      <w:pPr>
        <w:spacing w:line="300" w:lineRule="exact"/>
        <w:rPr>
          <w:rFonts w:hint="eastAsia" w:ascii="仿宋" w:hAnsi="仿宋" w:eastAsia="仿宋" w:cs="仿宋"/>
          <w:sz w:val="28"/>
          <w:szCs w:val="28"/>
          <w:u w:val="single"/>
        </w:rPr>
      </w:pPr>
      <w:bookmarkStart w:id="0" w:name="_Toc29969"/>
      <w:bookmarkStart w:id="1" w:name="_Toc15656"/>
      <w:r>
        <w:rPr>
          <w:rFonts w:hint="eastAsia" w:ascii="仿宋" w:hAnsi="仿宋" w:eastAsia="仿宋" w:cs="仿宋"/>
          <w:sz w:val="24"/>
          <w:szCs w:val="24"/>
          <w:lang w:eastAsia="zh-CN"/>
        </w:rPr>
        <w:t>项目编号-包号</w:t>
      </w:r>
      <w:r>
        <w:rPr>
          <w:rFonts w:hint="eastAsia" w:ascii="仿宋" w:hAnsi="仿宋" w:eastAsia="仿宋" w:cs="仿宋"/>
          <w:sz w:val="24"/>
          <w:szCs w:val="24"/>
        </w:rPr>
        <w:t>：</w:t>
      </w:r>
      <w:bookmarkEnd w:id="0"/>
      <w:bookmarkEnd w:id="1"/>
    </w:p>
    <w:tbl>
      <w:tblPr>
        <w:tblStyle w:val="7"/>
        <w:tblW w:w="0" w:type="auto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"/>
        <w:gridCol w:w="1344"/>
        <w:gridCol w:w="736"/>
        <w:gridCol w:w="736"/>
        <w:gridCol w:w="1294"/>
        <w:gridCol w:w="714"/>
        <w:gridCol w:w="672"/>
        <w:gridCol w:w="1059"/>
        <w:gridCol w:w="1241"/>
        <w:gridCol w:w="664"/>
      </w:tblGrid>
      <w:tr w14:paraId="5C54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  <w:noWrap w:val="0"/>
            <w:vAlign w:val="center"/>
          </w:tcPr>
          <w:p w14:paraId="2C80E042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序号</w:t>
            </w:r>
          </w:p>
        </w:tc>
        <w:tc>
          <w:tcPr>
            <w:tcW w:w="2046" w:type="dxa"/>
            <w:noWrap w:val="0"/>
            <w:vAlign w:val="center"/>
          </w:tcPr>
          <w:p w14:paraId="7ECAE1CF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19" w:type="dxa"/>
            <w:noWrap w:val="0"/>
            <w:vAlign w:val="center"/>
          </w:tcPr>
          <w:p w14:paraId="46046ACA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19" w:type="dxa"/>
            <w:noWrap w:val="0"/>
            <w:vAlign w:val="center"/>
          </w:tcPr>
          <w:p w14:paraId="103B4D72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719" w:type="dxa"/>
            <w:noWrap w:val="0"/>
            <w:vAlign w:val="center"/>
          </w:tcPr>
          <w:p w14:paraId="42E8FF5B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5CF0AC8E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数量</w:t>
            </w:r>
          </w:p>
        </w:tc>
        <w:tc>
          <w:tcPr>
            <w:tcW w:w="960" w:type="dxa"/>
            <w:noWrap w:val="0"/>
            <w:vAlign w:val="center"/>
          </w:tcPr>
          <w:p w14:paraId="56C5465D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单位</w:t>
            </w:r>
          </w:p>
        </w:tc>
        <w:tc>
          <w:tcPr>
            <w:tcW w:w="1222" w:type="dxa"/>
            <w:noWrap w:val="0"/>
            <w:vAlign w:val="center"/>
          </w:tcPr>
          <w:p w14:paraId="6CFDEFAC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单价</w:t>
            </w:r>
          </w:p>
          <w:p w14:paraId="743D8DF8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（元）</w:t>
            </w:r>
          </w:p>
        </w:tc>
        <w:tc>
          <w:tcPr>
            <w:tcW w:w="1647" w:type="dxa"/>
            <w:noWrap w:val="0"/>
            <w:vAlign w:val="center"/>
          </w:tcPr>
          <w:p w14:paraId="39A54633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小计</w:t>
            </w:r>
          </w:p>
          <w:p w14:paraId="0670F893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（元）</w:t>
            </w:r>
          </w:p>
        </w:tc>
        <w:tc>
          <w:tcPr>
            <w:tcW w:w="937" w:type="dxa"/>
            <w:noWrap w:val="0"/>
            <w:vAlign w:val="center"/>
          </w:tcPr>
          <w:p w14:paraId="1D0C585F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备注</w:t>
            </w:r>
          </w:p>
        </w:tc>
      </w:tr>
      <w:tr w14:paraId="7C1B8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  <w:noWrap w:val="0"/>
            <w:vAlign w:val="top"/>
          </w:tcPr>
          <w:p w14:paraId="42A89079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2046" w:type="dxa"/>
            <w:noWrap w:val="0"/>
            <w:vAlign w:val="center"/>
          </w:tcPr>
          <w:p w14:paraId="359945F5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ind w:firstLine="120" w:firstLineChars="5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....</w:t>
            </w:r>
          </w:p>
        </w:tc>
        <w:tc>
          <w:tcPr>
            <w:tcW w:w="1419" w:type="dxa"/>
            <w:noWrap w:val="0"/>
            <w:vAlign w:val="top"/>
          </w:tcPr>
          <w:p w14:paraId="01D6AC0E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19" w:type="dxa"/>
            <w:noWrap w:val="0"/>
            <w:vAlign w:val="top"/>
          </w:tcPr>
          <w:p w14:paraId="08039AE4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719" w:type="dxa"/>
            <w:noWrap w:val="0"/>
            <w:vAlign w:val="top"/>
          </w:tcPr>
          <w:p w14:paraId="6F419492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58" w:type="dxa"/>
            <w:noWrap w:val="0"/>
            <w:vAlign w:val="top"/>
          </w:tcPr>
          <w:p w14:paraId="517C0C51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noWrap w:val="0"/>
            <w:vAlign w:val="top"/>
          </w:tcPr>
          <w:p w14:paraId="6EC5918C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22" w:type="dxa"/>
            <w:noWrap w:val="0"/>
            <w:vAlign w:val="top"/>
          </w:tcPr>
          <w:p w14:paraId="54998E24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7" w:type="dxa"/>
            <w:noWrap w:val="0"/>
            <w:vAlign w:val="top"/>
          </w:tcPr>
          <w:p w14:paraId="315FE247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37" w:type="dxa"/>
            <w:noWrap w:val="0"/>
            <w:vAlign w:val="top"/>
          </w:tcPr>
          <w:p w14:paraId="58E0ACE8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A14C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  <w:noWrap w:val="0"/>
            <w:vAlign w:val="top"/>
          </w:tcPr>
          <w:p w14:paraId="7EA6B638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046" w:type="dxa"/>
            <w:noWrap w:val="0"/>
            <w:vAlign w:val="center"/>
          </w:tcPr>
          <w:p w14:paraId="5D415101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ind w:firstLine="120" w:firstLineChars="5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....</w:t>
            </w:r>
          </w:p>
        </w:tc>
        <w:tc>
          <w:tcPr>
            <w:tcW w:w="1419" w:type="dxa"/>
            <w:noWrap w:val="0"/>
            <w:vAlign w:val="top"/>
          </w:tcPr>
          <w:p w14:paraId="51802C71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19" w:type="dxa"/>
            <w:noWrap w:val="0"/>
            <w:vAlign w:val="top"/>
          </w:tcPr>
          <w:p w14:paraId="0325581D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719" w:type="dxa"/>
            <w:noWrap w:val="0"/>
            <w:vAlign w:val="top"/>
          </w:tcPr>
          <w:p w14:paraId="49F6AEC5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58" w:type="dxa"/>
            <w:noWrap w:val="0"/>
            <w:vAlign w:val="top"/>
          </w:tcPr>
          <w:p w14:paraId="4641E2DC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noWrap w:val="0"/>
            <w:vAlign w:val="top"/>
          </w:tcPr>
          <w:p w14:paraId="6639A8DA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22" w:type="dxa"/>
            <w:noWrap w:val="0"/>
            <w:vAlign w:val="top"/>
          </w:tcPr>
          <w:p w14:paraId="758ECAA5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7" w:type="dxa"/>
            <w:noWrap w:val="0"/>
            <w:vAlign w:val="top"/>
          </w:tcPr>
          <w:p w14:paraId="2AE5FFCC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37" w:type="dxa"/>
            <w:noWrap w:val="0"/>
            <w:vAlign w:val="top"/>
          </w:tcPr>
          <w:p w14:paraId="5F44E409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9B04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  <w:noWrap w:val="0"/>
            <w:vAlign w:val="top"/>
          </w:tcPr>
          <w:p w14:paraId="7CFD0C18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2046" w:type="dxa"/>
            <w:noWrap w:val="0"/>
            <w:vAlign w:val="center"/>
          </w:tcPr>
          <w:p w14:paraId="53C1FC5A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ind w:firstLine="120" w:firstLineChars="5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....</w:t>
            </w:r>
          </w:p>
        </w:tc>
        <w:tc>
          <w:tcPr>
            <w:tcW w:w="1419" w:type="dxa"/>
            <w:noWrap w:val="0"/>
            <w:vAlign w:val="top"/>
          </w:tcPr>
          <w:p w14:paraId="13B7A8B3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19" w:type="dxa"/>
            <w:noWrap w:val="0"/>
            <w:vAlign w:val="top"/>
          </w:tcPr>
          <w:p w14:paraId="57341530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719" w:type="dxa"/>
            <w:noWrap w:val="0"/>
            <w:vAlign w:val="top"/>
          </w:tcPr>
          <w:p w14:paraId="46C7D99F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58" w:type="dxa"/>
            <w:noWrap w:val="0"/>
            <w:vAlign w:val="top"/>
          </w:tcPr>
          <w:p w14:paraId="213BF43F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0" w:type="dxa"/>
            <w:noWrap w:val="0"/>
            <w:vAlign w:val="top"/>
          </w:tcPr>
          <w:p w14:paraId="44F8BACA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22" w:type="dxa"/>
            <w:noWrap w:val="0"/>
            <w:vAlign w:val="top"/>
          </w:tcPr>
          <w:p w14:paraId="6F310527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7" w:type="dxa"/>
            <w:noWrap w:val="0"/>
            <w:vAlign w:val="top"/>
          </w:tcPr>
          <w:p w14:paraId="6F1717E7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37" w:type="dxa"/>
            <w:noWrap w:val="0"/>
            <w:vAlign w:val="top"/>
          </w:tcPr>
          <w:p w14:paraId="36A4E68C">
            <w:pPr>
              <w:widowControl w:val="0"/>
              <w:kinsoku/>
              <w:overflowPunct/>
              <w:autoSpaceDE/>
              <w:autoSpaceDN/>
              <w:bidi w:val="0"/>
              <w:snapToGrid/>
              <w:spacing w:after="120" w:afterLines="0" w:line="360" w:lineRule="auto"/>
              <w:jc w:val="both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7D12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17" w:type="dxa"/>
            <w:gridSpan w:val="10"/>
            <w:noWrap w:val="0"/>
            <w:vAlign w:val="top"/>
          </w:tcPr>
          <w:p w14:paraId="4F6B56A7">
            <w:pPr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单一来源采购</w:t>
            </w:r>
            <w:r>
              <w:rPr>
                <w:rFonts w:hint="eastAsia" w:ascii="仿宋" w:hAnsi="仿宋" w:eastAsia="仿宋" w:cs="仿宋"/>
                <w:highlight w:val="none"/>
              </w:rPr>
              <w:t>总价（人民币）小写：</w:t>
            </w:r>
            <w:r>
              <w:rPr>
                <w:rFonts w:hint="eastAsia" w:ascii="仿宋" w:hAnsi="仿宋" w:eastAsia="仿宋" w:cs="仿宋"/>
                <w:highlight w:val="none"/>
                <w:u w:val="single"/>
              </w:rPr>
              <w:t xml:space="preserve">          </w:t>
            </w:r>
            <w:r>
              <w:rPr>
                <w:rFonts w:hint="eastAsia" w:ascii="仿宋" w:hAnsi="仿宋" w:eastAsia="仿宋" w:cs="仿宋"/>
                <w:highlight w:val="none"/>
              </w:rPr>
              <w:t>元</w:t>
            </w:r>
          </w:p>
          <w:p w14:paraId="41F5D29C">
            <w:pPr>
              <w:widowControl w:val="0"/>
              <w:spacing w:after="120" w:afterLines="0"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大   写：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</w:t>
            </w:r>
          </w:p>
        </w:tc>
      </w:tr>
    </w:tbl>
    <w:p w14:paraId="6FEABD2B">
      <w:pPr>
        <w:spacing w:line="360" w:lineRule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注：1、供应商必须按“分项报价表”的格式详细报出</w:t>
      </w:r>
      <w:r>
        <w:rPr>
          <w:rFonts w:hint="eastAsia" w:ascii="仿宋" w:hAnsi="仿宋" w:eastAsia="仿宋" w:cs="仿宋"/>
          <w:highlight w:val="none"/>
          <w:lang w:val="en-US" w:eastAsia="zh-CN"/>
        </w:rPr>
        <w:t>单一来源采购</w:t>
      </w:r>
      <w:r>
        <w:rPr>
          <w:rFonts w:hint="eastAsia" w:ascii="仿宋" w:hAnsi="仿宋" w:eastAsia="仿宋" w:cs="仿宋"/>
          <w:highlight w:val="none"/>
        </w:rPr>
        <w:t>总价的各个组成部分的报价，否则作无效</w:t>
      </w:r>
      <w:r>
        <w:rPr>
          <w:rFonts w:hint="eastAsia" w:ascii="仿宋" w:hAnsi="仿宋" w:eastAsia="仿宋" w:cs="仿宋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highlight w:val="none"/>
        </w:rPr>
        <w:t>处理。</w:t>
      </w:r>
    </w:p>
    <w:p w14:paraId="2B5D6F17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highlight w:val="none"/>
        </w:rPr>
        <w:t>、</w:t>
      </w:r>
      <w:r>
        <w:rPr>
          <w:rFonts w:hint="eastAsia" w:ascii="仿宋" w:hAnsi="仿宋" w:eastAsia="仿宋" w:cs="仿宋"/>
          <w:color w:val="000000"/>
          <w:highlight w:val="none"/>
        </w:rPr>
        <w:t>“分项报价表”各分项报价合计应当与“</w:t>
      </w:r>
      <w:r>
        <w:rPr>
          <w:rFonts w:hint="eastAsia" w:ascii="仿宋" w:hAnsi="仿宋" w:eastAsia="仿宋" w:cs="仿宋"/>
          <w:highlight w:val="none"/>
          <w:lang w:val="en-US" w:eastAsia="zh-CN"/>
        </w:rPr>
        <w:t>报价一览表</w:t>
      </w:r>
      <w:r>
        <w:rPr>
          <w:rFonts w:hint="eastAsia" w:ascii="仿宋" w:hAnsi="仿宋" w:eastAsia="仿宋" w:cs="仿宋"/>
          <w:color w:val="000000"/>
          <w:highlight w:val="none"/>
        </w:rPr>
        <w:t>”报价合计相等。</w:t>
      </w:r>
    </w:p>
    <w:p w14:paraId="264945D4">
      <w:pPr>
        <w:topLinePunct w:val="0"/>
        <w:bidi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</w:p>
    <w:p w14:paraId="7EB8937D">
      <w:pPr>
        <w:spacing w:line="360" w:lineRule="auto"/>
        <w:jc w:val="left"/>
        <w:outlineLvl w:val="9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供应商名称：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highlight w:val="none"/>
        </w:rPr>
        <w:t>（盖公章）</w:t>
      </w:r>
    </w:p>
    <w:p w14:paraId="001FEFC3">
      <w:pPr>
        <w:pStyle w:val="9"/>
        <w:jc w:val="left"/>
        <w:outlineLvl w:val="1"/>
        <w:rPr>
          <w:rFonts w:hint="eastAsia" w:ascii="仿宋" w:hAnsi="仿宋" w:eastAsia="仿宋" w:cs="仿宋"/>
          <w:b/>
          <w:sz w:val="36"/>
        </w:rPr>
      </w:pPr>
      <w:r>
        <w:rPr>
          <w:rFonts w:hint="eastAsia" w:ascii="仿宋" w:hAnsi="仿宋" w:eastAsia="仿宋" w:cs="仿宋"/>
          <w:highlight w:val="none"/>
        </w:rPr>
        <w:t>法定代表人或委托代理人（签字或盖章）：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highlight w:val="none"/>
          <w:u w:val="non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</w:t>
      </w:r>
    </w:p>
    <w:p w14:paraId="1C33E849">
      <w:pPr>
        <w:rPr>
          <w:lang w:val="en-US" w:eastAsia="zh-CN"/>
        </w:rPr>
      </w:pPr>
      <w:bookmarkStart w:id="2" w:name="_GoBack"/>
      <w:bookmarkEnd w:id="2"/>
    </w:p>
    <w:sectPr>
      <w:footnotePr>
        <w:pos w:val="beneathText"/>
      </w:footnotePr>
      <w:pgSz w:w="11906" w:h="16838"/>
      <w:pgMar w:top="1361" w:right="1474" w:bottom="1361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 w:chapStyle="1" w:chapSep="period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pos w:val="beneathTex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69402A"/>
    <w:rsid w:val="236D46B1"/>
    <w:rsid w:val="38AE663D"/>
    <w:rsid w:val="5413076F"/>
    <w:rsid w:val="5F57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 w:afterLine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qFormat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2021-06-07T06:19:00Z</dcterms:created>
  <dc:creator>Administrator</dc:creator>
  <cp:lastModifiedBy>曹国霞</cp:lastModifiedBy>
  <dcterms:modified xsi:type="dcterms:W3CDTF">2026-05-20T01:07:19Z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D85216A3A38949B3AEC63270E6F57EA1</vt:lpwstr>
  </property>
  <property fmtid="{D5CDD505-2E9C-101B-9397-08002B2CF9AE}" pid="4" name="KSOTemplateDocerSaveRecord">
    <vt:lpwstr>eyJoZGlkIjoiODI3ZTRiODVhY2EwNDAzMjExNDhkMzcxYTQwODAzYTAiLCJ1c2VySWQiOiIxNDQ3NzcwMzU1In0=</vt:lpwstr>
  </property>
</Properties>
</file>