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版本号：WDZB2026-123620260520001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陕西省商务厅一周生活必需品市场综述广播媒体播报项目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WDZB2026-1236</w:t>
      </w:r>
      <w:r>
        <w:br/>
      </w:r>
      <w:r>
        <w:br/>
      </w:r>
      <w:r>
        <w:br/>
      </w:r>
    </w:p>
    <w:p>
      <w:pPr>
        <w:pStyle w:val="null3"/>
        <w:jc w:val="center"/>
        <w:outlineLvl w:val="5"/>
      </w:pPr>
      <w:r>
        <w:rPr>
          <w:rFonts w:ascii="仿宋_GB2312" w:hAnsi="仿宋_GB2312" w:cs="仿宋_GB2312" w:eastAsia="仿宋_GB2312"/>
          <w:sz w:val="15"/>
          <w:b/>
        </w:rPr>
        <w:t>陕西省商务厅机关</w:t>
      </w:r>
    </w:p>
    <w:p>
      <w:pPr>
        <w:pStyle w:val="null3"/>
        <w:jc w:val="center"/>
        <w:outlineLvl w:val="5"/>
      </w:pPr>
      <w:r>
        <w:rPr>
          <w:rFonts w:ascii="仿宋_GB2312" w:hAnsi="仿宋_GB2312" w:cs="仿宋_GB2312" w:eastAsia="仿宋_GB2312"/>
          <w:sz w:val="15"/>
          <w:b/>
        </w:rPr>
        <w:t>陕西万德招标有限公司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陕西万德招标有限公司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陕西省商务厅一周生活必需品市场综述广播媒体播报项目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WDZB2026-1236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陕西省商务厅一周生活必需品市场综述广播媒体播报项目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陕西省商务厅一周生活必需品市场综述广播媒体播报项目，具体内容详见单一来源采购文件第三章。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证明：供应商应授权合法的人员参加单一来源采购，其中法定代表人或单位负责人直接参加的，须出具法定代表人或单位负责人身份证明书；被授权人参加的，须出具法定代表人或单位负责人身份证明书及授权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李德凯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029-63913897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陕西万德招标有限公司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西安市南二环西段21号华融国际商务大厦A座10层D区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张亚亚、黄倩、张静、戚洪良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029-85561862/85561863转810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计价格[2002]1980号及发改办价格[2003]857号通知规定收取，按人民币伍仟元整（¥5000.00元）定额收取。由成交供应商在领取成交通知书前向采购代理机构交纳采购服务费。 招标代理服务费支付方式：银行转账或现金方式。收款单位：陕西万德招标有限公司；开户银行：中国银行西安南二环支行；银行账号：103673241394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陕西万德招标有限公司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陕西万德招标有限公司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陕西万德招标有限公司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1"/>
        </w:rPr>
        <w:t>陕西省商务厅一周生活必需品市场综述广播媒体播报项目</w:t>
      </w:r>
      <w:r>
        <w:rPr>
          <w:rFonts w:ascii="仿宋_GB2312" w:hAnsi="仿宋_GB2312" w:cs="仿宋_GB2312" w:eastAsia="仿宋_GB2312"/>
          <w:sz w:val="21"/>
        </w:rPr>
        <w:t>，具体内容详见服务内容及服务要求。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一周生活必需品市场综述广播媒体播报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标的名称：一周生活必需品市场综述广播媒体播报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一周生活必需品市场综述广播媒体播报。每周二</w:t>
            </w:r>
            <w:r>
              <w:rPr>
                <w:rFonts w:ascii="仿宋_GB2312" w:hAnsi="仿宋_GB2312" w:cs="仿宋_GB2312" w:eastAsia="仿宋_GB2312"/>
                <w:sz w:val="21"/>
              </w:rPr>
              <w:t>7:30</w:t>
            </w:r>
            <w:r>
              <w:rPr>
                <w:rFonts w:ascii="仿宋_GB2312" w:hAnsi="仿宋_GB2312" w:cs="仿宋_GB2312" w:eastAsia="仿宋_GB2312"/>
                <w:sz w:val="21"/>
              </w:rPr>
              <w:t>—</w:t>
            </w:r>
            <w:r>
              <w:rPr>
                <w:rFonts w:ascii="仿宋_GB2312" w:hAnsi="仿宋_GB2312" w:cs="仿宋_GB2312" w:eastAsia="仿宋_GB2312"/>
                <w:sz w:val="21"/>
              </w:rPr>
              <w:t>8:30</w:t>
            </w:r>
            <w:r>
              <w:rPr>
                <w:rFonts w:ascii="仿宋_GB2312" w:hAnsi="仿宋_GB2312" w:cs="仿宋_GB2312" w:eastAsia="仿宋_GB2312"/>
                <w:sz w:val="21"/>
              </w:rPr>
              <w:t>，通过广播媒体对全省</w:t>
            </w:r>
            <w:r>
              <w:rPr>
                <w:rFonts w:ascii="仿宋_GB2312" w:hAnsi="仿宋_GB2312" w:cs="仿宋_GB2312" w:eastAsia="仿宋_GB2312"/>
                <w:sz w:val="21"/>
              </w:rPr>
              <w:t>202</w:t>
            </w:r>
            <w:r>
              <w:rPr>
                <w:rFonts w:ascii="仿宋_GB2312" w:hAnsi="仿宋_GB2312" w:cs="仿宋_GB2312" w:eastAsia="仿宋_GB2312"/>
                <w:sz w:val="21"/>
              </w:rPr>
              <w:t>家生活必需品周报企业</w:t>
            </w:r>
            <w:r>
              <w:rPr>
                <w:rFonts w:ascii="仿宋_GB2312" w:hAnsi="仿宋_GB2312" w:cs="仿宋_GB2312" w:eastAsia="仿宋_GB2312"/>
                <w:sz w:val="21"/>
              </w:rPr>
              <w:t>8</w:t>
            </w:r>
            <w:r>
              <w:rPr>
                <w:rFonts w:ascii="仿宋_GB2312" w:hAnsi="仿宋_GB2312" w:cs="仿宋_GB2312" w:eastAsia="仿宋_GB2312"/>
                <w:sz w:val="21"/>
              </w:rPr>
              <w:t>大类重点生活必需品周平均价格进行播报，时长约</w:t>
            </w:r>
            <w:r>
              <w:rPr>
                <w:rFonts w:ascii="仿宋_GB2312" w:hAnsi="仿宋_GB2312" w:cs="仿宋_GB2312" w:eastAsia="仿宋_GB2312"/>
                <w:sz w:val="21"/>
              </w:rPr>
              <w:t>60</w:t>
            </w:r>
            <w:r>
              <w:rPr>
                <w:rFonts w:ascii="仿宋_GB2312" w:hAnsi="仿宋_GB2312" w:cs="仿宋_GB2312" w:eastAsia="仿宋_GB2312"/>
                <w:sz w:val="21"/>
              </w:rPr>
              <w:t>秒，全年播报</w:t>
            </w:r>
            <w:r>
              <w:rPr>
                <w:rFonts w:ascii="仿宋_GB2312" w:hAnsi="仿宋_GB2312" w:cs="仿宋_GB2312" w:eastAsia="仿宋_GB2312"/>
                <w:sz w:val="21"/>
              </w:rPr>
              <w:t>52</w:t>
            </w:r>
            <w:r>
              <w:rPr>
                <w:rFonts w:ascii="仿宋_GB2312" w:hAnsi="仿宋_GB2312" w:cs="仿宋_GB2312" w:eastAsia="仿宋_GB2312"/>
                <w:sz w:val="21"/>
              </w:rPr>
              <w:t>期，播报内容链接至商务部陕西商务预报网站，方便群众及时了解生活必需品价格走势。</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合同签订之日起1年(若服务质量优良，政策无重大调整，经采购人考核后可续签，续签时间最多不超过三年，费用按成交金额每年支付一次)。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陕西省商务厅指定地点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进度款，合同签订后，甲方收到乙方开具的合法合规的发票，达到付款条件起45个工作日内，支付合同总金额的100.0%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与采购人应严格按照政府采购相关法律法规以及《财政部关于进一步加强政府采购需求和履约验收管理的指导意见》（财库〔2016〕205号）、《政府采购需求管理办法》（财库〔2021〕22号）的要求进行验收。 2、本项目在成交人通知服务履约完毕后进行验收。 3、服务内容完成后先由成交人进行自检，自检合格后邀请采购人进行验收。采购人确认成交人的自检内容后，组织成交人（必要时请有关专家）进行最终验收，验收时成交人应派人员参加，共同对验收结果进行确认，并承担相关责任（必要时采购人可委托具有相关资质的第三方检测机构/有专业技术能力的专家对本服务项目进行验收，由此产生的相关费用由成交人承担，需要国家法定检验部门进行检验或验收的由成交人负责联系）。 4、验收依据包括但不限于合同文本、单一来源采购文件、响应文件。 5、验收合格后，填写验收单，并向采购人提交所有资料，以便使用单位日后管理和维护。</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3.由于不可抗力因素造成无法按照原计划提供服务，双方互不追究违约责任。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同时，成交供应商须在发布成交公告后线下提交响应文件正本壹份、副本贰份，纸质响应文件双面打印。线下纸质响应文件递交地点：西安市南二环西段21号华融国际商务大厦A座10层D区。如需邮寄响应文件，仅接受顺丰速运寄付，到付拒收（联系人：张亚亚、联系电话：029-85561862/85561863转810）。 2、采购人应在成交通知书发出之日起25日内与成交供应商签订采购合同。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具有独立承担民事责任能力的法人、其他组织或自然人，并出具合法有效的营业执照或事业单位法人证书等国家规定的相关证明，自然人参与的提供其身份证明。1-2、财务状况报告（任选其一）：①、2024年度或2025年度经审计的财务会计报告（须包含：资产负债表、现金流量表、利润表、所有者权益变动表、财务报表附注、审计公司证照及经办注册会计师资格证书）；②、递交响应文件截止时间前六个月内基本账户银行出具的资信证明（附开户行许可证或基本存款账户信息）。1-3、税收缴纳证明：提供2025年06月01日至今已缴纳的至少一个月的纳税证明或完税证明，依法免税的单位应提供相关证明材料。1-4、社会保障资金缴纳证明：提供2025年06月01日至今已缴纳的至少一个月的社会保障资金缴存单据或社保机构开具的社会保险参保缴费情况证明，依法不需要缴纳社会保障资金的单位应提供相关证明材料。1-5、无重大违法记录的声明：提供参加政府采购活动前三年内在经营活动中没有重大违法记录的书面声明；（采购人、采购代理机构将于本项目截止日在‘信用中国’网站、‘中国政府采购网’网站等渠道对供应商进行信用记录查询，凡被列入失信被执行人、重大税收违法失信主体、政府采购严重违法失信行为记录名单的，视为存在不良信用记录，参与本项目的将被拒绝。）1-6、履行本合同所必需的设备和专业技术能力：提供具有履行本合同所必需的设备和专业技术能力的说明及承诺。</w:t>
            </w:r>
          </w:p>
        </w:tc>
        <w:tc>
          <w:tcPr>
            <w:tcW w:type="dxa" w:w="1661"/>
          </w:tcPr>
          <w:p>
            <w:pPr>
              <w:pStyle w:val="null3"/>
            </w:pPr>
            <w:r>
              <w:rPr>
                <w:rFonts w:ascii="仿宋_GB2312" w:hAnsi="仿宋_GB2312" w:cs="仿宋_GB2312" w:eastAsia="仿宋_GB2312"/>
              </w:rPr>
              <w:t>一、供应商资格证明文件.docx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供应商应授权合法的人员参加单一来源采购，其中法定代表人或单位负责人直接参加的，须出具法定代表人或单位负责人身份证明书；被授权人参加的，须出具法定代表人或单位负责人身份证明书及授权书。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一、供应商资格证明文件.docx 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三、分项报价表.docx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完全理解并接受法律法规和单一来源采购文件对供应商合法经营的各类规约和责任义务要求，没有出现法律法规或单一来源采购文件规定的其他无效情形。</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签章均符合单一来源采购文件要求。</w:t>
            </w:r>
          </w:p>
        </w:tc>
        <w:tc>
          <w:tcPr>
            <w:tcW w:type="dxa" w:w="1661"/>
          </w:tcPr>
          <w:p>
            <w:pPr>
              <w:pStyle w:val="null3"/>
            </w:pPr>
            <w:r>
              <w:rPr>
                <w:rFonts w:ascii="仿宋_GB2312" w:hAnsi="仿宋_GB2312" w:cs="仿宋_GB2312" w:eastAsia="仿宋_GB2312"/>
              </w:rPr>
              <w:t>服务内容及服务邀请应答表 中小企业声明函 商务应答表 三、分项报价表.docx 供应商应提交的相关资格证明材料 报价表 响应文件封面 残疾人福利性单位声明函 一、供应商资格证明文件.docx 服务方案 标的清单 响应函 二、供应商业绩.docx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符合单一来源采购文件要求。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同时满足以下条款： （1）货币单位符合单一来源采购文件要求； （2）报价符合唯一性要求； （3）未超出采购预算或最高限价； （4）符合“报价一览表”的填报要求。</w:t>
            </w:r>
          </w:p>
        </w:tc>
        <w:tc>
          <w:tcPr>
            <w:tcW w:type="dxa" w:w="1661"/>
          </w:tcPr>
          <w:p>
            <w:pPr>
              <w:pStyle w:val="null3"/>
            </w:pPr>
            <w:r>
              <w:rPr>
                <w:rFonts w:ascii="仿宋_GB2312" w:hAnsi="仿宋_GB2312" w:cs="仿宋_GB2312" w:eastAsia="仿宋_GB2312"/>
              </w:rPr>
              <w:t>三、分项报价表.docx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商务及服务要求</w:t>
            </w:r>
          </w:p>
        </w:tc>
        <w:tc>
          <w:tcPr>
            <w:tcW w:type="dxa" w:w="3322"/>
          </w:tcPr>
          <w:p>
            <w:pPr>
              <w:pStyle w:val="null3"/>
            </w:pPr>
            <w:r>
              <w:rPr>
                <w:rFonts w:ascii="仿宋_GB2312" w:hAnsi="仿宋_GB2312" w:cs="仿宋_GB2312" w:eastAsia="仿宋_GB2312"/>
              </w:rPr>
              <w:t>商务及服务要求不得出现负偏离。</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详见附件：一、供应商资格证明文件.docx</w:t>
      </w:r>
    </w:p>
    <w:p>
      <w:pPr>
        <w:pStyle w:val="null3"/>
        <w:ind w:firstLine="960"/>
      </w:pPr>
      <w:r>
        <w:rPr>
          <w:rFonts w:ascii="仿宋_GB2312" w:hAnsi="仿宋_GB2312" w:cs="仿宋_GB2312" w:eastAsia="仿宋_GB2312"/>
        </w:rPr>
        <w:t>详见附件：二、供应商业绩.docx</w:t>
      </w:r>
    </w:p>
    <w:p>
      <w:pPr>
        <w:pStyle w:val="null3"/>
        <w:ind w:firstLine="960"/>
      </w:pPr>
      <w:r>
        <w:rPr>
          <w:rFonts w:ascii="仿宋_GB2312" w:hAnsi="仿宋_GB2312" w:cs="仿宋_GB2312" w:eastAsia="仿宋_GB2312"/>
        </w:rPr>
        <w:t>详见附件：三、分项报价表.docx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