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B4EF7A">
      <w:pPr>
        <w:pStyle w:val="4"/>
        <w:keepNext w:val="0"/>
        <w:keepLines w:val="0"/>
        <w:pageBreakBefore w:val="0"/>
        <w:kinsoku/>
        <w:wordWrap/>
        <w:overflowPunct/>
        <w:topLinePunct w:val="0"/>
        <w:autoSpaceDE/>
        <w:autoSpaceDN/>
        <w:bidi w:val="0"/>
        <w:adjustRightInd/>
        <w:snapToGrid/>
        <w:spacing w:line="360" w:lineRule="auto"/>
        <w:ind w:firstLine="361" w:firstLineChars="200"/>
        <w:jc w:val="both"/>
        <w:textAlignment w:val="auto"/>
      </w:pPr>
      <w:r>
        <w:rPr>
          <w:rFonts w:ascii="仿宋_GB2312" w:hAnsi="仿宋_GB2312" w:eastAsia="仿宋_GB2312" w:cs="仿宋_GB2312"/>
          <w:b/>
          <w:sz w:val="18"/>
        </w:rPr>
        <w:t>一、项目基本情况</w:t>
      </w:r>
    </w:p>
    <w:p w14:paraId="17A562E1">
      <w:pPr>
        <w:pStyle w:val="4"/>
        <w:keepNext w:val="0"/>
        <w:keepLines w:val="0"/>
        <w:pageBreakBefore w:val="0"/>
        <w:kinsoku/>
        <w:wordWrap/>
        <w:overflowPunct/>
        <w:topLinePunct w:val="0"/>
        <w:autoSpaceDE/>
        <w:autoSpaceDN/>
        <w:bidi w:val="0"/>
        <w:adjustRightInd/>
        <w:snapToGrid/>
        <w:spacing w:line="360" w:lineRule="auto"/>
        <w:ind w:firstLine="360" w:firstLineChars="200"/>
        <w:jc w:val="both"/>
        <w:textAlignment w:val="auto"/>
      </w:pPr>
      <w:r>
        <w:rPr>
          <w:rFonts w:ascii="仿宋_GB2312" w:hAnsi="仿宋_GB2312" w:eastAsia="仿宋_GB2312" w:cs="仿宋_GB2312"/>
          <w:sz w:val="18"/>
        </w:rPr>
        <w:t>1、项目名称：编制《陕西省人民防空防护设备技术指导》</w:t>
      </w:r>
    </w:p>
    <w:p w14:paraId="511F6BD6">
      <w:pPr>
        <w:pStyle w:val="4"/>
        <w:keepNext w:val="0"/>
        <w:keepLines w:val="0"/>
        <w:pageBreakBefore w:val="0"/>
        <w:kinsoku/>
        <w:wordWrap/>
        <w:overflowPunct/>
        <w:topLinePunct w:val="0"/>
        <w:autoSpaceDE/>
        <w:autoSpaceDN/>
        <w:bidi w:val="0"/>
        <w:adjustRightInd/>
        <w:snapToGrid/>
        <w:spacing w:line="360" w:lineRule="auto"/>
        <w:ind w:firstLine="360" w:firstLineChars="200"/>
        <w:jc w:val="both"/>
        <w:textAlignment w:val="auto"/>
      </w:pPr>
      <w:r>
        <w:rPr>
          <w:rFonts w:ascii="仿宋_GB2312" w:hAnsi="仿宋_GB2312" w:eastAsia="仿宋_GB2312" w:cs="仿宋_GB2312"/>
          <w:sz w:val="18"/>
        </w:rPr>
        <w:t>2、服务期限：自合同签订之日起160</w:t>
      </w:r>
      <w:bookmarkStart w:id="0" w:name="_GoBack"/>
      <w:bookmarkEnd w:id="0"/>
      <w:r>
        <w:rPr>
          <w:rFonts w:ascii="仿宋_GB2312" w:hAnsi="仿宋_GB2312" w:eastAsia="仿宋_GB2312" w:cs="仿宋_GB2312"/>
          <w:sz w:val="18"/>
        </w:rPr>
        <w:t>日历天（不包含审批、发布时间）</w:t>
      </w:r>
    </w:p>
    <w:p w14:paraId="6FB7F5D6">
      <w:pPr>
        <w:pStyle w:val="4"/>
        <w:keepNext w:val="0"/>
        <w:keepLines w:val="0"/>
        <w:pageBreakBefore w:val="0"/>
        <w:kinsoku/>
        <w:wordWrap/>
        <w:overflowPunct/>
        <w:topLinePunct w:val="0"/>
        <w:autoSpaceDE/>
        <w:autoSpaceDN/>
        <w:bidi w:val="0"/>
        <w:adjustRightInd/>
        <w:snapToGrid/>
        <w:spacing w:line="360" w:lineRule="auto"/>
        <w:ind w:firstLine="360" w:firstLineChars="200"/>
        <w:jc w:val="both"/>
        <w:textAlignment w:val="auto"/>
      </w:pPr>
      <w:r>
        <w:rPr>
          <w:rFonts w:ascii="仿宋_GB2312" w:hAnsi="仿宋_GB2312" w:eastAsia="仿宋_GB2312" w:cs="仿宋_GB2312"/>
          <w:sz w:val="18"/>
        </w:rPr>
        <w:t>3、服务范围：为编制《陕西省人民防空防护设备管理技术指导》提供技术服务。主要工作包括技术指导的编制起草、公开征求意见、组织研讨、组织评审，并配合相关部门对技术规程的审批、核准、备案及发布。</w:t>
      </w:r>
    </w:p>
    <w:p w14:paraId="0AF4409F">
      <w:pPr>
        <w:pStyle w:val="4"/>
        <w:keepNext w:val="0"/>
        <w:keepLines w:val="0"/>
        <w:pageBreakBefore w:val="0"/>
        <w:kinsoku/>
        <w:wordWrap/>
        <w:overflowPunct/>
        <w:topLinePunct w:val="0"/>
        <w:autoSpaceDE/>
        <w:autoSpaceDN/>
        <w:bidi w:val="0"/>
        <w:adjustRightInd/>
        <w:snapToGrid/>
        <w:spacing w:line="360" w:lineRule="auto"/>
        <w:ind w:firstLine="361" w:firstLineChars="200"/>
        <w:jc w:val="both"/>
        <w:textAlignment w:val="auto"/>
      </w:pPr>
      <w:r>
        <w:rPr>
          <w:rFonts w:ascii="仿宋_GB2312" w:hAnsi="仿宋_GB2312" w:eastAsia="仿宋_GB2312" w:cs="仿宋_GB2312"/>
          <w:b/>
          <w:sz w:val="18"/>
        </w:rPr>
        <w:t>二、服务标准</w:t>
      </w:r>
    </w:p>
    <w:p w14:paraId="4098B49F">
      <w:pPr>
        <w:pStyle w:val="4"/>
        <w:keepNext w:val="0"/>
        <w:keepLines w:val="0"/>
        <w:pageBreakBefore w:val="0"/>
        <w:kinsoku/>
        <w:wordWrap/>
        <w:overflowPunct/>
        <w:topLinePunct w:val="0"/>
        <w:autoSpaceDE/>
        <w:autoSpaceDN/>
        <w:bidi w:val="0"/>
        <w:adjustRightInd/>
        <w:snapToGrid/>
        <w:spacing w:line="360" w:lineRule="auto"/>
        <w:ind w:firstLine="361" w:firstLineChars="200"/>
        <w:jc w:val="both"/>
        <w:textAlignment w:val="auto"/>
      </w:pPr>
      <w:r>
        <w:rPr>
          <w:rFonts w:ascii="仿宋_GB2312" w:hAnsi="仿宋_GB2312" w:eastAsia="仿宋_GB2312" w:cs="仿宋_GB2312"/>
          <w:b/>
          <w:sz w:val="18"/>
        </w:rPr>
        <w:t>（一）编制依据</w:t>
      </w:r>
    </w:p>
    <w:p w14:paraId="1C315010">
      <w:pPr>
        <w:pStyle w:val="4"/>
        <w:keepNext w:val="0"/>
        <w:keepLines w:val="0"/>
        <w:pageBreakBefore w:val="0"/>
        <w:kinsoku/>
        <w:wordWrap/>
        <w:overflowPunct/>
        <w:topLinePunct w:val="0"/>
        <w:autoSpaceDE/>
        <w:autoSpaceDN/>
        <w:bidi w:val="0"/>
        <w:adjustRightInd/>
        <w:snapToGrid/>
        <w:spacing w:line="360" w:lineRule="auto"/>
        <w:ind w:firstLine="360" w:firstLineChars="200"/>
        <w:jc w:val="both"/>
        <w:textAlignment w:val="auto"/>
      </w:pPr>
      <w:r>
        <w:rPr>
          <w:rFonts w:ascii="仿宋_GB2312" w:hAnsi="仿宋_GB2312" w:eastAsia="仿宋_GB2312" w:cs="仿宋_GB2312"/>
          <w:sz w:val="18"/>
        </w:rPr>
        <w:t>《中华人民共和国人民防空法》、《人民防空防护设备管理办法》、《人民防空防护设备检验检测管理办法》等政策文件及陕西省住房和城乡建设厅和陕西省市场监督管理局对地方标准实施的相关要求并结合陕西省实际情况，充分调研其他省份对人防工程防护设备管理的经验做法。</w:t>
      </w:r>
    </w:p>
    <w:p w14:paraId="527C62A0">
      <w:pPr>
        <w:pStyle w:val="4"/>
        <w:keepNext w:val="0"/>
        <w:keepLines w:val="0"/>
        <w:pageBreakBefore w:val="0"/>
        <w:kinsoku/>
        <w:wordWrap/>
        <w:overflowPunct/>
        <w:topLinePunct w:val="0"/>
        <w:autoSpaceDE/>
        <w:autoSpaceDN/>
        <w:bidi w:val="0"/>
        <w:adjustRightInd/>
        <w:snapToGrid/>
        <w:spacing w:line="360" w:lineRule="auto"/>
        <w:ind w:firstLine="361" w:firstLineChars="200"/>
        <w:jc w:val="both"/>
        <w:textAlignment w:val="auto"/>
      </w:pPr>
      <w:r>
        <w:rPr>
          <w:rFonts w:ascii="仿宋_GB2312" w:hAnsi="仿宋_GB2312" w:eastAsia="仿宋_GB2312" w:cs="仿宋_GB2312"/>
          <w:b/>
          <w:sz w:val="18"/>
        </w:rPr>
        <w:t>（二）全省现状调研与资料归集</w:t>
      </w:r>
    </w:p>
    <w:p w14:paraId="52F60A1F">
      <w:pPr>
        <w:pStyle w:val="4"/>
        <w:keepNext w:val="0"/>
        <w:keepLines w:val="0"/>
        <w:pageBreakBefore w:val="0"/>
        <w:kinsoku/>
        <w:wordWrap/>
        <w:overflowPunct/>
        <w:topLinePunct w:val="0"/>
        <w:autoSpaceDE/>
        <w:autoSpaceDN/>
        <w:bidi w:val="0"/>
        <w:adjustRightInd/>
        <w:snapToGrid/>
        <w:spacing w:line="360" w:lineRule="auto"/>
        <w:ind w:firstLine="360" w:firstLineChars="200"/>
        <w:jc w:val="both"/>
        <w:textAlignment w:val="auto"/>
      </w:pPr>
      <w:r>
        <w:rPr>
          <w:rFonts w:ascii="仿宋_GB2312" w:hAnsi="仿宋_GB2312" w:eastAsia="仿宋_GB2312" w:cs="仿宋_GB2312"/>
          <w:sz w:val="18"/>
        </w:rPr>
        <w:t>全面摸排陕西省人防防护门、密闭阀、通风滤毒、防爆地漏、防冲击波设备等全品类防护设备生产、定点备案、安装施工、检测验收、运维维保规现状；收集全省各地市人防工程案例、设备质量问题、监管痛点、平战转换难点、地方实操差异；汇总国家、西北区域、陕西省现行人防规范、图集、造价、验收、运维管理文件。</w:t>
      </w:r>
    </w:p>
    <w:p w14:paraId="2ACF973B">
      <w:pPr>
        <w:pStyle w:val="4"/>
        <w:keepNext w:val="0"/>
        <w:keepLines w:val="0"/>
        <w:pageBreakBefore w:val="0"/>
        <w:kinsoku/>
        <w:wordWrap/>
        <w:overflowPunct/>
        <w:topLinePunct w:val="0"/>
        <w:autoSpaceDE/>
        <w:autoSpaceDN/>
        <w:bidi w:val="0"/>
        <w:adjustRightInd/>
        <w:snapToGrid/>
        <w:spacing w:line="360" w:lineRule="auto"/>
        <w:ind w:firstLine="361" w:firstLineChars="200"/>
        <w:jc w:val="both"/>
        <w:textAlignment w:val="auto"/>
      </w:pPr>
      <w:r>
        <w:rPr>
          <w:rFonts w:ascii="仿宋_GB2312" w:hAnsi="仿宋_GB2312" w:eastAsia="仿宋_GB2312" w:cs="仿宋_GB2312"/>
          <w:b/>
          <w:sz w:val="18"/>
        </w:rPr>
        <w:t>（三）核心编制内容</w:t>
      </w:r>
    </w:p>
    <w:p w14:paraId="2C89A448">
      <w:pPr>
        <w:pStyle w:val="4"/>
        <w:keepNext w:val="0"/>
        <w:keepLines w:val="0"/>
        <w:pageBreakBefore w:val="0"/>
        <w:kinsoku/>
        <w:wordWrap/>
        <w:overflowPunct/>
        <w:topLinePunct w:val="0"/>
        <w:autoSpaceDE/>
        <w:autoSpaceDN/>
        <w:bidi w:val="0"/>
        <w:adjustRightInd/>
        <w:snapToGrid/>
        <w:spacing w:line="360" w:lineRule="auto"/>
        <w:ind w:firstLine="361" w:firstLineChars="200"/>
        <w:jc w:val="both"/>
        <w:textAlignment w:val="auto"/>
      </w:pPr>
      <w:r>
        <w:rPr>
          <w:rFonts w:ascii="仿宋_GB2312" w:hAnsi="仿宋_GB2312" w:eastAsia="仿宋_GB2312" w:cs="仿宋_GB2312"/>
          <w:b/>
          <w:sz w:val="18"/>
        </w:rPr>
        <w:t>1、总则：</w:t>
      </w:r>
      <w:r>
        <w:rPr>
          <w:rFonts w:ascii="仿宋_GB2312" w:hAnsi="仿宋_GB2312" w:eastAsia="仿宋_GB2312" w:cs="仿宋_GB2312"/>
          <w:sz w:val="18"/>
        </w:rPr>
        <w:t>编制目的、适用范围、引用标准、术语定义、全省人防防护设备管控总体原则等；</w:t>
      </w:r>
    </w:p>
    <w:p w14:paraId="61A8DCA9">
      <w:pPr>
        <w:pStyle w:val="4"/>
        <w:keepNext w:val="0"/>
        <w:keepLines w:val="0"/>
        <w:pageBreakBefore w:val="0"/>
        <w:kinsoku/>
        <w:wordWrap/>
        <w:overflowPunct/>
        <w:topLinePunct w:val="0"/>
        <w:autoSpaceDE/>
        <w:autoSpaceDN/>
        <w:bidi w:val="0"/>
        <w:adjustRightInd/>
        <w:snapToGrid/>
        <w:spacing w:line="360" w:lineRule="auto"/>
        <w:ind w:firstLine="361" w:firstLineChars="200"/>
        <w:jc w:val="both"/>
        <w:textAlignment w:val="auto"/>
      </w:pPr>
      <w:r>
        <w:rPr>
          <w:rFonts w:ascii="仿宋_GB2312" w:hAnsi="仿宋_GB2312" w:eastAsia="仿宋_GB2312" w:cs="仿宋_GB2312"/>
          <w:b/>
          <w:sz w:val="18"/>
        </w:rPr>
        <w:t>2、设备分类与技术参数：</w:t>
      </w:r>
      <w:r>
        <w:rPr>
          <w:rFonts w:ascii="仿宋_GB2312" w:hAnsi="仿宋_GB2312" w:eastAsia="仿宋_GB2312" w:cs="仿宋_GB2312"/>
          <w:sz w:val="18"/>
        </w:rPr>
        <w:t>陕西常用人防防护密闭门、活门、密闭阀门、防爆波地漏、通风防护设备、封堵设备规格、抗力等级、密闭性能、材料要求、构造标准等；</w:t>
      </w:r>
    </w:p>
    <w:p w14:paraId="1308A9D2">
      <w:pPr>
        <w:pStyle w:val="4"/>
        <w:keepNext w:val="0"/>
        <w:keepLines w:val="0"/>
        <w:pageBreakBefore w:val="0"/>
        <w:kinsoku/>
        <w:wordWrap/>
        <w:overflowPunct/>
        <w:topLinePunct w:val="0"/>
        <w:autoSpaceDE/>
        <w:autoSpaceDN/>
        <w:bidi w:val="0"/>
        <w:adjustRightInd/>
        <w:snapToGrid/>
        <w:spacing w:line="360" w:lineRule="auto"/>
        <w:ind w:firstLine="361" w:firstLineChars="200"/>
        <w:jc w:val="both"/>
        <w:textAlignment w:val="auto"/>
      </w:pPr>
      <w:r>
        <w:rPr>
          <w:rFonts w:ascii="仿宋_GB2312" w:hAnsi="仿宋_GB2312" w:eastAsia="仿宋_GB2312" w:cs="仿宋_GB2312"/>
          <w:b/>
          <w:sz w:val="18"/>
        </w:rPr>
        <w:t>3、生产制造技术要求：</w:t>
      </w:r>
      <w:r>
        <w:rPr>
          <w:rFonts w:ascii="仿宋_GB2312" w:hAnsi="仿宋_GB2312" w:eastAsia="仿宋_GB2312" w:cs="仿宋_GB2312"/>
          <w:sz w:val="18"/>
        </w:rPr>
        <w:t>原材料选型、加工工艺、焊接、防腐、出厂检测、合格证、唯一性编码、铭牌二维码溯源、出厂档案规范等；</w:t>
      </w:r>
    </w:p>
    <w:p w14:paraId="0A0A15F8">
      <w:pPr>
        <w:pStyle w:val="4"/>
        <w:keepNext w:val="0"/>
        <w:keepLines w:val="0"/>
        <w:pageBreakBefore w:val="0"/>
        <w:kinsoku/>
        <w:wordWrap/>
        <w:overflowPunct/>
        <w:topLinePunct w:val="0"/>
        <w:autoSpaceDE/>
        <w:autoSpaceDN/>
        <w:bidi w:val="0"/>
        <w:adjustRightInd/>
        <w:snapToGrid/>
        <w:spacing w:line="360" w:lineRule="auto"/>
        <w:ind w:firstLine="361" w:firstLineChars="200"/>
        <w:jc w:val="both"/>
        <w:textAlignment w:val="auto"/>
      </w:pPr>
      <w:r>
        <w:rPr>
          <w:rFonts w:ascii="仿宋_GB2312" w:hAnsi="仿宋_GB2312" w:eastAsia="仿宋_GB2312" w:cs="仿宋_GB2312"/>
          <w:b/>
          <w:sz w:val="18"/>
        </w:rPr>
        <w:t>4、现场安装施工技术指导：</w:t>
      </w:r>
      <w:r>
        <w:rPr>
          <w:rFonts w:ascii="仿宋_GB2312" w:hAnsi="仿宋_GB2312" w:eastAsia="仿宋_GB2312" w:cs="仿宋_GB2312"/>
          <w:sz w:val="18"/>
        </w:rPr>
        <w:t>洞口预埋、门框安装、门扇调试、密闭密封、通风接驳、平战转换安装、隐蔽工程验收要点、严禁拆分发包安装管控要求等；</w:t>
      </w:r>
    </w:p>
    <w:p w14:paraId="7B58BCA2">
      <w:pPr>
        <w:pStyle w:val="4"/>
        <w:keepNext w:val="0"/>
        <w:keepLines w:val="0"/>
        <w:pageBreakBefore w:val="0"/>
        <w:kinsoku/>
        <w:wordWrap/>
        <w:overflowPunct/>
        <w:topLinePunct w:val="0"/>
        <w:autoSpaceDE/>
        <w:autoSpaceDN/>
        <w:bidi w:val="0"/>
        <w:adjustRightInd/>
        <w:snapToGrid/>
        <w:spacing w:line="360" w:lineRule="auto"/>
        <w:ind w:firstLine="361" w:firstLineChars="200"/>
        <w:jc w:val="both"/>
        <w:textAlignment w:val="auto"/>
      </w:pPr>
      <w:r>
        <w:rPr>
          <w:rFonts w:ascii="仿宋_GB2312" w:hAnsi="仿宋_GB2312" w:eastAsia="仿宋_GB2312" w:cs="仿宋_GB2312"/>
          <w:b/>
          <w:sz w:val="18"/>
        </w:rPr>
        <w:t>5、质量检测与验收标准：</w:t>
      </w:r>
      <w:r>
        <w:rPr>
          <w:rFonts w:ascii="仿宋_GB2312" w:hAnsi="仿宋_GB2312" w:eastAsia="仿宋_GB2312" w:cs="仿宋_GB2312"/>
          <w:sz w:val="18"/>
        </w:rPr>
        <w:t>分项验收、分部分项验收、密闭性能检测、抗爆性能核验、第三方检测流程、不合格设备处置、竣工验收资料归档等；</w:t>
      </w:r>
    </w:p>
    <w:p w14:paraId="7064B0CA">
      <w:pPr>
        <w:pStyle w:val="4"/>
        <w:keepNext w:val="0"/>
        <w:keepLines w:val="0"/>
        <w:pageBreakBefore w:val="0"/>
        <w:kinsoku/>
        <w:wordWrap/>
        <w:overflowPunct/>
        <w:topLinePunct w:val="0"/>
        <w:autoSpaceDE/>
        <w:autoSpaceDN/>
        <w:bidi w:val="0"/>
        <w:adjustRightInd/>
        <w:snapToGrid/>
        <w:spacing w:line="360" w:lineRule="auto"/>
        <w:ind w:firstLine="361" w:firstLineChars="200"/>
        <w:jc w:val="both"/>
        <w:textAlignment w:val="auto"/>
      </w:pPr>
      <w:r>
        <w:rPr>
          <w:rFonts w:ascii="仿宋_GB2312" w:hAnsi="仿宋_GB2312" w:eastAsia="仿宋_GB2312" w:cs="仿宋_GB2312"/>
          <w:b/>
          <w:sz w:val="18"/>
        </w:rPr>
        <w:t>6、维护保养与平战转换：</w:t>
      </w:r>
      <w:r>
        <w:rPr>
          <w:rFonts w:ascii="仿宋_GB2312" w:hAnsi="仿宋_GB2312" w:eastAsia="仿宋_GB2312" w:cs="仿宋_GB2312"/>
          <w:sz w:val="18"/>
        </w:rPr>
        <w:t>日常巡检、定期维保、大修更换、战时快速转换、应急封堵、设备报废更新、全生命周期质量管控等；</w:t>
      </w:r>
    </w:p>
    <w:p w14:paraId="56624ECD">
      <w:pPr>
        <w:pStyle w:val="4"/>
        <w:keepNext w:val="0"/>
        <w:keepLines w:val="0"/>
        <w:pageBreakBefore w:val="0"/>
        <w:kinsoku/>
        <w:wordWrap/>
        <w:overflowPunct/>
        <w:topLinePunct w:val="0"/>
        <w:autoSpaceDE/>
        <w:autoSpaceDN/>
        <w:bidi w:val="0"/>
        <w:adjustRightInd/>
        <w:snapToGrid/>
        <w:spacing w:line="360" w:lineRule="auto"/>
        <w:ind w:firstLine="361" w:firstLineChars="200"/>
        <w:jc w:val="both"/>
        <w:textAlignment w:val="auto"/>
      </w:pPr>
      <w:r>
        <w:rPr>
          <w:rFonts w:ascii="仿宋_GB2312" w:hAnsi="仿宋_GB2312" w:eastAsia="仿宋_GB2312" w:cs="仿宋_GB2312"/>
          <w:b/>
          <w:sz w:val="18"/>
        </w:rPr>
        <w:t>7、监督管理与责任体系：</w:t>
      </w:r>
      <w:r>
        <w:rPr>
          <w:rFonts w:ascii="仿宋_GB2312" w:hAnsi="仿宋_GB2312" w:eastAsia="仿宋_GB2312" w:cs="仿宋_GB2312"/>
          <w:sz w:val="18"/>
        </w:rPr>
        <w:t>企业备案、进场核验、全过程监理、质量终身追责、隐患排查、行政执法配套技术口径等；</w:t>
      </w:r>
    </w:p>
    <w:p w14:paraId="41015AD5">
      <w:pPr>
        <w:pStyle w:val="4"/>
        <w:keepNext w:val="0"/>
        <w:keepLines w:val="0"/>
        <w:pageBreakBefore w:val="0"/>
        <w:kinsoku/>
        <w:wordWrap/>
        <w:overflowPunct/>
        <w:topLinePunct w:val="0"/>
        <w:autoSpaceDE/>
        <w:autoSpaceDN/>
        <w:bidi w:val="0"/>
        <w:adjustRightInd/>
        <w:snapToGrid/>
        <w:spacing w:line="360" w:lineRule="auto"/>
        <w:ind w:firstLine="361" w:firstLineChars="200"/>
        <w:jc w:val="both"/>
        <w:textAlignment w:val="auto"/>
      </w:pPr>
      <w:r>
        <w:rPr>
          <w:rFonts w:ascii="仿宋_GB2312" w:hAnsi="仿宋_GB2312" w:eastAsia="仿宋_GB2312" w:cs="仿宋_GB2312"/>
          <w:b/>
          <w:sz w:val="18"/>
        </w:rPr>
        <w:t>8、附图、附表、案例附录：</w:t>
      </w:r>
      <w:r>
        <w:rPr>
          <w:rFonts w:ascii="仿宋_GB2312" w:hAnsi="仿宋_GB2312" w:eastAsia="仿宋_GB2312" w:cs="仿宋_GB2312"/>
          <w:sz w:val="18"/>
        </w:rPr>
        <w:t>典型节点详图、常用参数表、陕西本地工程实操案例、问题整改指引等。</w:t>
      </w:r>
    </w:p>
    <w:p w14:paraId="39A61049">
      <w:pPr>
        <w:pStyle w:val="4"/>
        <w:keepNext w:val="0"/>
        <w:keepLines w:val="0"/>
        <w:pageBreakBefore w:val="0"/>
        <w:kinsoku/>
        <w:wordWrap/>
        <w:overflowPunct/>
        <w:topLinePunct w:val="0"/>
        <w:autoSpaceDE/>
        <w:autoSpaceDN/>
        <w:bidi w:val="0"/>
        <w:adjustRightInd/>
        <w:snapToGrid/>
        <w:spacing w:line="360" w:lineRule="auto"/>
        <w:ind w:firstLine="361" w:firstLineChars="200"/>
        <w:jc w:val="both"/>
        <w:textAlignment w:val="auto"/>
      </w:pPr>
      <w:r>
        <w:rPr>
          <w:rFonts w:ascii="仿宋_GB2312" w:hAnsi="仿宋_GB2312" w:eastAsia="仿宋_GB2312" w:cs="仿宋_GB2312"/>
          <w:b/>
          <w:sz w:val="18"/>
        </w:rPr>
        <w:t>（四）编制质量要求</w:t>
      </w:r>
    </w:p>
    <w:p w14:paraId="45503AA6">
      <w:pPr>
        <w:pStyle w:val="4"/>
        <w:keepNext w:val="0"/>
        <w:keepLines w:val="0"/>
        <w:pageBreakBefore w:val="0"/>
        <w:kinsoku/>
        <w:wordWrap/>
        <w:overflowPunct/>
        <w:topLinePunct w:val="0"/>
        <w:autoSpaceDE/>
        <w:autoSpaceDN/>
        <w:bidi w:val="0"/>
        <w:adjustRightInd/>
        <w:snapToGrid/>
        <w:spacing w:line="360" w:lineRule="auto"/>
        <w:ind w:firstLine="361" w:firstLineChars="200"/>
        <w:jc w:val="both"/>
        <w:textAlignment w:val="auto"/>
      </w:pPr>
      <w:r>
        <w:rPr>
          <w:rFonts w:ascii="仿宋_GB2312" w:hAnsi="仿宋_GB2312" w:eastAsia="仿宋_GB2312" w:cs="仿宋_GB2312"/>
          <w:b/>
          <w:sz w:val="18"/>
        </w:rPr>
        <w:t>1、合规性：</w:t>
      </w:r>
      <w:r>
        <w:rPr>
          <w:rFonts w:ascii="仿宋_GB2312" w:hAnsi="仿宋_GB2312" w:eastAsia="仿宋_GB2312" w:cs="仿宋_GB2312"/>
          <w:sz w:val="18"/>
        </w:rPr>
        <w:t>严格遵循国家及陕西省现行法律法规、标准规范，确保内容合法、合规、有效，与最新政策保持一致；</w:t>
      </w:r>
    </w:p>
    <w:p w14:paraId="4EA5D083">
      <w:pPr>
        <w:pStyle w:val="4"/>
        <w:keepNext w:val="0"/>
        <w:keepLines w:val="0"/>
        <w:pageBreakBefore w:val="0"/>
        <w:kinsoku/>
        <w:wordWrap/>
        <w:overflowPunct/>
        <w:topLinePunct w:val="0"/>
        <w:autoSpaceDE/>
        <w:autoSpaceDN/>
        <w:bidi w:val="0"/>
        <w:adjustRightInd/>
        <w:snapToGrid/>
        <w:spacing w:line="360" w:lineRule="auto"/>
        <w:ind w:firstLine="361" w:firstLineChars="200"/>
        <w:jc w:val="both"/>
        <w:textAlignment w:val="auto"/>
      </w:pPr>
      <w:r>
        <w:rPr>
          <w:rFonts w:ascii="仿宋_GB2312" w:hAnsi="仿宋_GB2312" w:eastAsia="仿宋_GB2312" w:cs="仿宋_GB2312"/>
          <w:b/>
          <w:sz w:val="18"/>
        </w:rPr>
        <w:t>2、针对性：</w:t>
      </w:r>
      <w:r>
        <w:rPr>
          <w:rFonts w:ascii="仿宋_GB2312" w:hAnsi="仿宋_GB2312" w:eastAsia="仿宋_GB2312" w:cs="仿宋_GB2312"/>
          <w:sz w:val="18"/>
        </w:rPr>
        <w:t>结合陕西省地域特点、人防工程建设实际及防护设备应用现状，解决本省突出技术问题，内容贴合本地需求，具备地方适用性；</w:t>
      </w:r>
    </w:p>
    <w:p w14:paraId="5A7DB7A3">
      <w:pPr>
        <w:pStyle w:val="4"/>
        <w:keepNext w:val="0"/>
        <w:keepLines w:val="0"/>
        <w:pageBreakBefore w:val="0"/>
        <w:kinsoku/>
        <w:wordWrap/>
        <w:overflowPunct/>
        <w:topLinePunct w:val="0"/>
        <w:autoSpaceDE/>
        <w:autoSpaceDN/>
        <w:bidi w:val="0"/>
        <w:adjustRightInd/>
        <w:snapToGrid/>
        <w:spacing w:line="360" w:lineRule="auto"/>
        <w:ind w:firstLine="361" w:firstLineChars="200"/>
        <w:jc w:val="both"/>
        <w:textAlignment w:val="auto"/>
      </w:pPr>
      <w:r>
        <w:rPr>
          <w:rFonts w:ascii="仿宋_GB2312" w:hAnsi="仿宋_GB2312" w:eastAsia="仿宋_GB2312" w:cs="仿宋_GB2312"/>
          <w:b/>
          <w:sz w:val="18"/>
        </w:rPr>
        <w:t>3、实用性：</w:t>
      </w:r>
      <w:r>
        <w:rPr>
          <w:rFonts w:ascii="仿宋_GB2312" w:hAnsi="仿宋_GB2312" w:eastAsia="仿宋_GB2312" w:cs="仿宋_GB2312"/>
          <w:sz w:val="18"/>
        </w:rPr>
        <w:t>内容全面、条理清晰、逻辑严谨，技术要求明确、操作流程具体、语言通俗易懂，便于设计、施工、监理、检测及监管人员理解和执行；</w:t>
      </w:r>
    </w:p>
    <w:p w14:paraId="4995A94A">
      <w:pPr>
        <w:pStyle w:val="4"/>
        <w:keepNext w:val="0"/>
        <w:keepLines w:val="0"/>
        <w:pageBreakBefore w:val="0"/>
        <w:kinsoku/>
        <w:wordWrap/>
        <w:overflowPunct/>
        <w:topLinePunct w:val="0"/>
        <w:autoSpaceDE/>
        <w:autoSpaceDN/>
        <w:bidi w:val="0"/>
        <w:adjustRightInd/>
        <w:snapToGrid/>
        <w:spacing w:line="360" w:lineRule="auto"/>
        <w:ind w:firstLine="361" w:firstLineChars="200"/>
        <w:jc w:val="both"/>
        <w:textAlignment w:val="auto"/>
      </w:pPr>
      <w:r>
        <w:rPr>
          <w:rFonts w:ascii="仿宋_GB2312" w:hAnsi="仿宋_GB2312" w:eastAsia="仿宋_GB2312" w:cs="仿宋_GB2312"/>
          <w:b/>
          <w:sz w:val="18"/>
        </w:rPr>
        <w:t>4、先进性：</w:t>
      </w:r>
      <w:r>
        <w:rPr>
          <w:rFonts w:ascii="仿宋_GB2312" w:hAnsi="仿宋_GB2312" w:eastAsia="仿宋_GB2312" w:cs="仿宋_GB2312"/>
          <w:sz w:val="18"/>
        </w:rPr>
        <w:t>融入人防防护设备新技术、新材料、新工艺、新方法，符合行业发展趋势，具备前瞻性和指导性；</w:t>
      </w:r>
    </w:p>
    <w:p w14:paraId="4C771ECA">
      <w:pPr>
        <w:pStyle w:val="4"/>
        <w:keepNext w:val="0"/>
        <w:keepLines w:val="0"/>
        <w:pageBreakBefore w:val="0"/>
        <w:kinsoku/>
        <w:wordWrap/>
        <w:overflowPunct/>
        <w:topLinePunct w:val="0"/>
        <w:autoSpaceDE/>
        <w:autoSpaceDN/>
        <w:bidi w:val="0"/>
        <w:adjustRightInd/>
        <w:snapToGrid/>
        <w:spacing w:line="360" w:lineRule="auto"/>
        <w:ind w:firstLine="361" w:firstLineChars="200"/>
        <w:jc w:val="both"/>
        <w:textAlignment w:val="auto"/>
      </w:pPr>
      <w:r>
        <w:rPr>
          <w:rFonts w:ascii="仿宋_GB2312" w:hAnsi="仿宋_GB2312" w:eastAsia="仿宋_GB2312" w:cs="仿宋_GB2312"/>
          <w:b/>
          <w:sz w:val="18"/>
        </w:rPr>
        <w:t>5、规范性：</w:t>
      </w:r>
      <w:r>
        <w:rPr>
          <w:rFonts w:ascii="仿宋_GB2312" w:hAnsi="仿宋_GB2312" w:eastAsia="仿宋_GB2312" w:cs="仿宋_GB2312"/>
          <w:sz w:val="18"/>
        </w:rPr>
        <w:t>文本格式、术语、符号、计量单位符合国家标准化要求，图表清晰、数据准确、引用标准现行有效。</w:t>
      </w:r>
    </w:p>
    <w:p w14:paraId="3ABD6D22">
      <w:pPr>
        <w:pStyle w:val="4"/>
        <w:keepNext w:val="0"/>
        <w:keepLines w:val="0"/>
        <w:pageBreakBefore w:val="0"/>
        <w:kinsoku/>
        <w:wordWrap/>
        <w:overflowPunct/>
        <w:topLinePunct w:val="0"/>
        <w:autoSpaceDE/>
        <w:autoSpaceDN/>
        <w:bidi w:val="0"/>
        <w:adjustRightInd/>
        <w:snapToGrid/>
        <w:spacing w:line="360" w:lineRule="auto"/>
        <w:ind w:firstLine="361" w:firstLineChars="200"/>
        <w:jc w:val="both"/>
        <w:textAlignment w:val="auto"/>
      </w:pPr>
      <w:r>
        <w:rPr>
          <w:rFonts w:ascii="仿宋_GB2312" w:hAnsi="仿宋_GB2312" w:eastAsia="仿宋_GB2312" w:cs="仿宋_GB2312"/>
          <w:b/>
          <w:sz w:val="18"/>
        </w:rPr>
        <w:t>三、服务内容及成果交付</w:t>
      </w:r>
    </w:p>
    <w:p w14:paraId="7E773EAD">
      <w:pPr>
        <w:pStyle w:val="4"/>
        <w:keepNext w:val="0"/>
        <w:keepLines w:val="0"/>
        <w:pageBreakBefore w:val="0"/>
        <w:kinsoku/>
        <w:wordWrap/>
        <w:overflowPunct/>
        <w:topLinePunct w:val="0"/>
        <w:autoSpaceDE/>
        <w:autoSpaceDN/>
        <w:bidi w:val="0"/>
        <w:adjustRightInd/>
        <w:snapToGrid/>
        <w:spacing w:line="360" w:lineRule="auto"/>
        <w:ind w:firstLine="361" w:firstLineChars="200"/>
        <w:jc w:val="both"/>
        <w:textAlignment w:val="auto"/>
      </w:pPr>
      <w:r>
        <w:rPr>
          <w:rFonts w:ascii="仿宋_GB2312" w:hAnsi="仿宋_GB2312" w:eastAsia="仿宋_GB2312" w:cs="仿宋_GB2312"/>
          <w:b/>
          <w:sz w:val="18"/>
        </w:rPr>
        <w:t>（一）服务内容</w:t>
      </w:r>
    </w:p>
    <w:p w14:paraId="673BB82D">
      <w:pPr>
        <w:pStyle w:val="4"/>
        <w:keepNext w:val="0"/>
        <w:keepLines w:val="0"/>
        <w:pageBreakBefore w:val="0"/>
        <w:kinsoku/>
        <w:wordWrap/>
        <w:overflowPunct/>
        <w:topLinePunct w:val="0"/>
        <w:autoSpaceDE/>
        <w:autoSpaceDN/>
        <w:bidi w:val="0"/>
        <w:adjustRightInd/>
        <w:snapToGrid/>
        <w:spacing w:line="360" w:lineRule="auto"/>
        <w:ind w:firstLine="361" w:firstLineChars="200"/>
        <w:jc w:val="both"/>
        <w:textAlignment w:val="auto"/>
      </w:pPr>
      <w:r>
        <w:rPr>
          <w:rFonts w:ascii="仿宋_GB2312" w:hAnsi="仿宋_GB2312" w:eastAsia="仿宋_GB2312" w:cs="仿宋_GB2312"/>
          <w:b/>
          <w:sz w:val="18"/>
        </w:rPr>
        <w:t>1、调研阶段：</w:t>
      </w:r>
      <w:r>
        <w:rPr>
          <w:rFonts w:ascii="仿宋_GB2312" w:hAnsi="仿宋_GB2312" w:eastAsia="仿宋_GB2312" w:cs="仿宋_GB2312"/>
          <w:sz w:val="18"/>
        </w:rPr>
        <w:t>全面调研陕西省人防防护设备生产企业、安装企业、人防工程建设项目、监管部门现状，收集相关资料、数据、案例及技术需求，形成调研纪要；</w:t>
      </w:r>
    </w:p>
    <w:p w14:paraId="51723739">
      <w:pPr>
        <w:pStyle w:val="4"/>
        <w:keepNext w:val="0"/>
        <w:keepLines w:val="0"/>
        <w:pageBreakBefore w:val="0"/>
        <w:kinsoku/>
        <w:wordWrap/>
        <w:overflowPunct/>
        <w:topLinePunct w:val="0"/>
        <w:autoSpaceDE/>
        <w:autoSpaceDN/>
        <w:bidi w:val="0"/>
        <w:adjustRightInd/>
        <w:snapToGrid/>
        <w:spacing w:line="360" w:lineRule="auto"/>
        <w:ind w:firstLine="361" w:firstLineChars="200"/>
        <w:jc w:val="both"/>
        <w:textAlignment w:val="auto"/>
      </w:pPr>
      <w:r>
        <w:rPr>
          <w:rFonts w:ascii="仿宋_GB2312" w:hAnsi="仿宋_GB2312" w:eastAsia="仿宋_GB2312" w:cs="仿宋_GB2312"/>
          <w:b/>
          <w:sz w:val="18"/>
        </w:rPr>
        <w:t>2、编制起草阶段：</w:t>
      </w:r>
      <w:r>
        <w:rPr>
          <w:rFonts w:ascii="仿宋_GB2312" w:hAnsi="仿宋_GB2312" w:eastAsia="仿宋_GB2312" w:cs="仿宋_GB2312"/>
          <w:sz w:val="18"/>
        </w:rPr>
        <w:t>按照编制依据及内容要求，完成技术指导初稿编制；组织内部审核、修改完善，形成征求意见稿；</w:t>
      </w:r>
    </w:p>
    <w:p w14:paraId="2A5DB7D3">
      <w:pPr>
        <w:pStyle w:val="4"/>
        <w:keepNext w:val="0"/>
        <w:keepLines w:val="0"/>
        <w:pageBreakBefore w:val="0"/>
        <w:kinsoku/>
        <w:wordWrap/>
        <w:overflowPunct/>
        <w:topLinePunct w:val="0"/>
        <w:autoSpaceDE/>
        <w:autoSpaceDN/>
        <w:bidi w:val="0"/>
        <w:adjustRightInd/>
        <w:snapToGrid/>
        <w:spacing w:line="360" w:lineRule="auto"/>
        <w:ind w:firstLine="361" w:firstLineChars="200"/>
        <w:jc w:val="both"/>
        <w:textAlignment w:val="auto"/>
      </w:pPr>
      <w:r>
        <w:rPr>
          <w:rFonts w:ascii="仿宋_GB2312" w:hAnsi="仿宋_GB2312" w:eastAsia="仿宋_GB2312" w:cs="仿宋_GB2312"/>
          <w:b/>
          <w:sz w:val="18"/>
        </w:rPr>
        <w:t>3、公开征求意见阶段：</w:t>
      </w:r>
      <w:r>
        <w:rPr>
          <w:rFonts w:ascii="仿宋_GB2312" w:hAnsi="仿宋_GB2312" w:eastAsia="仿宋_GB2312" w:cs="仿宋_GB2312"/>
          <w:sz w:val="18"/>
        </w:rPr>
        <w:t>向陕西省各级人防主管部门、生产企业、安装企业、设计单位、监理单位、检测机构等相关单位征求意见，汇总意见并修改完善，形成送审稿；</w:t>
      </w:r>
    </w:p>
    <w:p w14:paraId="24EFA5B3">
      <w:pPr>
        <w:pStyle w:val="4"/>
        <w:keepNext w:val="0"/>
        <w:keepLines w:val="0"/>
        <w:pageBreakBefore w:val="0"/>
        <w:kinsoku/>
        <w:wordWrap/>
        <w:overflowPunct/>
        <w:topLinePunct w:val="0"/>
        <w:autoSpaceDE/>
        <w:autoSpaceDN/>
        <w:bidi w:val="0"/>
        <w:adjustRightInd/>
        <w:snapToGrid/>
        <w:spacing w:line="360" w:lineRule="auto"/>
        <w:ind w:firstLine="361" w:firstLineChars="200"/>
        <w:jc w:val="both"/>
        <w:textAlignment w:val="auto"/>
      </w:pPr>
      <w:r>
        <w:rPr>
          <w:rFonts w:ascii="仿宋_GB2312" w:hAnsi="仿宋_GB2312" w:eastAsia="仿宋_GB2312" w:cs="仿宋_GB2312"/>
          <w:b/>
          <w:sz w:val="18"/>
        </w:rPr>
        <w:t>4、组织研讨、评审阶段：</w:t>
      </w:r>
      <w:r>
        <w:rPr>
          <w:rFonts w:ascii="仿宋_GB2312" w:hAnsi="仿宋_GB2312" w:eastAsia="仿宋_GB2312" w:cs="仿宋_GB2312"/>
          <w:sz w:val="18"/>
        </w:rPr>
        <w:t>配合采购人组织行业专家对送审稿进行研讨、评审，根据评审意见修改完善，形成报批稿；</w:t>
      </w:r>
    </w:p>
    <w:p w14:paraId="3DD67943">
      <w:pPr>
        <w:pStyle w:val="4"/>
        <w:keepNext w:val="0"/>
        <w:keepLines w:val="0"/>
        <w:pageBreakBefore w:val="0"/>
        <w:kinsoku/>
        <w:wordWrap/>
        <w:overflowPunct/>
        <w:topLinePunct w:val="0"/>
        <w:autoSpaceDE/>
        <w:autoSpaceDN/>
        <w:bidi w:val="0"/>
        <w:adjustRightInd/>
        <w:snapToGrid/>
        <w:spacing w:line="360" w:lineRule="auto"/>
        <w:ind w:firstLine="361" w:firstLineChars="200"/>
        <w:jc w:val="both"/>
        <w:textAlignment w:val="auto"/>
      </w:pPr>
      <w:r>
        <w:rPr>
          <w:rFonts w:ascii="仿宋_GB2312" w:hAnsi="仿宋_GB2312" w:eastAsia="仿宋_GB2312" w:cs="仿宋_GB2312"/>
          <w:b/>
          <w:sz w:val="18"/>
        </w:rPr>
        <w:t>5、报批阶段：</w:t>
      </w:r>
      <w:r>
        <w:rPr>
          <w:rFonts w:ascii="仿宋_GB2312" w:hAnsi="仿宋_GB2312" w:eastAsia="仿宋_GB2312" w:cs="仿宋_GB2312"/>
          <w:sz w:val="18"/>
        </w:rPr>
        <w:t>协助采购人完成报批稿的审批流程，根据审批意见最终修订，形成正式发布稿；</w:t>
      </w:r>
    </w:p>
    <w:p w14:paraId="1C1021FC">
      <w:pPr>
        <w:pStyle w:val="4"/>
        <w:keepNext w:val="0"/>
        <w:keepLines w:val="0"/>
        <w:pageBreakBefore w:val="0"/>
        <w:kinsoku/>
        <w:wordWrap/>
        <w:overflowPunct/>
        <w:topLinePunct w:val="0"/>
        <w:autoSpaceDE/>
        <w:autoSpaceDN/>
        <w:bidi w:val="0"/>
        <w:adjustRightInd/>
        <w:snapToGrid/>
        <w:spacing w:line="360" w:lineRule="auto"/>
        <w:ind w:firstLine="361" w:firstLineChars="200"/>
        <w:jc w:val="both"/>
        <w:textAlignment w:val="auto"/>
      </w:pPr>
      <w:r>
        <w:rPr>
          <w:rFonts w:ascii="仿宋_GB2312" w:hAnsi="仿宋_GB2312" w:eastAsia="仿宋_GB2312" w:cs="仿宋_GB2312"/>
          <w:b/>
          <w:sz w:val="18"/>
        </w:rPr>
        <w:t>6、交付及宣贯阶段：</w:t>
      </w:r>
      <w:r>
        <w:rPr>
          <w:rFonts w:ascii="仿宋_GB2312" w:hAnsi="仿宋_GB2312" w:eastAsia="仿宋_GB2312" w:cs="仿宋_GB2312"/>
          <w:sz w:val="18"/>
        </w:rPr>
        <w:t>提交正式成果，配合采购人开展全省宣贯培训，覆盖各地市人防主管部门及相关企业），提供12个月免费技术咨询服务。</w:t>
      </w:r>
    </w:p>
    <w:p w14:paraId="09194783">
      <w:pPr>
        <w:pStyle w:val="4"/>
        <w:keepNext w:val="0"/>
        <w:keepLines w:val="0"/>
        <w:pageBreakBefore w:val="0"/>
        <w:kinsoku/>
        <w:wordWrap/>
        <w:overflowPunct/>
        <w:topLinePunct w:val="0"/>
        <w:autoSpaceDE/>
        <w:autoSpaceDN/>
        <w:bidi w:val="0"/>
        <w:adjustRightInd/>
        <w:snapToGrid/>
        <w:spacing w:line="360" w:lineRule="auto"/>
        <w:ind w:firstLine="361" w:firstLineChars="200"/>
        <w:jc w:val="both"/>
        <w:textAlignment w:val="auto"/>
      </w:pPr>
      <w:r>
        <w:rPr>
          <w:rFonts w:ascii="仿宋_GB2312" w:hAnsi="仿宋_GB2312" w:eastAsia="仿宋_GB2312" w:cs="仿宋_GB2312"/>
          <w:b/>
          <w:sz w:val="18"/>
        </w:rPr>
        <w:t>（二）成果交付</w:t>
      </w:r>
    </w:p>
    <w:p w14:paraId="227799E7">
      <w:pPr>
        <w:pStyle w:val="4"/>
        <w:keepNext w:val="0"/>
        <w:keepLines w:val="0"/>
        <w:pageBreakBefore w:val="0"/>
        <w:kinsoku/>
        <w:wordWrap/>
        <w:overflowPunct/>
        <w:topLinePunct w:val="0"/>
        <w:autoSpaceDE/>
        <w:autoSpaceDN/>
        <w:bidi w:val="0"/>
        <w:adjustRightInd/>
        <w:snapToGrid/>
        <w:spacing w:line="360" w:lineRule="auto"/>
        <w:ind w:firstLine="361" w:firstLineChars="200"/>
        <w:jc w:val="both"/>
        <w:textAlignment w:val="auto"/>
      </w:pPr>
      <w:r>
        <w:rPr>
          <w:rFonts w:ascii="仿宋_GB2312" w:hAnsi="仿宋_GB2312" w:eastAsia="仿宋_GB2312" w:cs="仿宋_GB2312"/>
          <w:b/>
          <w:sz w:val="18"/>
        </w:rPr>
        <w:t>1、纸质文件：</w:t>
      </w:r>
      <w:r>
        <w:rPr>
          <w:rFonts w:ascii="仿宋_GB2312" w:hAnsi="仿宋_GB2312" w:eastAsia="仿宋_GB2312" w:cs="仿宋_GB2312"/>
          <w:sz w:val="18"/>
        </w:rPr>
        <w:t>《陕西省人民防空防护设备技术指导》正式文本（精装，10 份）、调研纪要（2 份）、征求意见汇总表（2 份）、专家评审意见及修改说明（2 份）、报批文件（2 份）；</w:t>
      </w:r>
    </w:p>
    <w:p w14:paraId="338F790F">
      <w:pPr>
        <w:pStyle w:val="4"/>
        <w:keepNext w:val="0"/>
        <w:keepLines w:val="0"/>
        <w:pageBreakBefore w:val="0"/>
        <w:kinsoku/>
        <w:wordWrap/>
        <w:overflowPunct/>
        <w:topLinePunct w:val="0"/>
        <w:autoSpaceDE/>
        <w:autoSpaceDN/>
        <w:bidi w:val="0"/>
        <w:adjustRightInd/>
        <w:snapToGrid/>
        <w:spacing w:line="360" w:lineRule="auto"/>
        <w:ind w:firstLine="361" w:firstLineChars="200"/>
        <w:jc w:val="both"/>
        <w:textAlignment w:val="auto"/>
      </w:pPr>
      <w:r>
        <w:rPr>
          <w:rFonts w:ascii="仿宋_GB2312" w:hAnsi="仿宋_GB2312" w:eastAsia="仿宋_GB2312" w:cs="仿宋_GB2312"/>
          <w:b/>
          <w:sz w:val="18"/>
        </w:rPr>
        <w:t>2、电子文件：</w:t>
      </w:r>
      <w:r>
        <w:rPr>
          <w:rFonts w:ascii="仿宋_GB2312" w:hAnsi="仿宋_GB2312" w:eastAsia="仿宋_GB2312" w:cs="仿宋_GB2312"/>
          <w:sz w:val="18"/>
        </w:rPr>
        <w:t>全部成果电子版（含可编辑文档、PDF 版、图表源文件），存储于 U 盘（2 套），确保内容完整、无病毒、可正常读取；</w:t>
      </w:r>
    </w:p>
    <w:p w14:paraId="3BD2AA21">
      <w:pPr>
        <w:pStyle w:val="4"/>
        <w:keepNext w:val="0"/>
        <w:keepLines w:val="0"/>
        <w:pageBreakBefore w:val="0"/>
        <w:kinsoku/>
        <w:wordWrap/>
        <w:overflowPunct/>
        <w:topLinePunct w:val="0"/>
        <w:autoSpaceDE/>
        <w:autoSpaceDN/>
        <w:bidi w:val="0"/>
        <w:adjustRightInd/>
        <w:snapToGrid/>
        <w:spacing w:line="360" w:lineRule="auto"/>
        <w:ind w:firstLine="361" w:firstLineChars="200"/>
        <w:jc w:val="both"/>
        <w:textAlignment w:val="auto"/>
      </w:pPr>
      <w:r>
        <w:rPr>
          <w:rFonts w:ascii="仿宋_GB2312" w:hAnsi="仿宋_GB2312" w:eastAsia="仿宋_GB2312" w:cs="仿宋_GB2312"/>
          <w:b/>
          <w:sz w:val="18"/>
        </w:rPr>
        <w:t>3、宣贯资料：</w:t>
      </w:r>
      <w:r>
        <w:rPr>
          <w:rFonts w:ascii="仿宋_GB2312" w:hAnsi="仿宋_GB2312" w:eastAsia="仿宋_GB2312" w:cs="仿宋_GB2312"/>
          <w:sz w:val="18"/>
        </w:rPr>
        <w:t>宣贯培训 PPT 课件、培训讲义（电子版+纸质版，按需提供）。</w:t>
      </w:r>
    </w:p>
    <w:p w14:paraId="5DC5D0FD">
      <w:pPr>
        <w:pStyle w:val="4"/>
        <w:keepNext w:val="0"/>
        <w:keepLines w:val="0"/>
        <w:pageBreakBefore w:val="0"/>
        <w:kinsoku/>
        <w:wordWrap/>
        <w:overflowPunct/>
        <w:topLinePunct w:val="0"/>
        <w:autoSpaceDE/>
        <w:autoSpaceDN/>
        <w:bidi w:val="0"/>
        <w:adjustRightInd/>
        <w:snapToGrid/>
        <w:spacing w:line="360" w:lineRule="auto"/>
        <w:ind w:firstLine="361" w:firstLineChars="200"/>
        <w:jc w:val="both"/>
        <w:textAlignment w:val="auto"/>
      </w:pPr>
      <w:r>
        <w:rPr>
          <w:rFonts w:ascii="仿宋_GB2312" w:hAnsi="仿宋_GB2312" w:eastAsia="仿宋_GB2312" w:cs="仿宋_GB2312"/>
          <w:b/>
          <w:sz w:val="18"/>
        </w:rPr>
        <w:t>四、商务要求</w:t>
      </w:r>
    </w:p>
    <w:p w14:paraId="1BF54B48">
      <w:pPr>
        <w:pStyle w:val="4"/>
        <w:keepNext w:val="0"/>
        <w:keepLines w:val="0"/>
        <w:pageBreakBefore w:val="0"/>
        <w:kinsoku/>
        <w:wordWrap/>
        <w:overflowPunct/>
        <w:topLinePunct w:val="0"/>
        <w:autoSpaceDE/>
        <w:autoSpaceDN/>
        <w:bidi w:val="0"/>
        <w:adjustRightInd/>
        <w:snapToGrid/>
        <w:spacing w:line="360" w:lineRule="auto"/>
        <w:ind w:firstLine="361" w:firstLineChars="200"/>
        <w:jc w:val="both"/>
        <w:textAlignment w:val="auto"/>
      </w:pPr>
      <w:r>
        <w:rPr>
          <w:rFonts w:ascii="仿宋_GB2312" w:hAnsi="仿宋_GB2312" w:eastAsia="仿宋_GB2312" w:cs="仿宋_GB2312"/>
          <w:b/>
          <w:sz w:val="18"/>
        </w:rPr>
        <w:t>（一）付款方式</w:t>
      </w:r>
    </w:p>
    <w:p w14:paraId="429247C2">
      <w:pPr>
        <w:pStyle w:val="4"/>
        <w:keepNext w:val="0"/>
        <w:keepLines w:val="0"/>
        <w:pageBreakBefore w:val="0"/>
        <w:kinsoku/>
        <w:wordWrap/>
        <w:overflowPunct/>
        <w:topLinePunct w:val="0"/>
        <w:autoSpaceDE/>
        <w:autoSpaceDN/>
        <w:bidi w:val="0"/>
        <w:adjustRightInd/>
        <w:snapToGrid/>
        <w:spacing w:line="360" w:lineRule="auto"/>
        <w:ind w:firstLine="360" w:firstLineChars="200"/>
        <w:textAlignment w:val="auto"/>
      </w:pPr>
      <w:r>
        <w:rPr>
          <w:rFonts w:ascii="仿宋_GB2312" w:hAnsi="仿宋_GB2312" w:eastAsia="仿宋_GB2312" w:cs="仿宋_GB2312"/>
          <w:sz w:val="18"/>
        </w:rPr>
        <w:t>1、合同签订后支付合同总金额的 60.00%。</w:t>
      </w:r>
    </w:p>
    <w:p w14:paraId="7334F7E5">
      <w:pPr>
        <w:pStyle w:val="4"/>
        <w:keepNext w:val="0"/>
        <w:keepLines w:val="0"/>
        <w:pageBreakBefore w:val="0"/>
        <w:kinsoku/>
        <w:wordWrap/>
        <w:overflowPunct/>
        <w:topLinePunct w:val="0"/>
        <w:autoSpaceDE/>
        <w:autoSpaceDN/>
        <w:bidi w:val="0"/>
        <w:adjustRightInd/>
        <w:snapToGrid/>
        <w:spacing w:line="360" w:lineRule="auto"/>
        <w:ind w:firstLine="360" w:firstLineChars="200"/>
        <w:textAlignment w:val="auto"/>
      </w:pPr>
      <w:r>
        <w:rPr>
          <w:rFonts w:ascii="仿宋_GB2312" w:hAnsi="仿宋_GB2312" w:eastAsia="仿宋_GB2312" w:cs="仿宋_GB2312"/>
          <w:sz w:val="18"/>
        </w:rPr>
        <w:t>2、完成全部服务并经甲方验收合格支付合同总金额的 40.00%。</w:t>
      </w:r>
    </w:p>
    <w:p w14:paraId="714DE065">
      <w:pPr>
        <w:pStyle w:val="4"/>
        <w:keepNext w:val="0"/>
        <w:keepLines w:val="0"/>
        <w:pageBreakBefore w:val="0"/>
        <w:kinsoku/>
        <w:wordWrap/>
        <w:overflowPunct/>
        <w:topLinePunct w:val="0"/>
        <w:autoSpaceDE/>
        <w:autoSpaceDN/>
        <w:bidi w:val="0"/>
        <w:adjustRightInd/>
        <w:snapToGrid/>
        <w:spacing w:line="360" w:lineRule="auto"/>
        <w:ind w:firstLine="361" w:firstLineChars="200"/>
        <w:jc w:val="both"/>
        <w:textAlignment w:val="auto"/>
      </w:pPr>
      <w:r>
        <w:rPr>
          <w:rFonts w:ascii="仿宋_GB2312" w:hAnsi="仿宋_GB2312" w:eastAsia="仿宋_GB2312" w:cs="仿宋_GB2312"/>
          <w:b/>
          <w:sz w:val="18"/>
        </w:rPr>
        <w:t>（二）验收标准</w:t>
      </w:r>
    </w:p>
    <w:p w14:paraId="40345FA0">
      <w:pPr>
        <w:pStyle w:val="4"/>
        <w:keepNext w:val="0"/>
        <w:keepLines w:val="0"/>
        <w:pageBreakBefore w:val="0"/>
        <w:kinsoku/>
        <w:wordWrap/>
        <w:overflowPunct/>
        <w:topLinePunct w:val="0"/>
        <w:autoSpaceDE/>
        <w:autoSpaceDN/>
        <w:bidi w:val="0"/>
        <w:adjustRightInd/>
        <w:snapToGrid/>
        <w:spacing w:line="360" w:lineRule="auto"/>
        <w:ind w:firstLine="360" w:firstLineChars="200"/>
        <w:jc w:val="both"/>
        <w:textAlignment w:val="auto"/>
      </w:pPr>
      <w:r>
        <w:rPr>
          <w:rFonts w:ascii="仿宋_GB2312" w:hAnsi="仿宋_GB2312" w:eastAsia="仿宋_GB2312" w:cs="仿宋_GB2312"/>
          <w:sz w:val="18"/>
        </w:rPr>
        <w:t>1、验收依据：①合同文本；②磋商文件及澄清函、磋商响应文件；③国家和行业制定的相应的标准和规范。</w:t>
      </w:r>
    </w:p>
    <w:p w14:paraId="66677A3A">
      <w:pPr>
        <w:pStyle w:val="4"/>
        <w:keepNext w:val="0"/>
        <w:keepLines w:val="0"/>
        <w:pageBreakBefore w:val="0"/>
        <w:kinsoku/>
        <w:wordWrap/>
        <w:overflowPunct/>
        <w:topLinePunct w:val="0"/>
        <w:autoSpaceDE/>
        <w:autoSpaceDN/>
        <w:bidi w:val="0"/>
        <w:adjustRightInd/>
        <w:snapToGrid/>
        <w:spacing w:line="360" w:lineRule="auto"/>
        <w:ind w:firstLine="360" w:firstLineChars="200"/>
        <w:jc w:val="both"/>
        <w:textAlignment w:val="auto"/>
      </w:pPr>
      <w:r>
        <w:rPr>
          <w:rFonts w:ascii="仿宋_GB2312" w:hAnsi="仿宋_GB2312" w:eastAsia="仿宋_GB2312" w:cs="仿宋_GB2312"/>
          <w:sz w:val="18"/>
        </w:rPr>
        <w:t>2、验收合格条件：</w:t>
      </w:r>
    </w:p>
    <w:p w14:paraId="20AA5E32">
      <w:pPr>
        <w:pStyle w:val="4"/>
        <w:keepNext w:val="0"/>
        <w:keepLines w:val="0"/>
        <w:pageBreakBefore w:val="0"/>
        <w:kinsoku/>
        <w:wordWrap/>
        <w:overflowPunct/>
        <w:topLinePunct w:val="0"/>
        <w:autoSpaceDE/>
        <w:autoSpaceDN/>
        <w:bidi w:val="0"/>
        <w:adjustRightInd/>
        <w:snapToGrid/>
        <w:spacing w:line="360" w:lineRule="auto"/>
        <w:ind w:firstLine="360" w:firstLineChars="200"/>
        <w:jc w:val="both"/>
        <w:textAlignment w:val="auto"/>
      </w:pPr>
      <w:r>
        <w:rPr>
          <w:rFonts w:ascii="仿宋_GB2312" w:hAnsi="仿宋_GB2312" w:eastAsia="仿宋_GB2312" w:cs="仿宋_GB2312"/>
          <w:sz w:val="18"/>
        </w:rPr>
        <w:t>（1）成果内容完整、符合规范、满足采购人使用要求；</w:t>
      </w:r>
    </w:p>
    <w:p w14:paraId="78F3D256">
      <w:pPr>
        <w:pStyle w:val="4"/>
        <w:keepNext w:val="0"/>
        <w:keepLines w:val="0"/>
        <w:pageBreakBefore w:val="0"/>
        <w:kinsoku/>
        <w:wordWrap/>
        <w:overflowPunct/>
        <w:topLinePunct w:val="0"/>
        <w:autoSpaceDE/>
        <w:autoSpaceDN/>
        <w:bidi w:val="0"/>
        <w:adjustRightInd/>
        <w:snapToGrid/>
        <w:spacing w:line="360" w:lineRule="auto"/>
        <w:ind w:firstLine="360" w:firstLineChars="200"/>
        <w:jc w:val="both"/>
        <w:textAlignment w:val="auto"/>
      </w:pPr>
      <w:r>
        <w:rPr>
          <w:rFonts w:ascii="仿宋_GB2312" w:hAnsi="仿宋_GB2312" w:eastAsia="仿宋_GB2312" w:cs="仿宋_GB2312"/>
          <w:sz w:val="18"/>
        </w:rPr>
        <w:t>（2）通过专家评审；</w:t>
      </w:r>
    </w:p>
    <w:p w14:paraId="0B903C61">
      <w:pPr>
        <w:pStyle w:val="4"/>
        <w:keepNext w:val="0"/>
        <w:keepLines w:val="0"/>
        <w:pageBreakBefore w:val="0"/>
        <w:kinsoku/>
        <w:wordWrap/>
        <w:overflowPunct/>
        <w:topLinePunct w:val="0"/>
        <w:autoSpaceDE/>
        <w:autoSpaceDN/>
        <w:bidi w:val="0"/>
        <w:adjustRightInd/>
        <w:snapToGrid/>
        <w:spacing w:line="360" w:lineRule="auto"/>
        <w:ind w:firstLine="360" w:firstLineChars="200"/>
        <w:jc w:val="both"/>
        <w:textAlignment w:val="auto"/>
      </w:pPr>
      <w:r>
        <w:rPr>
          <w:rFonts w:ascii="仿宋_GB2312" w:hAnsi="仿宋_GB2312" w:eastAsia="仿宋_GB2312" w:cs="仿宋_GB2312"/>
          <w:sz w:val="18"/>
        </w:rPr>
        <w:t>（3）完成报批流程；</w:t>
      </w:r>
    </w:p>
    <w:p w14:paraId="4EDF40C7">
      <w:pPr>
        <w:pStyle w:val="4"/>
        <w:keepNext w:val="0"/>
        <w:keepLines w:val="0"/>
        <w:pageBreakBefore w:val="0"/>
        <w:kinsoku/>
        <w:wordWrap/>
        <w:overflowPunct/>
        <w:topLinePunct w:val="0"/>
        <w:autoSpaceDE/>
        <w:autoSpaceDN/>
        <w:bidi w:val="0"/>
        <w:adjustRightInd/>
        <w:snapToGrid/>
        <w:spacing w:line="360" w:lineRule="auto"/>
        <w:ind w:firstLine="360" w:firstLineChars="200"/>
        <w:jc w:val="both"/>
        <w:textAlignment w:val="auto"/>
      </w:pPr>
      <w:r>
        <w:rPr>
          <w:rFonts w:ascii="仿宋_GB2312" w:hAnsi="仿宋_GB2312" w:eastAsia="仿宋_GB2312" w:cs="仿宋_GB2312"/>
          <w:sz w:val="18"/>
        </w:rPr>
        <w:t>（4）全部成果提交齐全并经采购人确认。</w:t>
      </w:r>
    </w:p>
    <w:p w14:paraId="77E3DBAD">
      <w:pPr>
        <w:pStyle w:val="4"/>
        <w:keepNext w:val="0"/>
        <w:keepLines w:val="0"/>
        <w:pageBreakBefore w:val="0"/>
        <w:kinsoku/>
        <w:wordWrap/>
        <w:overflowPunct/>
        <w:topLinePunct w:val="0"/>
        <w:autoSpaceDE/>
        <w:autoSpaceDN/>
        <w:bidi w:val="0"/>
        <w:adjustRightInd/>
        <w:snapToGrid/>
        <w:spacing w:line="360" w:lineRule="auto"/>
        <w:ind w:firstLine="360" w:firstLineChars="200"/>
        <w:jc w:val="both"/>
        <w:textAlignment w:val="auto"/>
      </w:pPr>
      <w:r>
        <w:rPr>
          <w:rFonts w:ascii="仿宋_GB2312" w:hAnsi="仿宋_GB2312" w:eastAsia="仿宋_GB2312" w:cs="仿宋_GB2312"/>
          <w:sz w:val="18"/>
        </w:rPr>
        <w:t>3、验收不合格的，供应商须在 30 日内免费修改至合格。</w:t>
      </w:r>
    </w:p>
    <w:p w14:paraId="3545CC5D">
      <w:pPr>
        <w:pStyle w:val="4"/>
        <w:keepNext w:val="0"/>
        <w:keepLines w:val="0"/>
        <w:pageBreakBefore w:val="0"/>
        <w:kinsoku/>
        <w:wordWrap/>
        <w:overflowPunct/>
        <w:topLinePunct w:val="0"/>
        <w:autoSpaceDE/>
        <w:autoSpaceDN/>
        <w:bidi w:val="0"/>
        <w:adjustRightInd/>
        <w:snapToGrid/>
        <w:spacing w:line="360" w:lineRule="auto"/>
        <w:ind w:firstLine="361" w:firstLineChars="200"/>
        <w:jc w:val="both"/>
        <w:textAlignment w:val="auto"/>
      </w:pPr>
      <w:r>
        <w:rPr>
          <w:rFonts w:ascii="仿宋_GB2312" w:hAnsi="仿宋_GB2312" w:eastAsia="仿宋_GB2312" w:cs="仿宋_GB2312"/>
          <w:b/>
          <w:sz w:val="18"/>
        </w:rPr>
        <w:t>（三）售后服务</w:t>
      </w:r>
    </w:p>
    <w:p w14:paraId="17025E59">
      <w:pPr>
        <w:pStyle w:val="4"/>
        <w:keepNext w:val="0"/>
        <w:keepLines w:val="0"/>
        <w:pageBreakBefore w:val="0"/>
        <w:kinsoku/>
        <w:wordWrap/>
        <w:overflowPunct/>
        <w:topLinePunct w:val="0"/>
        <w:autoSpaceDE/>
        <w:autoSpaceDN/>
        <w:bidi w:val="0"/>
        <w:adjustRightInd/>
        <w:snapToGrid/>
        <w:spacing w:line="360" w:lineRule="auto"/>
        <w:ind w:firstLine="360" w:firstLineChars="200"/>
        <w:jc w:val="both"/>
        <w:textAlignment w:val="auto"/>
      </w:pPr>
      <w:r>
        <w:rPr>
          <w:rFonts w:ascii="仿宋_GB2312" w:hAnsi="仿宋_GB2312" w:eastAsia="仿宋_GB2312" w:cs="仿宋_GB2312"/>
          <w:sz w:val="18"/>
        </w:rPr>
        <w:t>自验收合格之日起，提供12个月免费技术咨询服务（含电话、邮件、现场咨询）；在技术指导实施过程中，对采购人提出的修改意见或补充要求，及时响应并免费修订。</w:t>
      </w:r>
    </w:p>
    <w:p w14:paraId="37BD119B">
      <w:pPr>
        <w:pStyle w:val="4"/>
        <w:keepNext w:val="0"/>
        <w:keepLines w:val="0"/>
        <w:pageBreakBefore w:val="0"/>
        <w:kinsoku/>
        <w:wordWrap/>
        <w:overflowPunct/>
        <w:topLinePunct w:val="0"/>
        <w:autoSpaceDE/>
        <w:autoSpaceDN/>
        <w:bidi w:val="0"/>
        <w:adjustRightInd/>
        <w:snapToGrid/>
        <w:spacing w:line="360" w:lineRule="auto"/>
        <w:ind w:firstLine="361" w:firstLineChars="200"/>
        <w:jc w:val="both"/>
        <w:textAlignment w:val="auto"/>
      </w:pPr>
      <w:r>
        <w:rPr>
          <w:rFonts w:ascii="仿宋_GB2312" w:hAnsi="仿宋_GB2312" w:eastAsia="仿宋_GB2312" w:cs="仿宋_GB2312"/>
          <w:b/>
          <w:sz w:val="18"/>
        </w:rPr>
        <w:t>（四）知识产权</w:t>
      </w:r>
    </w:p>
    <w:p w14:paraId="55FBABF9">
      <w:pPr>
        <w:keepNext w:val="0"/>
        <w:keepLines w:val="0"/>
        <w:pageBreakBefore w:val="0"/>
        <w:kinsoku/>
        <w:wordWrap/>
        <w:overflowPunct/>
        <w:topLinePunct w:val="0"/>
        <w:autoSpaceDE/>
        <w:autoSpaceDN/>
        <w:bidi w:val="0"/>
        <w:adjustRightInd/>
        <w:snapToGrid/>
        <w:spacing w:line="360" w:lineRule="auto"/>
        <w:ind w:firstLine="360" w:firstLineChars="200"/>
        <w:textAlignment w:val="auto"/>
      </w:pPr>
      <w:r>
        <w:rPr>
          <w:rFonts w:ascii="仿宋_GB2312" w:hAnsi="仿宋_GB2312" w:eastAsia="仿宋_GB2312" w:cs="仿宋_GB2312"/>
          <w:sz w:val="18"/>
        </w:rPr>
        <w:t>本项目交付成果的知识产权归采购人所有，供应商不得擅自使用、转让、泄露、出版、传播或用于其他项目。</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0572A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2026-05-19T05:48:23Z</dcterms:created>
  <dc:creator>Lenovo</dc:creator>
  <cp:lastModifiedBy>CG</cp:lastModifiedBy>
  <dcterms:modified xsi:type="dcterms:W3CDTF">2026-05-19T05:49:46Z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eyJoZGlkIjoiMjdkYmRiMTFmNTM1YTk4MmY0MWU2M2I2YmY4Y2I0MDUiLCJ1c2VySWQiOiI0MzY2NjA3NTUifQ==</vt:lpwstr>
  </property>
  <property fmtid="{D5CDD505-2E9C-101B-9397-08002B2CF9AE}" pid="4" name="ICV">
    <vt:lpwstr>5BD0F5303DBA48FD8CED0EB2E20F2DB6_12</vt:lpwstr>
  </property>
</Properties>
</file>