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版本号：JXRC-25102120260429001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蒸发溅射系统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JXRC-251021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蒸发溅射系统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JXRC-251021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蒸发溅射系统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电子工程实践基地在半导体工艺实践中需要使用蒸发及溅射工艺，蒸发溅射系统可以集成金属/绝缘体溅射、金属热蒸发、有机物蒸发功能，在同一台设备中可以实现多种制备手段的组合, 能够实现不同科学目标的研究过程。本次拟采购的蒸发溅射系统是同时具有热蒸发和磁控溅射功能的集成化系统。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采购包1（蒸发溅射系统）：属于专门面向中小企业采购。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p>
      <w:pPr>
        <w:pStyle w:val="null3"/>
      </w:pPr>
      <w:r>
        <w:rPr>
          <w:rFonts w:ascii="仿宋_GB2312" w:hAnsi="仿宋_GB2312" w:cs="仿宋_GB2312" w:eastAsia="仿宋_GB2312"/>
        </w:rPr>
        <w:t>4、纳税证明：提供递交投标文件截止时间前一年内已缴存任意一个月的依法缴纳税收的相关凭据，凭据应有税务机关或代收机关的公章或业务专用章。依法免税或无须缴纳税收的供应商，应提供相应证明文件。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029-82312729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开户银行：民生银行西安分行营业部（备注:转账时须附言“251021投标保证金”）</w:t>
            </w:r>
          </w:p>
          <w:p>
            <w:pPr>
              <w:pStyle w:val="null3"/>
            </w:pPr>
            <w:r>
              <w:rPr>
                <w:rFonts w:ascii="仿宋_GB2312" w:hAnsi="仿宋_GB2312" w:cs="仿宋_GB2312" w:eastAsia="仿宋_GB2312"/>
              </w:rPr>
              <w:t>银行账号：632043869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说明：本采购包履约保证金为合同金额的5.0% 说明：乙方在合同签订前向甲方指定账户交纳履约保证金，履约保证金金额为成交金额的5%（货物类），质保服务期满后，在扣除相关款项后（若有），剩余部分无息返还。如遇下列情况之一者，合同履约保证金不予退还，作为对采购人的赔偿： （1）合同签订后不能按合同时限要求供货的；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电子工程实践基地在半导体工艺实践中需要使用蒸发及溅射工艺，蒸发溅射系统可以集成金属/绝缘体溅射、金属热蒸发、有机物蒸发功能，在同一台设备中可以实现多种制备手段的组合, 能够实现不同科学目标的研究过程。本次拟采购的蒸发溅射系统是同时具有热蒸发和磁控溅射功能的集成化系统。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890,000.00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蒸发溅射系统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标的名称：蒸发溅射系统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功能要求：</w:t>
            </w:r>
            <w:r>
              <w:rPr>
                <w:rFonts w:ascii="仿宋_GB2312" w:hAnsi="仿宋_GB2312" w:cs="仿宋_GB2312" w:eastAsia="仿宋_GB2312"/>
                <w:sz w:val="24"/>
              </w:rPr>
              <w:t>系统为高真空多功能带快速进样室单靶磁控溅射镀膜+无机蒸发镀膜+有机蒸发镀膜系统，系统可用于开发纳米级的单层及多层功能膜和复合膜-可镀金属、合金、化合物、半导</w:t>
            </w:r>
            <w:r>
              <w:rPr>
                <w:rFonts w:ascii="仿宋_GB2312" w:hAnsi="仿宋_GB2312" w:cs="仿宋_GB2312" w:eastAsia="仿宋_GB2312"/>
                <w:sz w:val="24"/>
              </w:rPr>
              <w:t>体、陶瓷膜(需配射频电源)、介质复合膜和其它化学反应膜等。可实现多靶位共溅射。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、快速进样真空腔室尺寸 ≥</w:t>
            </w:r>
            <w:r>
              <w:rPr>
                <w:rFonts w:ascii="仿宋_GB2312" w:hAnsi="仿宋_GB2312" w:cs="仿宋_GB2312" w:eastAsia="仿宋_GB2312"/>
                <w:sz w:val="24"/>
              </w:rPr>
              <w:t>260 mm * 260 mm * 100 mm</w:t>
            </w:r>
            <w:r>
              <w:rPr>
                <w:rFonts w:ascii="仿宋_GB2312" w:hAnsi="仿宋_GB2312" w:cs="仿宋_GB2312" w:eastAsia="仿宋_GB2312"/>
                <w:sz w:val="24"/>
              </w:rPr>
              <w:t>，采用 SS304 不锈钢材料，进样真空腔室可以进行多样品进样，单批次自动进样数量≥</w:t>
            </w:r>
            <w:r>
              <w:rPr>
                <w:rFonts w:ascii="仿宋_GB2312" w:hAnsi="仿宋_GB2312" w:cs="仿宋_GB2312" w:eastAsia="仿宋_GB2312"/>
                <w:sz w:val="24"/>
              </w:rPr>
              <w:t xml:space="preserve"> 1</w:t>
            </w:r>
            <w:r>
              <w:rPr>
                <w:rFonts w:ascii="仿宋_GB2312" w:hAnsi="仿宋_GB2312" w:cs="仿宋_GB2312" w:eastAsia="仿宋_GB2312"/>
                <w:sz w:val="24"/>
              </w:rPr>
              <w:t>片</w:t>
            </w:r>
            <w:r>
              <w:rPr>
                <w:rFonts w:ascii="仿宋_GB2312" w:hAnsi="仿宋_GB2312" w:cs="仿宋_GB2312" w:eastAsia="仿宋_GB2312"/>
                <w:sz w:val="24"/>
              </w:rPr>
              <w:t>.</w:t>
            </w:r>
            <w:r>
              <w:rPr>
                <w:rFonts w:ascii="仿宋_GB2312" w:hAnsi="仿宋_GB2312" w:cs="仿宋_GB2312" w:eastAsia="仿宋_GB2312"/>
                <w:sz w:val="24"/>
              </w:rPr>
              <w:t>进样腔体极限真空度 ≤</w:t>
            </w:r>
            <w:r>
              <w:rPr>
                <w:rFonts w:ascii="仿宋_GB2312" w:hAnsi="仿宋_GB2312" w:cs="仿宋_GB2312" w:eastAsia="仿宋_GB2312"/>
                <w:sz w:val="24"/>
              </w:rPr>
              <w:t>2Pa</w:t>
            </w:r>
            <w:r>
              <w:rPr>
                <w:rFonts w:ascii="仿宋_GB2312" w:hAnsi="仿宋_GB2312" w:cs="仿宋_GB2312" w:eastAsia="仿宋_GB2312"/>
                <w:sz w:val="24"/>
              </w:rPr>
              <w:t>；采用分子泵抽气系统</w:t>
            </w:r>
            <w:r>
              <w:rPr>
                <w:rFonts w:ascii="仿宋_GB2312" w:hAnsi="仿宋_GB2312" w:cs="仿宋_GB2312" w:eastAsia="仿宋_GB2312"/>
                <w:sz w:val="24"/>
              </w:rPr>
              <w:t>,</w:t>
            </w:r>
            <w:r>
              <w:rPr>
                <w:rFonts w:ascii="仿宋_GB2312" w:hAnsi="仿宋_GB2312" w:cs="仿宋_GB2312" w:eastAsia="仿宋_GB2312"/>
                <w:sz w:val="24"/>
              </w:rPr>
              <w:t>腔室须带有观察窗口。</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、沉积真空腔室尺寸</w:t>
            </w:r>
            <w:r>
              <w:rPr>
                <w:rFonts w:ascii="仿宋_GB2312" w:hAnsi="仿宋_GB2312" w:cs="仿宋_GB2312" w:eastAsia="仿宋_GB2312"/>
                <w:sz w:val="24"/>
              </w:rPr>
              <w:t xml:space="preserve">≥ Ф 500 mm * </w:t>
            </w:r>
            <w:r>
              <w:rPr>
                <w:rFonts w:ascii="仿宋_GB2312" w:hAnsi="仿宋_GB2312" w:cs="仿宋_GB2312" w:eastAsia="仿宋_GB2312"/>
                <w:sz w:val="24"/>
              </w:rPr>
              <w:t>H</w:t>
            </w:r>
            <w:r>
              <w:rPr>
                <w:rFonts w:ascii="仿宋_GB2312" w:hAnsi="仿宋_GB2312" w:cs="仿宋_GB2312" w:eastAsia="仿宋_GB2312"/>
                <w:sz w:val="24"/>
              </w:rPr>
              <w:t>400 mm</w:t>
            </w:r>
            <w:r>
              <w:rPr>
                <w:rFonts w:ascii="仿宋_GB2312" w:hAnsi="仿宋_GB2312" w:cs="仿宋_GB2312" w:eastAsia="仿宋_GB2312"/>
                <w:sz w:val="24"/>
              </w:rPr>
              <w:t>，溅射真空腔室极限真空度</w:t>
            </w:r>
            <w:r>
              <w:rPr>
                <w:rFonts w:ascii="仿宋_GB2312" w:hAnsi="仿宋_GB2312" w:cs="仿宋_GB2312" w:eastAsia="仿宋_GB2312"/>
                <w:sz w:val="24"/>
              </w:rPr>
              <w:t xml:space="preserve"> ≤ 2.0* 10</w:t>
            </w:r>
            <w:r>
              <w:rPr>
                <w:rFonts w:ascii="仿宋_GB2312" w:hAnsi="仿宋_GB2312" w:cs="仿宋_GB2312" w:eastAsia="仿宋_GB2312"/>
                <w:sz w:val="24"/>
                <w:vertAlign w:val="superscript"/>
              </w:rPr>
              <w:t>-5</w:t>
            </w:r>
            <w:r>
              <w:rPr>
                <w:rFonts w:ascii="仿宋_GB2312" w:hAnsi="仿宋_GB2312" w:cs="仿宋_GB2312" w:eastAsia="仿宋_GB2312"/>
                <w:sz w:val="24"/>
              </w:rPr>
              <w:t xml:space="preserve"> Pa</w:t>
            </w:r>
            <w:r>
              <w:rPr>
                <w:rFonts w:ascii="仿宋_GB2312" w:hAnsi="仿宋_GB2312" w:cs="仿宋_GB2312" w:eastAsia="仿宋_GB2312"/>
                <w:sz w:val="24"/>
              </w:rPr>
              <w:t>；</w:t>
            </w:r>
            <w:r>
              <w:rPr>
                <w:rFonts w:ascii="仿宋_GB2312" w:hAnsi="仿宋_GB2312" w:cs="仿宋_GB2312" w:eastAsia="仿宋_GB2312"/>
                <w:sz w:val="24"/>
              </w:rPr>
              <w:t>20 min</w:t>
            </w:r>
            <w:r>
              <w:rPr>
                <w:rFonts w:ascii="仿宋_GB2312" w:hAnsi="仿宋_GB2312" w:cs="仿宋_GB2312" w:eastAsia="仿宋_GB2312"/>
                <w:sz w:val="24"/>
              </w:rPr>
              <w:t>内达到</w:t>
            </w:r>
            <w:r>
              <w:rPr>
                <w:rFonts w:ascii="仿宋_GB2312" w:hAnsi="仿宋_GB2312" w:cs="仿宋_GB2312" w:eastAsia="仿宋_GB2312"/>
                <w:sz w:val="24"/>
              </w:rPr>
              <w:t>≤</w:t>
            </w:r>
            <w:r>
              <w:rPr>
                <w:rFonts w:ascii="仿宋_GB2312" w:hAnsi="仿宋_GB2312" w:cs="仿宋_GB2312" w:eastAsia="仿宋_GB2312"/>
                <w:sz w:val="24"/>
              </w:rPr>
              <w:t>8* 10</w:t>
            </w:r>
            <w:r>
              <w:rPr>
                <w:rFonts w:ascii="仿宋_GB2312" w:hAnsi="仿宋_GB2312" w:cs="仿宋_GB2312" w:eastAsia="仿宋_GB2312"/>
                <w:sz w:val="24"/>
                <w:vertAlign w:val="superscript"/>
              </w:rPr>
              <w:t xml:space="preserve">-4 </w:t>
            </w:r>
            <w:r>
              <w:rPr>
                <w:rFonts w:ascii="仿宋_GB2312" w:hAnsi="仿宋_GB2312" w:cs="仿宋_GB2312" w:eastAsia="仿宋_GB2312"/>
                <w:sz w:val="24"/>
              </w:rPr>
              <w:t>Pa</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、溅射腔室采用抽速</w:t>
            </w:r>
            <w:r>
              <w:rPr>
                <w:rFonts w:ascii="仿宋_GB2312" w:hAnsi="仿宋_GB2312" w:cs="仿宋_GB2312" w:eastAsia="仿宋_GB2312"/>
                <w:sz w:val="24"/>
              </w:rPr>
              <w:t xml:space="preserve"> ≥ 1200 L/S</w:t>
            </w:r>
            <w:r>
              <w:rPr>
                <w:rFonts w:ascii="仿宋_GB2312" w:hAnsi="仿宋_GB2312" w:cs="仿宋_GB2312" w:eastAsia="仿宋_GB2312"/>
                <w:sz w:val="24"/>
              </w:rPr>
              <w:t>的分子泵</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、全量程冷阴极真空规：量程≥</w:t>
            </w:r>
            <w:r>
              <w:rPr>
                <w:rFonts w:ascii="仿宋_GB2312" w:hAnsi="仿宋_GB2312" w:cs="仿宋_GB2312" w:eastAsia="仿宋_GB2312"/>
                <w:sz w:val="24"/>
              </w:rPr>
              <w:t xml:space="preserve"> 8*10</w:t>
            </w:r>
            <w:r>
              <w:rPr>
                <w:rFonts w:ascii="仿宋_GB2312" w:hAnsi="仿宋_GB2312" w:cs="仿宋_GB2312" w:eastAsia="仿宋_GB2312"/>
                <w:sz w:val="24"/>
                <w:vertAlign w:val="superscript"/>
              </w:rPr>
              <w:t>-7</w:t>
            </w:r>
            <w:r>
              <w:rPr>
                <w:rFonts w:ascii="仿宋_GB2312" w:hAnsi="仿宋_GB2312" w:cs="仿宋_GB2312" w:eastAsia="仿宋_GB2312"/>
                <w:sz w:val="24"/>
              </w:rPr>
              <w:t>pa--</w:t>
            </w:r>
            <w:r>
              <w:rPr>
                <w:rFonts w:ascii="仿宋_GB2312" w:hAnsi="仿宋_GB2312" w:cs="仿宋_GB2312" w:eastAsia="仿宋_GB2312"/>
                <w:sz w:val="24"/>
              </w:rPr>
              <w:t>大气压</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、沉积阴极尺寸：</w:t>
            </w:r>
            <w:r>
              <w:rPr>
                <w:rFonts w:ascii="仿宋_GB2312" w:hAnsi="仿宋_GB2312" w:cs="仿宋_GB2312" w:eastAsia="仿宋_GB2312"/>
                <w:sz w:val="24"/>
              </w:rPr>
              <w:t>3</w:t>
            </w:r>
            <w:r>
              <w:rPr>
                <w:rFonts w:ascii="仿宋_GB2312" w:hAnsi="仿宋_GB2312" w:cs="仿宋_GB2312" w:eastAsia="仿宋_GB2312"/>
                <w:sz w:val="24"/>
              </w:rPr>
              <w:t>英寸，沉积阴极为磁钢与水隔离设计，磁控靶头整体尺寸</w:t>
            </w:r>
            <w:r>
              <w:rPr>
                <w:rFonts w:ascii="仿宋_GB2312" w:hAnsi="仿宋_GB2312" w:cs="仿宋_GB2312" w:eastAsia="仿宋_GB2312"/>
                <w:sz w:val="24"/>
              </w:rPr>
              <w:t>≤ Ф93 mm</w:t>
            </w:r>
            <w:r>
              <w:rPr>
                <w:rFonts w:ascii="仿宋_GB2312" w:hAnsi="仿宋_GB2312" w:cs="仿宋_GB2312" w:eastAsia="仿宋_GB2312"/>
                <w:sz w:val="24"/>
              </w:rPr>
              <w:t>，并集成挡板组件，挡板采用超高真空密封方式，磁控靶和挡板集成一个部件密封。</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、沉积阴极屏蔽罩</w:t>
            </w:r>
            <w:r>
              <w:rPr>
                <w:rFonts w:ascii="仿宋_GB2312" w:hAnsi="仿宋_GB2312" w:cs="仿宋_GB2312" w:eastAsia="仿宋_GB2312"/>
                <w:sz w:val="24"/>
              </w:rPr>
              <w:t>0-45</w:t>
            </w:r>
            <w:r>
              <w:rPr>
                <w:rFonts w:ascii="仿宋_GB2312" w:hAnsi="仿宋_GB2312" w:cs="仿宋_GB2312" w:eastAsia="仿宋_GB2312"/>
                <w:sz w:val="24"/>
              </w:rPr>
              <w:t>度角度可调，有</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个位置可调。靶挡板组件均采用气动；球冠全遮挡挡板</w:t>
            </w:r>
            <w:r>
              <w:rPr>
                <w:rFonts w:ascii="仿宋_GB2312" w:hAnsi="仿宋_GB2312" w:cs="仿宋_GB2312" w:eastAsia="仿宋_GB2312"/>
                <w:sz w:val="24"/>
              </w:rPr>
              <w:t>0-90</w:t>
            </w:r>
            <w:r>
              <w:rPr>
                <w:rFonts w:ascii="仿宋_GB2312" w:hAnsi="仿宋_GB2312" w:cs="仿宋_GB2312" w:eastAsia="仿宋_GB2312"/>
                <w:sz w:val="24"/>
              </w:rPr>
              <w:t>度可调节</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、冷阴极离子源设计（可离化</w:t>
            </w:r>
            <w:r>
              <w:rPr>
                <w:rFonts w:ascii="仿宋_GB2312" w:hAnsi="仿宋_GB2312" w:cs="仿宋_GB2312" w:eastAsia="仿宋_GB2312"/>
                <w:sz w:val="24"/>
              </w:rPr>
              <w:t xml:space="preserve"> O</w:t>
            </w:r>
            <w:r>
              <w:rPr>
                <w:rFonts w:ascii="仿宋_GB2312" w:hAnsi="仿宋_GB2312" w:cs="仿宋_GB2312" w:eastAsia="仿宋_GB2312"/>
                <w:sz w:val="24"/>
                <w:vertAlign w:val="subscript"/>
              </w:rPr>
              <w:t>2</w:t>
            </w:r>
            <w:r>
              <w:rPr>
                <w:rFonts w:ascii="仿宋_GB2312" w:hAnsi="仿宋_GB2312" w:cs="仿宋_GB2312" w:eastAsia="仿宋_GB2312"/>
                <w:sz w:val="24"/>
              </w:rPr>
              <w:t>、</w:t>
            </w:r>
            <w:r>
              <w:rPr>
                <w:rFonts w:ascii="仿宋_GB2312" w:hAnsi="仿宋_GB2312" w:cs="仿宋_GB2312" w:eastAsia="仿宋_GB2312"/>
                <w:sz w:val="24"/>
              </w:rPr>
              <w:t>N</w:t>
            </w:r>
            <w:r>
              <w:rPr>
                <w:rFonts w:ascii="仿宋_GB2312" w:hAnsi="仿宋_GB2312" w:cs="仿宋_GB2312" w:eastAsia="仿宋_GB2312"/>
                <w:sz w:val="24"/>
                <w:vertAlign w:val="subscript"/>
              </w:rPr>
              <w:t>2</w:t>
            </w:r>
            <w:r>
              <w:rPr>
                <w:rFonts w:ascii="仿宋_GB2312" w:hAnsi="仿宋_GB2312" w:cs="仿宋_GB2312" w:eastAsia="仿宋_GB2312"/>
                <w:sz w:val="24"/>
              </w:rPr>
              <w:t>、</w:t>
            </w:r>
            <w:r>
              <w:rPr>
                <w:rFonts w:ascii="仿宋_GB2312" w:hAnsi="仿宋_GB2312" w:cs="仿宋_GB2312" w:eastAsia="仿宋_GB2312"/>
                <w:sz w:val="24"/>
              </w:rPr>
              <w:t>Ar</w:t>
            </w:r>
            <w:r>
              <w:rPr>
                <w:rFonts w:ascii="仿宋_GB2312" w:hAnsi="仿宋_GB2312" w:cs="仿宋_GB2312" w:eastAsia="仿宋_GB2312"/>
                <w:sz w:val="24"/>
              </w:rPr>
              <w:t>），尺寸</w:t>
            </w:r>
            <w:r>
              <w:rPr>
                <w:rFonts w:ascii="仿宋_GB2312" w:hAnsi="仿宋_GB2312" w:cs="仿宋_GB2312" w:eastAsia="仿宋_GB2312"/>
                <w:sz w:val="24"/>
              </w:rPr>
              <w:t>≥ Ф 50mm</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、无机蒸发源，采用水冷电极加热方式，数量：</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组</w:t>
            </w:r>
            <w:r>
              <w:rPr>
                <w:rFonts w:ascii="仿宋_GB2312" w:hAnsi="仿宋_GB2312" w:cs="仿宋_GB2312" w:eastAsia="仿宋_GB2312"/>
                <w:sz w:val="24"/>
              </w:rPr>
              <w:t>,</w:t>
            </w:r>
            <w:r>
              <w:rPr>
                <w:rFonts w:ascii="仿宋_GB2312" w:hAnsi="仿宋_GB2312" w:cs="仿宋_GB2312" w:eastAsia="仿宋_GB2312"/>
                <w:sz w:val="24"/>
              </w:rPr>
              <w:t>金属源最高加热温度≥1400℃，有屏蔽盒。</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、有机蒸发源：采用电阻加热控温方式，数量：</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个，有屏蔽盒，具有源挡板。</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全自动匹配</w:t>
            </w:r>
            <w:r>
              <w:rPr>
                <w:rFonts w:ascii="仿宋_GB2312" w:hAnsi="仿宋_GB2312" w:cs="仿宋_GB2312" w:eastAsia="仿宋_GB2312"/>
                <w:sz w:val="24"/>
              </w:rPr>
              <w:t>射频电源</w:t>
            </w:r>
            <w:r>
              <w:rPr>
                <w:rFonts w:ascii="仿宋_GB2312" w:hAnsi="仿宋_GB2312" w:cs="仿宋_GB2312" w:eastAsia="仿宋_GB2312"/>
                <w:sz w:val="24"/>
              </w:rPr>
              <w:t>+</w:t>
            </w:r>
            <w:r>
              <w:rPr>
                <w:rFonts w:ascii="仿宋_GB2312" w:hAnsi="仿宋_GB2312" w:cs="仿宋_GB2312" w:eastAsia="仿宋_GB2312"/>
                <w:sz w:val="24"/>
              </w:rPr>
              <w:t>匹配器</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0</w:t>
            </w:r>
            <w:r>
              <w:rPr>
                <w:rFonts w:ascii="仿宋_GB2312" w:hAnsi="仿宋_GB2312" w:cs="仿宋_GB2312" w:eastAsia="仿宋_GB2312"/>
                <w:sz w:val="24"/>
              </w:rPr>
              <w:t>0W</w:t>
            </w:r>
            <w:r>
              <w:rPr>
                <w:rFonts w:ascii="仿宋_GB2312" w:hAnsi="仿宋_GB2312" w:cs="仿宋_GB2312" w:eastAsia="仿宋_GB2312"/>
                <w:sz w:val="24"/>
              </w:rPr>
              <w:t>规格，频率</w:t>
            </w:r>
            <w:r>
              <w:rPr>
                <w:rFonts w:ascii="仿宋_GB2312" w:hAnsi="仿宋_GB2312" w:cs="仿宋_GB2312" w:eastAsia="仿宋_GB2312"/>
                <w:sz w:val="24"/>
              </w:rPr>
              <w:t>13.56 MHz</w:t>
            </w:r>
            <w:r>
              <w:rPr>
                <w:rFonts w:ascii="仿宋_GB2312" w:hAnsi="仿宋_GB2312" w:cs="仿宋_GB2312" w:eastAsia="仿宋_GB2312"/>
                <w:sz w:val="24"/>
              </w:rPr>
              <w:t>；匹配时间</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秒</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、直流电源功率</w:t>
            </w:r>
            <w:r>
              <w:rPr>
                <w:rFonts w:ascii="仿宋_GB2312" w:hAnsi="仿宋_GB2312" w:cs="仿宋_GB2312" w:eastAsia="仿宋_GB2312"/>
                <w:sz w:val="24"/>
              </w:rPr>
              <w:t>≥ 500W</w:t>
            </w:r>
            <w:r>
              <w:rPr>
                <w:rFonts w:ascii="仿宋_GB2312" w:hAnsi="仿宋_GB2312" w:cs="仿宋_GB2312" w:eastAsia="仿宋_GB2312"/>
                <w:sz w:val="24"/>
              </w:rPr>
              <w:t>液晶屏显示。</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、蒸发电源</w:t>
            </w:r>
            <w:r>
              <w:rPr>
                <w:rFonts w:ascii="仿宋_GB2312" w:hAnsi="仿宋_GB2312" w:cs="仿宋_GB2312" w:eastAsia="仿宋_GB2312"/>
                <w:sz w:val="24"/>
              </w:rPr>
              <w:t>≥</w:t>
            </w:r>
            <w:r>
              <w:rPr>
                <w:rFonts w:ascii="仿宋_GB2312" w:hAnsi="仿宋_GB2312" w:cs="仿宋_GB2312" w:eastAsia="仿宋_GB2312"/>
                <w:sz w:val="24"/>
              </w:rPr>
              <w:t>3000w</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、有机蒸发电源：采用温控仪进行温度控制</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、离子源电源：功率</w:t>
            </w:r>
            <w:r>
              <w:rPr>
                <w:rFonts w:ascii="仿宋_GB2312" w:hAnsi="仿宋_GB2312" w:cs="仿宋_GB2312" w:eastAsia="仿宋_GB2312"/>
                <w:sz w:val="24"/>
              </w:rPr>
              <w:t>≥ 500 W</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、样品</w:t>
            </w:r>
            <w:r>
              <w:rPr>
                <w:rFonts w:ascii="仿宋_GB2312" w:hAnsi="仿宋_GB2312" w:cs="仿宋_GB2312" w:eastAsia="仿宋_GB2312"/>
                <w:sz w:val="24"/>
              </w:rPr>
              <w:t>台</w:t>
            </w:r>
            <w:r>
              <w:rPr>
                <w:rFonts w:ascii="仿宋_GB2312" w:hAnsi="仿宋_GB2312" w:cs="仿宋_GB2312" w:eastAsia="仿宋_GB2312"/>
                <w:sz w:val="24"/>
              </w:rPr>
              <w:t>加热温度</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00°C</w:t>
            </w:r>
            <w:r>
              <w:rPr>
                <w:rFonts w:ascii="仿宋_GB2312" w:hAnsi="仿宋_GB2312" w:cs="仿宋_GB2312" w:eastAsia="仿宋_GB2312"/>
                <w:sz w:val="24"/>
              </w:rPr>
              <w:t>，温度分辨率</w:t>
            </w:r>
            <w:r>
              <w:rPr>
                <w:rFonts w:ascii="仿宋_GB2312" w:hAnsi="仿宋_GB2312" w:cs="仿宋_GB2312" w:eastAsia="仿宋_GB2312"/>
                <w:sz w:val="24"/>
              </w:rPr>
              <w:t>≤1℃</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兼容</w:t>
            </w:r>
            <w:r>
              <w:rPr>
                <w:rFonts w:ascii="仿宋_GB2312" w:hAnsi="仿宋_GB2312" w:cs="仿宋_GB2312" w:eastAsia="仿宋_GB2312"/>
                <w:sz w:val="24"/>
              </w:rPr>
              <w:t>≤4</w:t>
            </w:r>
            <w:r>
              <w:rPr>
                <w:rFonts w:ascii="仿宋_GB2312" w:hAnsi="仿宋_GB2312" w:cs="仿宋_GB2312" w:eastAsia="仿宋_GB2312"/>
                <w:sz w:val="24"/>
              </w:rPr>
              <w:t>英寸的样品的沉积镀膜</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、基片台具有升降自动交接旋转的功能</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、样品台电动升降配合</w:t>
            </w:r>
            <w:r>
              <w:rPr>
                <w:rFonts w:ascii="仿宋_GB2312" w:hAnsi="仿宋_GB2312" w:cs="仿宋_GB2312" w:eastAsia="仿宋_GB2312"/>
                <w:sz w:val="24"/>
              </w:rPr>
              <w:t>PLC</w:t>
            </w:r>
            <w:r>
              <w:rPr>
                <w:rFonts w:ascii="仿宋_GB2312" w:hAnsi="仿宋_GB2312" w:cs="仿宋_GB2312" w:eastAsia="仿宋_GB2312"/>
                <w:sz w:val="24"/>
              </w:rPr>
              <w:t>控制电动传输机械手，实现样品传输一键式操作传输样品，样品台有挡板，可进行预蒸发和预溅射。</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PLC</w:t>
            </w:r>
            <w:r>
              <w:rPr>
                <w:rFonts w:ascii="仿宋_GB2312" w:hAnsi="仿宋_GB2312" w:cs="仿宋_GB2312" w:eastAsia="仿宋_GB2312"/>
                <w:sz w:val="24"/>
              </w:rPr>
              <w:t>控制方式（全自动取</w:t>
            </w:r>
            <w:r>
              <w:rPr>
                <w:rFonts w:ascii="仿宋_GB2312" w:hAnsi="仿宋_GB2312" w:cs="仿宋_GB2312" w:eastAsia="仿宋_GB2312"/>
                <w:sz w:val="24"/>
              </w:rPr>
              <w:t>/</w:t>
            </w:r>
            <w:r>
              <w:rPr>
                <w:rFonts w:ascii="仿宋_GB2312" w:hAnsi="仿宋_GB2312" w:cs="仿宋_GB2312" w:eastAsia="仿宋_GB2312"/>
                <w:sz w:val="24"/>
              </w:rPr>
              <w:t>送样品（开放设计，用户可以自己修正和定位），全自动储存镀膜工艺、一键式操作）。</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PLC</w:t>
            </w:r>
            <w:r>
              <w:rPr>
                <w:rFonts w:ascii="仿宋_GB2312" w:hAnsi="仿宋_GB2312" w:cs="仿宋_GB2312" w:eastAsia="仿宋_GB2312"/>
                <w:sz w:val="24"/>
              </w:rPr>
              <w:t>自动保留历史参数数据（含电源、流量计后台数据）</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4"/>
              </w:rPr>
              <w:t>22</w:t>
            </w:r>
            <w:r>
              <w:rPr>
                <w:rFonts w:ascii="仿宋_GB2312" w:hAnsi="仿宋_GB2312" w:cs="仿宋_GB2312" w:eastAsia="仿宋_GB2312"/>
                <w:sz w:val="24"/>
              </w:rPr>
              <w:t>、气路系统≥2路，气体质量流量计≥2路，各气路均采用流量计自动控制。</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沉积射阴极采用永磁靶</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、设备总重量</w:t>
            </w:r>
            <w:r>
              <w:rPr>
                <w:rFonts w:ascii="仿宋_GB2312" w:hAnsi="仿宋_GB2312" w:cs="仿宋_GB2312" w:eastAsia="仿宋_GB2312"/>
                <w:sz w:val="24"/>
              </w:rPr>
              <w:t>≤</w:t>
            </w:r>
            <w:r>
              <w:rPr>
                <w:rFonts w:ascii="仿宋_GB2312" w:hAnsi="仿宋_GB2312" w:cs="仿宋_GB2312" w:eastAsia="仿宋_GB2312"/>
                <w:sz w:val="24"/>
              </w:rPr>
              <w:t>1000</w:t>
            </w:r>
            <w:r>
              <w:rPr>
                <w:rFonts w:ascii="仿宋_GB2312" w:hAnsi="仿宋_GB2312" w:cs="仿宋_GB2312" w:eastAsia="仿宋_GB2312"/>
                <w:sz w:val="24"/>
              </w:rPr>
              <w:t>公斤。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设备稳定运行，技术参数与投标文件承诺对比无偏差。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1.本项目产品质保期不低于1年。质保期自采购人在货物质量验收合格之日起计算。质保期内出现任何非人为故意损坏的质量问题，易损易耗件除外，由中标人免费维修或更换损坏的零部件，并承担全部费用。 2.质保期内由中标人免费质保，采购人报修后三日内中标人必须响应，否则将依据有关法律、法规进行追偿。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中标人未按合同约定的交货日期交货的，每逾期一日，向采购人支付逾期交付货物价款的1%的违约金，但不超过合同总金额的10%。中标人支付逾期交货违约金并不免除其交货的责任。 如中标人在政府采购合同规定的交货日期后10天内仍未能交货，则视为中标人不能交货，采购人有权解除政府采购合同，中标人除退还已收取的货款外，还应向采购人偿付政府采购合同总金额10%的违约金。 中标人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一、安装调试及配套工程等要求 （1）安装调试要求 安装标准：执行GB50231-2009《机械设备安装工程施工及验收通用规范》； 调试周期：连续24小时无故障运行测试； 人员培训：提供相关操作人员培训资料。 （2）配套工程 中标人在发货前1个月提供设备安装条件要求，安装时中标人自备安装工具。 （3）质量保证 合同标的物自项目验收合格之日起质保期一年，在质保期内出现的质量问题，中标人负责免费维修、维护或更换； 货物要求：以采购人的要求为准，为采购人提供全新的货物（包括零部件）。 （4）售后服务 响应时限：提供24小时电话服务，4小时内响应；48小时内到达用户现场。 定期维护：每季度提供预防性维护服务。 二、付款条件（因系统编制受限，付款方式招标文件中有不一致的以此处为准） 分期付款。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三、产品保修期内，修理、更换、退货要求 （1）质量标准：中标人的产品质量应当符合国家行业规定的标准，并无任何瑕疵；中标人应按配置清单要求提供原装产品，除人为因素损坏外，对该产品实行三包（即包修、包退、包换）；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四、根据《国务院办公厅关于在政府采购中实施本国产品标准及相关政策的通知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投标方案 技术响应偏离表 其他材料 投标人资格 中小企业声明函 残疾人福利性单位声明函 投标人业绩 投标文件封面 投标人基本信息 监狱企业的证明文件 企业关联关系声明函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投标人必须满足招标文件中带“★”标识的技术参数</w:t>
            </w:r>
          </w:p>
        </w:tc>
        <w:tc>
          <w:tcPr>
            <w:tcW w:type="dxa" w:w="1661"/>
          </w:tcPr>
          <w:p>
            <w:pPr>
              <w:pStyle w:val="null3"/>
            </w:pPr>
            <w:r>
              <w:rPr>
                <w:rFonts w:ascii="仿宋_GB2312" w:hAnsi="仿宋_GB2312" w:cs="仿宋_GB2312" w:eastAsia="仿宋_GB2312"/>
              </w:rPr>
              <w:t>技术响应偏离表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符合第二章投标人须知前附表要求</w:t>
            </w:r>
          </w:p>
        </w:tc>
        <w:tc>
          <w:tcPr>
            <w:tcW w:type="dxa" w:w="1661"/>
          </w:tcPr>
          <w:p>
            <w:pPr>
              <w:pStyle w:val="null3"/>
            </w:pPr>
            <w:r>
              <w:rPr>
                <w:rFonts w:ascii="仿宋_GB2312" w:hAnsi="仿宋_GB2312" w:cs="仿宋_GB2312" w:eastAsia="仿宋_GB2312"/>
              </w:rPr>
              <w:t>投标保证金缴纳凭证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投标产品的技术指标满足或高于招标文件要求的，得满分32分。 带“★”标识（共2项）的参数需求为实质性要求，必须响应并满足参数需求 1、带“▲”号技术指标满分15分，（共5项）有一项不满足扣3分； 2、非“▲”和非“★”号技术参数满分17分，每有一项负偏离扣1分。 注：对标“▲”和“★”号技术参数供应商必须提供相关技术参数佐证材料（包括但不限于国家认可的检测机构出具的检测报告、制造商检验报告、产品彩页、官网功能截图等）予以证明其技术参数的响应性。未提供或评审委员会认定所提供材料无法有效证明的将视为不满足本参数要求。 2、对非“▲”非“★”号的技术参数投标人在投标文件中应尽可能多地提供技术支持资料予以证明其技术指标响应性，并在技术响应偏离表中标注对应页码及位置。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投标人针对本项目提供完整的项目实施方案。内容包含：①供货运输方案；②具有健全的产品安装、调试、试运行及验收方案；③团队人员配置计划；④应急预案。 二、评审标准 1、完整性：方案须全面，对评审内容中的各项要求有详细描述； 2、可实施性：切合本项目实际情况，实施步骤清晰、合理； 3、针对性：方案能够紧扣本项目所采购设备种类等实际情况，内容科学合理。 三、赋分依据（满分12分） 上述4项评审内容全部满足评审标准得12分；每有一个评审内容缺项扣3分，扣完为止；每有一项评审内容存在缺陷，扣（0-3）分。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3、针对性：方案能够紧扣本项目所采购设备种类等实际情况，内容科学合理。 三、赋分依据（满分4分） 上述4项评审内容全部满足评审标准得4分；每有一个评审内容缺项扣2分，扣完为止；每有一项评审内容存在缺陷，扣（0-2）分。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 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设备选型方案思路清晰、科学合理、可行性强、完全满足采购人需求得6分； 设备选型方案思路较清晰、较科学合理、可行性较强、基本满足采购人需求得4分； 设备选型方案思路基本清晰、基本科学合理、可行性较强、基本满足采购人需求得2分； 设备选型方案不太合理完善、可行性不强、不能满足采购人需求得0分；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设备故障及维修服务到场响应时限及措施、备品备件供应计划等方面；②提供售后服务承诺且符合实际需求；③培训方案。 二、评审标准 1、完整性：方案须全面，对评审内容中的各项要求有详细描述； 2、可实施性：切合本项目实际情况，实施步骤清晰、合理； 3、针对性：方案能够紧扣项目实际情况，内容科学合理。 三、赋分依据（满分9分） 上述3项评审内容全部满足评审标准得9分；每有一个评审内容缺项扣3分，扣完为止；每有一项评审内容存在缺陷，扣（0-3）分。 说明：1、缺陷是指内容没有结合项目实际需求、虽有内容但不完善、内容表述前后不一致、套用其他项目方案或与项目需求不匹配及其他不利于项目实施的等任意一种情形。 2、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提供投标人或制造商自2023年1月1日至投标文件递交截止时间前（以合同签订时间为准）类似项目业绩，需提供完整且清晰有效的合同复印件，每提供一份完整资料得1分，最多得5分。未提供得0分。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质保期满足招标文件的基础上，每增加一年得1分（产品验收合格后开始计算），最高得2分。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