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版本号：HHGJZC2026-CS36720260511001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校园文化部室项目(二次)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HHGJZC2026-CS367</w:t>
      </w:r>
      <w:r>
        <w:br/>
      </w:r>
      <w:r>
        <w:br/>
      </w:r>
      <w:r>
        <w:br/>
      </w:r>
    </w:p>
    <w:p>
      <w:pPr>
        <w:pStyle w:val="null3"/>
        <w:jc w:val="center"/>
        <w:outlineLvl w:val="2"/>
      </w:pPr>
      <w:r>
        <w:rPr>
          <w:rFonts w:ascii="仿宋_GB2312" w:hAnsi="仿宋_GB2312" w:cs="仿宋_GB2312" w:eastAsia="仿宋_GB2312"/>
          <w:sz w:val="28"/>
          <w:b/>
        </w:rPr>
        <w:t>西安市经开一校尚稷路初级中学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西安市经开一校尚稷路初级中学</w:t>
      </w:r>
      <w:r>
        <w:rPr>
          <w:rFonts w:ascii="仿宋_GB2312" w:hAnsi="仿宋_GB2312" w:cs="仿宋_GB2312" w:eastAsia="仿宋_GB2312"/>
        </w:rPr>
        <w:t>委托，拟对</w:t>
      </w:r>
      <w:r>
        <w:rPr>
          <w:rFonts w:ascii="仿宋_GB2312" w:hAnsi="仿宋_GB2312" w:cs="仿宋_GB2312" w:eastAsia="仿宋_GB2312"/>
        </w:rPr>
        <w:t>校园文化部室项目(二次)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HHGJZC2026-CS367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校园文化部室项目(二次)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西安市经开一校尚稷路初级中学校园文化部室项目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采购包1（校园文化部室项目）：属于专门面向中小企业采购。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2、供应商资质要求：供应商须具备建筑装修装饰工程专业承包二级及以上资质，且具有有效的安全生产许可证；</w:t>
      </w:r>
    </w:p>
    <w:p>
      <w:pPr>
        <w:pStyle w:val="null3"/>
      </w:pPr>
      <w:r>
        <w:rPr>
          <w:rFonts w:ascii="仿宋_GB2312" w:hAnsi="仿宋_GB2312" w:cs="仿宋_GB2312" w:eastAsia="仿宋_GB2312"/>
        </w:rPr>
        <w:t>3、拟派项目经理资质要求：拟派项目负责人具备建筑工程专业二级及以上注册建造师证书和安全生产考核合格证（B证）在本单位注册，无不良记录，且无在建项目（提供承诺书）；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西安市经开一校尚稷路初级中学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西安市未央区凤城十路118号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19992918097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采购包1：247,872.43元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代理服务费收费标准：定额收取人民币捌仟元整（¥8000.00元）。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西安市经开一校尚稷路初级中学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西安市经开一校尚稷路初级中学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西安市经开一校尚稷路初级中学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247,872.43</w:t>
      </w:r>
    </w:p>
    <w:p>
      <w:pPr>
        <w:pStyle w:val="null3"/>
      </w:pPr>
      <w:r>
        <w:rPr>
          <w:rFonts w:ascii="仿宋_GB2312" w:hAnsi="仿宋_GB2312" w:cs="仿宋_GB2312" w:eastAsia="仿宋_GB2312"/>
        </w:rPr>
        <w:t>采购包最高限价（元）: 247,872.43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西安市经开一校尚稷路初级中学校园文化部室项目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247,872.43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标的名称：西安市经开一校尚稷路初级中学校园文化部室项目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为进一步落实立德树人根本任务，深化校园文化育人功能，营造积极向上、特色鲜明的校园文化氛围，结合我校实际，拟开展校园文化提升工程。具体内容详见工程量清单及相关附件。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工期：自合同签订之日起</w:t>
            </w:r>
            <w:r>
              <w:rPr>
                <w:rFonts w:ascii="仿宋_GB2312" w:hAnsi="仿宋_GB2312" w:cs="仿宋_GB2312" w:eastAsia="仿宋_GB2312"/>
                <w:sz w:val="24"/>
              </w:rPr>
              <w:t>30</w:t>
            </w:r>
            <w:r>
              <w:rPr>
                <w:rFonts w:ascii="仿宋_GB2312" w:hAnsi="仿宋_GB2312" w:cs="仿宋_GB2312" w:eastAsia="仿宋_GB2312"/>
                <w:sz w:val="24"/>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 关于异常低价的处理：根据《关于推动解决政府采购异常低价问题的通知》（ 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3.3.3由于全文为文件模板固定格式，本项目仍需要提供已标价工程量清单。本项目供应商在首次提交的响应文件中的报价（即首次报价）应按磋商文件及工程量清单编制要求，逐一列出报价的构成及明细，并提供已标价工程量清单。已标价工程量清单的扉页（仅指投标总价扉页）应由注册造价人员签字并盖执业印章。供应商提交的已标价工程量清单应符合本项目工程量清单以及清单说明的要求。 3.3.4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供应商须具备建筑装修装饰工程专业承包二级及以上资质，且具有有效的安全生产许可证；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拟派项目负责人具备建筑工程专业二级及以上注册建造师证书和安全生产考核合格证（B证）在本单位注册，无不良记录，且无在建项目（提供承诺书）；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陕西省政府采购供应商拒绝政府采购领域商业贿赂承诺书 标的清单 施工方案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标的清单 陕西省政府采购供应商拒绝政府采购领域商业贿赂承诺书 施工方案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标的清单 陕西省政府采购供应商拒绝政府采购领域商业贿赂承诺书 施工方案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不合理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10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供应商自2023年1月至提交响应文件日期止（以合同签订日期为准），具有类似项目业绩的，每提供一个计2分，最多计10分（提供合同复印件并加盖供应商公章，否则不计分。）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