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版本号：ZGZX-2604-01.4.9B120260429001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照明设施抢修及维护(二次)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ZGZX-2604-01.4.9B1</w:t>
      </w:r>
      <w:r>
        <w:br/>
      </w:r>
      <w:r>
        <w:br/>
      </w:r>
      <w:r>
        <w:br/>
      </w:r>
    </w:p>
    <w:p>
      <w:pPr>
        <w:pStyle w:val="null3"/>
        <w:jc w:val="center"/>
        <w:outlineLvl w:val="2"/>
      </w:pPr>
      <w:r>
        <w:rPr>
          <w:rFonts w:ascii="仿宋_GB2312" w:hAnsi="仿宋_GB2312" w:cs="仿宋_GB2312" w:eastAsia="仿宋_GB2312"/>
          <w:sz w:val="28"/>
          <w:b/>
        </w:rPr>
        <w:t>西安市城市照明管护中心</w:t>
      </w:r>
    </w:p>
    <w:p>
      <w:pPr>
        <w:pStyle w:val="null3"/>
        <w:jc w:val="center"/>
        <w:outlineLvl w:val="2"/>
      </w:pPr>
      <w:r>
        <w:rPr>
          <w:rFonts w:ascii="仿宋_GB2312" w:hAnsi="仿宋_GB2312" w:cs="仿宋_GB2312" w:eastAsia="仿宋_GB2312"/>
          <w:sz w:val="28"/>
          <w:b/>
        </w:rPr>
        <w:t>中谷（陕西）咨询有限公司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中谷（陕西）咨询有限公司</w:t>
      </w:r>
      <w:r>
        <w:rPr>
          <w:rFonts w:ascii="仿宋_GB2312" w:hAnsi="仿宋_GB2312" w:cs="仿宋_GB2312" w:eastAsia="仿宋_GB2312"/>
        </w:rPr>
        <w:t>（以下简称“代理机构”）受</w:t>
      </w:r>
      <w:r>
        <w:rPr>
          <w:rFonts w:ascii="仿宋_GB2312" w:hAnsi="仿宋_GB2312" w:cs="仿宋_GB2312" w:eastAsia="仿宋_GB2312"/>
        </w:rPr>
        <w:t>西安市城市照明管护中心</w:t>
      </w:r>
      <w:r>
        <w:rPr>
          <w:rFonts w:ascii="仿宋_GB2312" w:hAnsi="仿宋_GB2312" w:cs="仿宋_GB2312" w:eastAsia="仿宋_GB2312"/>
        </w:rPr>
        <w:t>委托，拟对</w:t>
      </w:r>
      <w:r>
        <w:rPr>
          <w:rFonts w:ascii="仿宋_GB2312" w:hAnsi="仿宋_GB2312" w:cs="仿宋_GB2312" w:eastAsia="仿宋_GB2312"/>
        </w:rPr>
        <w:t>照明设施抢修及维护(二次)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ZGZX-2604-01.4.9B1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照明设施抢修及维护(二次)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对采购人管辖范围内照明设施突发故障检测抢修、变压器预防性试验、桥梁景观灯保洁、箱变保养及维护、线缆故障开挖抢修、东西快速干道照明设施维护等。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采购包1（变压器预防性试验）：属于专门面向中小企业采购。</w:t>
      </w:r>
    </w:p>
    <w:p>
      <w:pPr>
        <w:pStyle w:val="null3"/>
      </w:pPr>
      <w:r>
        <w:rPr>
          <w:rFonts w:ascii="仿宋_GB2312" w:hAnsi="仿宋_GB2312" w:cs="仿宋_GB2312" w:eastAsia="仿宋_GB2312"/>
        </w:rPr>
        <w:t>采购包2（大型低压线路故障抢修）：属于专门面向中小企业采购。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1、本项目的特定资格要求：1.投标单位须为在中华人民共和国境内依法注册的独立法 人或其他组织及自然人，提供有效的统一社会信用代码的营业执照；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7.供应商须有效期内的承装（修、试）电力设施许可证四级及以上资质；且具有有效的安全生产许可证；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1、本项目的特定资格要求：1.投标单位须为在中华人民共和国境内依法注册的独立法 人或其他组织及自然人，提供有效的统一社会信用代码的营业执照；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7.供应商须具备有效的城市及道路照明工程专业承包三级（含三级及以上）或市政公用工程施工总承包三级（含三级及以上）资质，且具有有效的安全生产许可证；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西安市城市照明管护中心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文景路南段13号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崔斌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029-86250163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中谷（陕西）咨询有限公司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陕西省西安市碑林区太白北路 199 号陕建一建综合办公楼8 层 817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潘志伟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15398026888</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采购包1：1,950,000.00元</w:t>
            </w:r>
          </w:p>
          <w:p>
            <w:pPr>
              <w:pStyle w:val="null3"/>
            </w:pPr>
            <w:r>
              <w:rPr>
                <w:rFonts w:ascii="仿宋_GB2312" w:hAnsi="仿宋_GB2312" w:cs="仿宋_GB2312" w:eastAsia="仿宋_GB2312"/>
              </w:rPr>
              <w:t>采购包2：1,750,000.00元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代理服务费收费标准：参照国家计委颁布的《招标代理服务费收费管理暂行办法》 （计价格〔2002〕1980 号）及《 国家发展改革委关于降低部分建设项目收费标准规范收费行为等有关问题的通知》发改价格〔2011〕534 号文件收费标准的80%收取。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西安市城市照明管护中心</w:t>
      </w:r>
      <w:r>
        <w:rPr>
          <w:rFonts w:ascii="仿宋_GB2312" w:hAnsi="仿宋_GB2312" w:cs="仿宋_GB2312" w:eastAsia="仿宋_GB2312"/>
        </w:rPr>
        <w:t>和</w:t>
      </w:r>
      <w:r>
        <w:rPr>
          <w:rFonts w:ascii="仿宋_GB2312" w:hAnsi="仿宋_GB2312" w:cs="仿宋_GB2312" w:eastAsia="仿宋_GB2312"/>
        </w:rPr>
        <w:t>中谷（陕西）咨询有限公司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西安市城市照明管护中心</w:t>
      </w:r>
      <w:r>
        <w:rPr>
          <w:rFonts w:ascii="仿宋_GB2312" w:hAnsi="仿宋_GB2312" w:cs="仿宋_GB2312" w:eastAsia="仿宋_GB2312"/>
        </w:rPr>
        <w:t>负责解释。除上述招标文件内容，其他内容由</w:t>
      </w:r>
      <w:r>
        <w:rPr>
          <w:rFonts w:ascii="仿宋_GB2312" w:hAnsi="仿宋_GB2312" w:cs="仿宋_GB2312" w:eastAsia="仿宋_GB2312"/>
        </w:rPr>
        <w:t>中谷（陕西）咨询有限公司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西安市城市照明管护中心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中谷（陕西）咨询有限公司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1.验收标准：由甲方组织验收，乙方应严格按照招投标文件、合同要求及补充协议等实施。 2.验收依据： （1）招标文件、投标文件、澄清表（函）； （2）本合同及补充协议文本； （3）合同签订时国家及行业现行的标准和技术规范。 （4）技术档案或作业资料。 3.乙方应向甲方提交服务实施过程中的所有资料，以便甲方日后管理和维护。</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标准：由甲方组织验收，乙方应严格按照招投标文件、合同要求及补充协议等实施，恢复设备正常运行。抢修维护作业质保期不少于12个月，质保期内因作业或材料质量问题产生的故障由乙方进行免费维修、更换并承担全部费用。 2.验收依据： （1）招标文件、投标文件、澄清表（函）； （2）本合同及补充协议文本； （3）合同签订时国家及行业现行的标准和技术规范。 （4）技术档案或作业资料。 3.乙方应向甲方提交服务实施过程中的所有资料，以便甲方日后管理和维护。</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中谷（陕西）咨询有限公司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中谷（陕西）咨询有限公司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中谷（陕西）咨询有限公司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联系人：潘志伟</w:t>
      </w:r>
    </w:p>
    <w:p>
      <w:pPr>
        <w:pStyle w:val="null3"/>
      </w:pPr>
      <w:r>
        <w:rPr>
          <w:rFonts w:ascii="仿宋_GB2312" w:hAnsi="仿宋_GB2312" w:cs="仿宋_GB2312" w:eastAsia="仿宋_GB2312"/>
        </w:rPr>
        <w:t>联系电话：15398026888</w:t>
      </w:r>
    </w:p>
    <w:p>
      <w:pPr>
        <w:pStyle w:val="null3"/>
      </w:pPr>
      <w:r>
        <w:rPr>
          <w:rFonts w:ascii="仿宋_GB2312" w:hAnsi="仿宋_GB2312" w:cs="仿宋_GB2312" w:eastAsia="仿宋_GB2312"/>
        </w:rPr>
        <w:t>地址：陕西省西安市碑林区太白北路 199 号陕建一建综合办公楼8 层 817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对采购人管辖范围内照明设施突发故障检测抢修、变压器预防性试验、桥梁景观灯保洁、箱变保养及维护、线缆故障开挖抢修等。</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1,950,000.00</w:t>
      </w:r>
    </w:p>
    <w:p>
      <w:pPr>
        <w:pStyle w:val="null3"/>
      </w:pPr>
      <w:r>
        <w:rPr>
          <w:rFonts w:ascii="仿宋_GB2312" w:hAnsi="仿宋_GB2312" w:cs="仿宋_GB2312" w:eastAsia="仿宋_GB2312"/>
        </w:rPr>
        <w:t>采购包最高限价（元）: 1,950,000.00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变压器预防性试验</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1,950,000.00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1,750,000.00</w:t>
      </w:r>
    </w:p>
    <w:p>
      <w:pPr>
        <w:pStyle w:val="null3"/>
      </w:pPr>
      <w:r>
        <w:rPr>
          <w:rFonts w:ascii="仿宋_GB2312" w:hAnsi="仿宋_GB2312" w:cs="仿宋_GB2312" w:eastAsia="仿宋_GB2312"/>
        </w:rPr>
        <w:t>采购包最高限价（元）: 1,750,000.00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大型低压线路故障抢修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1,750,000.00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标的名称：变压器预防性试验</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30"/>
              </w:rPr>
              <w:t>根据国家电网关于高压受电设备定期预防性试验要求，完成</w:t>
            </w:r>
            <w:r>
              <w:rPr>
                <w:rFonts w:ascii="仿宋_GB2312" w:hAnsi="仿宋_GB2312" w:cs="仿宋_GB2312" w:eastAsia="仿宋_GB2312"/>
                <w:sz w:val="30"/>
              </w:rPr>
              <w:t>专用高压受电装置设备检测并提供试验报告，</w:t>
            </w:r>
            <w:r>
              <w:rPr>
                <w:rFonts w:ascii="仿宋_GB2312" w:hAnsi="仿宋_GB2312" w:cs="仿宋_GB2312" w:eastAsia="仿宋_GB2312"/>
                <w:sz w:val="30"/>
              </w:rPr>
              <w:t>主要测试内容包括：电阻测试，变比测试，耐压试验，绝缘测试等。</w:t>
            </w:r>
          </w:p>
          <w:p>
            <w:pPr>
              <w:pStyle w:val="null3"/>
              <w:ind w:firstLine="602"/>
              <w:jc w:val="both"/>
            </w:pPr>
            <w:r>
              <w:rPr>
                <w:rFonts w:ascii="仿宋_GB2312" w:hAnsi="仿宋_GB2312" w:cs="仿宋_GB2312" w:eastAsia="仿宋_GB2312"/>
                <w:sz w:val="30"/>
              </w:rPr>
              <w:t>投标报价不得超过本合同包的最高限价，分项报价不得超过清单单价。结算费用以供应商全年实际产生工作内容及数量结算，不超过中标价款以全年实际发生工作量结算，超过中标价款5%（含5%）以内的由供应商自行承担，采购人不再另行支付</w:t>
            </w:r>
            <w:r>
              <w:rPr>
                <w:rFonts w:ascii="仿宋_GB2312" w:hAnsi="仿宋_GB2312" w:cs="仿宋_GB2312" w:eastAsia="仿宋_GB2312"/>
                <w:sz w:val="30"/>
              </w:rPr>
              <w:t>。</w:t>
            </w:r>
          </w:p>
          <w:tbl>
            <w:tblPr>
              <w:tblBorders>
                <w:top w:val="none" w:color="000000" w:sz="4"/>
                <w:left w:val="none" w:color="000000" w:sz="4"/>
                <w:bottom w:val="none" w:color="000000" w:sz="4"/>
                <w:right w:val="none" w:color="000000" w:sz="4"/>
                <w:insideH w:val="none"/>
                <w:insideV w:val="none"/>
              </w:tblBorders>
            </w:tblPr>
            <w:tblGrid>
              <w:gridCol w:w="235"/>
              <w:gridCol w:w="469"/>
              <w:gridCol w:w="776"/>
              <w:gridCol w:w="207"/>
              <w:gridCol w:w="239"/>
              <w:gridCol w:w="334"/>
              <w:gridCol w:w="293"/>
            </w:tblGrid>
            <w:tr>
              <w:tc>
                <w:tcPr>
                  <w:tcW w:type="dxa" w:w="23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6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项目编码</w:t>
                  </w:r>
                </w:p>
              </w:tc>
              <w:tc>
                <w:tcPr>
                  <w:tcW w:type="dxa" w:w="7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b/>
                      <w:color w:val="000000"/>
                    </w:rPr>
                    <w:t>项目名称</w:t>
                  </w:r>
                </w:p>
              </w:tc>
              <w:tc>
                <w:tcPr>
                  <w:tcW w:type="dxa" w:w="20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计量单位</w:t>
                  </w:r>
                </w:p>
              </w:tc>
              <w:tc>
                <w:tcPr>
                  <w:tcW w:type="dxa" w:w="239"/>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工程数量</w:t>
                  </w:r>
                </w:p>
              </w:tc>
              <w:tc>
                <w:tcPr>
                  <w:tcW w:type="dxa" w:w="627"/>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金</w:t>
                  </w:r>
                  <w:r>
                    <w:rPr>
                      <w:rFonts w:ascii="仿宋_GB2312" w:hAnsi="仿宋_GB2312" w:cs="仿宋_GB2312" w:eastAsia="仿宋_GB2312"/>
                      <w:sz w:val="21"/>
                      <w:b/>
                      <w:color w:val="000000"/>
                    </w:rPr>
                    <w:t>额（元）</w:t>
                  </w:r>
                </w:p>
              </w:tc>
            </w:tr>
            <w:tr>
              <w:tc>
                <w:tcPr>
                  <w:tcW w:type="dxa" w:w="235"/>
                  <w:vMerge/>
                  <w:tcBorders>
                    <w:top w:val="single" w:color="000000" w:sz="4"/>
                    <w:left w:val="single" w:color="000000" w:sz="4"/>
                    <w:bottom w:val="single" w:color="000000" w:sz="4"/>
                    <w:right w:val="single" w:color="000000" w:sz="4"/>
                  </w:tcBorders>
                </w:tcPr>
                <w:p/>
              </w:tc>
              <w:tc>
                <w:tcPr>
                  <w:tcW w:type="dxa" w:w="469"/>
                  <w:vMerge/>
                  <w:tcBorders>
                    <w:top w:val="single" w:color="000000" w:sz="4"/>
                    <w:left w:val="none" w:color="000000" w:sz="4"/>
                    <w:bottom w:val="single" w:color="000000" w:sz="4"/>
                    <w:right w:val="single" w:color="000000" w:sz="4"/>
                  </w:tcBorders>
                </w:tcPr>
                <w:p/>
              </w:tc>
              <w:tc>
                <w:tcPr>
                  <w:tcW w:type="dxa" w:w="776"/>
                  <w:vMerge/>
                  <w:tcBorders>
                    <w:top w:val="single" w:color="000000" w:sz="4"/>
                    <w:left w:val="none" w:color="000000" w:sz="4"/>
                    <w:bottom w:val="single" w:color="000000" w:sz="4"/>
                    <w:right w:val="single" w:color="000000" w:sz="4"/>
                  </w:tcBorders>
                </w:tcPr>
                <w:p/>
              </w:tc>
              <w:tc>
                <w:tcPr>
                  <w:tcW w:type="dxa" w:w="207"/>
                  <w:vMerge/>
                  <w:tcBorders>
                    <w:top w:val="single" w:color="000000" w:sz="4"/>
                    <w:left w:val="none" w:color="000000" w:sz="4"/>
                    <w:bottom w:val="single" w:color="000000" w:sz="4"/>
                    <w:right w:val="single" w:color="000000" w:sz="4"/>
                  </w:tcBorders>
                </w:tcPr>
                <w:p/>
              </w:tc>
              <w:tc>
                <w:tcPr>
                  <w:tcW w:type="dxa" w:w="239"/>
                  <w:vMerge/>
                  <w:tcBorders>
                    <w:top w:val="single" w:color="000000" w:sz="4"/>
                    <w:left w:val="none" w:color="000000" w:sz="4"/>
                    <w:bottom w:val="single" w:color="000000" w:sz="4"/>
                    <w:right w:val="single" w:color="000000" w:sz="4"/>
                  </w:tcBorders>
                </w:tcP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综合单价</w:t>
                  </w:r>
                </w:p>
              </w:tc>
              <w:tc>
                <w:tcPr>
                  <w:tcW w:type="dxa" w:w="2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w:t>
                  </w:r>
                  <w:r>
                    <w:rPr>
                      <w:rFonts w:ascii="仿宋_GB2312" w:hAnsi="仿宋_GB2312" w:cs="仿宋_GB2312" w:eastAsia="仿宋_GB2312"/>
                      <w:sz w:val="21"/>
                      <w:b/>
                      <w:color w:val="000000"/>
                    </w:rPr>
                    <w:t>价</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100001XC0103</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电力变压器预防性试验</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1.设备电压等级:10KV</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1.直阻试验</w:t>
                  </w:r>
                </w:p>
                <w:p>
                  <w:pPr>
                    <w:pStyle w:val="null3"/>
                    <w:jc w:val="left"/>
                  </w:pPr>
                  <w:r>
                    <w:rPr>
                      <w:rFonts w:ascii="仿宋_GB2312" w:hAnsi="仿宋_GB2312" w:cs="仿宋_GB2312" w:eastAsia="仿宋_GB2312"/>
                      <w:sz w:val="21"/>
                      <w:color w:val="000000"/>
                    </w:rPr>
                    <w:t>2.绝缘试验</w:t>
                  </w:r>
                </w:p>
                <w:p>
                  <w:pPr>
                    <w:pStyle w:val="null3"/>
                    <w:jc w:val="left"/>
                  </w:pPr>
                  <w:r>
                    <w:rPr>
                      <w:rFonts w:ascii="仿宋_GB2312" w:hAnsi="仿宋_GB2312" w:cs="仿宋_GB2312" w:eastAsia="仿宋_GB2312"/>
                      <w:sz w:val="21"/>
                      <w:color w:val="000000"/>
                    </w:rPr>
                    <w:t>3.变比试验</w:t>
                  </w:r>
                </w:p>
                <w:p>
                  <w:pPr>
                    <w:pStyle w:val="null3"/>
                    <w:jc w:val="left"/>
                  </w:pPr>
                  <w:r>
                    <w:rPr>
                      <w:rFonts w:ascii="仿宋_GB2312" w:hAnsi="仿宋_GB2312" w:cs="仿宋_GB2312" w:eastAsia="仿宋_GB2312"/>
                      <w:sz w:val="21"/>
                      <w:color w:val="000000"/>
                    </w:rPr>
                    <w:t>4.交流耐压试验</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2,109.04</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2,109.04</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100001XC0801</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断路器检修预防性试验</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1.设备电压等级:10KV</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1.绝缘电阻试验</w:t>
                  </w:r>
                </w:p>
                <w:p>
                  <w:pPr>
                    <w:pStyle w:val="null3"/>
                    <w:jc w:val="left"/>
                  </w:pPr>
                  <w:r>
                    <w:rPr>
                      <w:rFonts w:ascii="仿宋_GB2312" w:hAnsi="仿宋_GB2312" w:cs="仿宋_GB2312" w:eastAsia="仿宋_GB2312"/>
                      <w:sz w:val="21"/>
                      <w:color w:val="000000"/>
                    </w:rPr>
                    <w:t>2.接触电阻试验</w:t>
                  </w:r>
                </w:p>
                <w:p>
                  <w:pPr>
                    <w:pStyle w:val="null3"/>
                    <w:jc w:val="left"/>
                  </w:pPr>
                  <w:r>
                    <w:rPr>
                      <w:rFonts w:ascii="仿宋_GB2312" w:hAnsi="仿宋_GB2312" w:cs="仿宋_GB2312" w:eastAsia="仿宋_GB2312"/>
                      <w:sz w:val="21"/>
                      <w:color w:val="000000"/>
                    </w:rPr>
                    <w:t>3.交流耐压试验</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1,018.07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1,018.07</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100001XC1401</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隔离开关检修预防性试验</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1.设备电压等级:10KV</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1.绝缘电阻试验</w:t>
                  </w:r>
                </w:p>
                <w:p>
                  <w:pPr>
                    <w:pStyle w:val="null3"/>
                    <w:jc w:val="left"/>
                  </w:pPr>
                  <w:r>
                    <w:rPr>
                      <w:rFonts w:ascii="仿宋_GB2312" w:hAnsi="仿宋_GB2312" w:cs="仿宋_GB2312" w:eastAsia="仿宋_GB2312"/>
                      <w:sz w:val="21"/>
                      <w:color w:val="000000"/>
                    </w:rPr>
                    <w:t>2.交流耐压试验</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组</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448.21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448.21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100001XC1901</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避雷器检修预防性试验</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1.设备电压等级:10KV</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1.绝缘电阻试验</w:t>
                  </w:r>
                </w:p>
                <w:p>
                  <w:pPr>
                    <w:pStyle w:val="null3"/>
                    <w:jc w:val="left"/>
                  </w:pPr>
                  <w:r>
                    <w:rPr>
                      <w:rFonts w:ascii="仿宋_GB2312" w:hAnsi="仿宋_GB2312" w:cs="仿宋_GB2312" w:eastAsia="仿宋_GB2312"/>
                      <w:sz w:val="21"/>
                      <w:color w:val="000000"/>
                    </w:rPr>
                    <w:t>2.直流1mA电压U1mA及0.75U1mA下的泄漏电流试验</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803.17</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803.17</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100001XC3501</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支柱绝缘子检修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1.绝缘子电压等级:10kv</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1.绝缘电阻试验</w:t>
                  </w:r>
                </w:p>
                <w:p>
                  <w:pPr>
                    <w:pStyle w:val="null3"/>
                    <w:jc w:val="left"/>
                  </w:pPr>
                  <w:r>
                    <w:rPr>
                      <w:rFonts w:ascii="仿宋_GB2312" w:hAnsi="仿宋_GB2312" w:cs="仿宋_GB2312" w:eastAsia="仿宋_GB2312"/>
                      <w:sz w:val="21"/>
                      <w:color w:val="000000"/>
                    </w:rPr>
                    <w:t>2.交流耐压试验</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柱</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95.81</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95.81</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100001XC3502</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支柱绝缘子检修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1.绝缘子电压等级:400v</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1.绝缘电阻试验</w:t>
                  </w:r>
                </w:p>
                <w:p>
                  <w:pPr>
                    <w:pStyle w:val="null3"/>
                    <w:jc w:val="left"/>
                  </w:pPr>
                  <w:r>
                    <w:rPr>
                      <w:rFonts w:ascii="仿宋_GB2312" w:hAnsi="仿宋_GB2312" w:cs="仿宋_GB2312" w:eastAsia="仿宋_GB2312"/>
                      <w:sz w:val="21"/>
                      <w:color w:val="000000"/>
                    </w:rPr>
                    <w:t>2.交流耐压试验</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柱</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63.25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63.25</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100001XC1801</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互感器检修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1.设备电压等级:10kv</w:t>
                  </w:r>
                </w:p>
                <w:p>
                  <w:pPr>
                    <w:pStyle w:val="null3"/>
                    <w:jc w:val="left"/>
                  </w:pPr>
                  <w:r>
                    <w:rPr>
                      <w:rFonts w:ascii="仿宋_GB2312" w:hAnsi="仿宋_GB2312" w:cs="仿宋_GB2312" w:eastAsia="仿宋_GB2312"/>
                      <w:sz w:val="21"/>
                      <w:color w:val="000000"/>
                    </w:rPr>
                    <w:t>2.电压互感器</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1.直流电阻试验</w:t>
                  </w:r>
                </w:p>
                <w:p>
                  <w:pPr>
                    <w:pStyle w:val="null3"/>
                    <w:jc w:val="left"/>
                  </w:pPr>
                  <w:r>
                    <w:rPr>
                      <w:rFonts w:ascii="仿宋_GB2312" w:hAnsi="仿宋_GB2312" w:cs="仿宋_GB2312" w:eastAsia="仿宋_GB2312"/>
                      <w:sz w:val="21"/>
                      <w:color w:val="000000"/>
                    </w:rPr>
                    <w:t>2.绝缘试验</w:t>
                  </w:r>
                </w:p>
                <w:p>
                  <w:pPr>
                    <w:pStyle w:val="null3"/>
                    <w:jc w:val="left"/>
                  </w:pPr>
                  <w:r>
                    <w:rPr>
                      <w:rFonts w:ascii="仿宋_GB2312" w:hAnsi="仿宋_GB2312" w:cs="仿宋_GB2312" w:eastAsia="仿宋_GB2312"/>
                      <w:sz w:val="21"/>
                      <w:color w:val="000000"/>
                    </w:rPr>
                    <w:t>3.交流耐压试验</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282.43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282.43</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100001XC1802</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互感器检修</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1.设备电压等级:10kv</w:t>
                  </w:r>
                </w:p>
                <w:p>
                  <w:pPr>
                    <w:pStyle w:val="null3"/>
                    <w:jc w:val="left"/>
                  </w:pPr>
                  <w:r>
                    <w:rPr>
                      <w:rFonts w:ascii="仿宋_GB2312" w:hAnsi="仿宋_GB2312" w:cs="仿宋_GB2312" w:eastAsia="仿宋_GB2312"/>
                      <w:sz w:val="21"/>
                      <w:color w:val="000000"/>
                    </w:rPr>
                    <w:t>2.电流互感器</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1.直流电阻试验</w:t>
                  </w:r>
                </w:p>
                <w:p>
                  <w:pPr>
                    <w:pStyle w:val="null3"/>
                    <w:jc w:val="left"/>
                  </w:pPr>
                  <w:r>
                    <w:rPr>
                      <w:rFonts w:ascii="仿宋_GB2312" w:hAnsi="仿宋_GB2312" w:cs="仿宋_GB2312" w:eastAsia="仿宋_GB2312"/>
                      <w:sz w:val="21"/>
                      <w:color w:val="000000"/>
                    </w:rPr>
                    <w:t>2.绝缘试验</w:t>
                  </w:r>
                </w:p>
                <w:p>
                  <w:pPr>
                    <w:pStyle w:val="null3"/>
                    <w:jc w:val="left"/>
                  </w:pPr>
                  <w:r>
                    <w:rPr>
                      <w:rFonts w:ascii="仿宋_GB2312" w:hAnsi="仿宋_GB2312" w:cs="仿宋_GB2312" w:eastAsia="仿宋_GB2312"/>
                      <w:sz w:val="21"/>
                      <w:color w:val="000000"/>
                    </w:rPr>
                    <w:t>3.交流耐压试验</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台</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282.43</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282.43</w:t>
                  </w:r>
                </w:p>
              </w:tc>
            </w:tr>
            <w:tr>
              <w:tc>
                <w:tcPr>
                  <w:tcW w:type="dxa" w:w="2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6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100001XC6601</w:t>
                  </w:r>
                </w:p>
              </w:tc>
              <w:tc>
                <w:tcPr>
                  <w:tcW w:type="dxa" w:w="7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接地电阻检查</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1.变电站电压等级:10KV</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1.接地电阻测试</w:t>
                  </w:r>
                </w:p>
              </w:tc>
              <w:tc>
                <w:tcPr>
                  <w:tcW w:type="dxa" w:w="20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处</w:t>
                  </w:r>
                </w:p>
              </w:tc>
              <w:tc>
                <w:tcPr>
                  <w:tcW w:type="dxa" w:w="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94.25</w:t>
                  </w:r>
                </w:p>
              </w:tc>
              <w:tc>
                <w:tcPr>
                  <w:tcW w:type="dxa" w:w="2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94.25</w:t>
                  </w:r>
                </w:p>
              </w:tc>
            </w:tr>
            <w:tr>
              <w:tc>
                <w:tcPr>
                  <w:tcW w:type="dxa" w:w="2553"/>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结合现场实际情况，箱式变压器根据</w:t>
                  </w:r>
                  <w:r>
                    <w:rPr>
                      <w:rFonts w:ascii="仿宋_GB2312" w:hAnsi="仿宋_GB2312" w:cs="仿宋_GB2312" w:eastAsia="仿宋_GB2312"/>
                      <w:sz w:val="21"/>
                      <w:color w:val="000000"/>
                    </w:rPr>
                    <w:t>1-9项实际试验组合，柱上变1/4/5/6/7/8/9项根据实际试验组合。</w:t>
                  </w:r>
                </w:p>
              </w:tc>
            </w:tr>
          </w:tbl>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标的名称：大型低压线路故障抢修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602"/>
              <w:jc w:val="both"/>
            </w:pPr>
            <w:r>
              <w:rPr>
                <w:rFonts w:ascii="仿宋_GB2312" w:hAnsi="仿宋_GB2312" w:cs="仿宋_GB2312" w:eastAsia="仿宋_GB2312"/>
                <w:sz w:val="30"/>
              </w:rPr>
              <w:t>管辖范围内地埋照明线缆故障开挖施工及运用大型机械施工。主要包括沥青路面、人行道彩砖、混凝土路面、绿化带等地埋电缆故障的开挖及顶管施工等。</w:t>
            </w:r>
          </w:p>
          <w:p>
            <w:pPr>
              <w:pStyle w:val="null3"/>
              <w:ind w:firstLine="602"/>
              <w:jc w:val="both"/>
            </w:pPr>
            <w:r>
              <w:rPr>
                <w:rFonts w:ascii="仿宋_GB2312" w:hAnsi="仿宋_GB2312" w:cs="仿宋_GB2312" w:eastAsia="仿宋_GB2312"/>
                <w:sz w:val="30"/>
              </w:rPr>
              <w:t>投标报价不得超过本合同包的最高限价，分项报价不得超过清单单价。结算费用以供应商全年实际产生工作内容及数量结算，不超过中标价款以全年实际发生工作量结算，超过中标价款5%（含5%）以内的由供应商自行承担，采购人不再另行支付。</w:t>
            </w:r>
          </w:p>
          <w:tbl>
            <w:tblPr>
              <w:tblBorders>
                <w:top w:val="none" w:color="000000" w:sz="4"/>
                <w:left w:val="none" w:color="000000" w:sz="4"/>
                <w:bottom w:val="none" w:color="000000" w:sz="4"/>
                <w:right w:val="none" w:color="000000" w:sz="4"/>
                <w:insideH w:val="none"/>
                <w:insideV w:val="none"/>
              </w:tblBorders>
            </w:tblPr>
            <w:tblGrid>
              <w:gridCol w:w="208"/>
              <w:gridCol w:w="426"/>
              <w:gridCol w:w="837"/>
              <w:gridCol w:w="231"/>
              <w:gridCol w:w="231"/>
              <w:gridCol w:w="316"/>
              <w:gridCol w:w="303"/>
            </w:tblGrid>
            <w:tr>
              <w:tc>
                <w:tcPr>
                  <w:tcW w:type="dxa" w:w="20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序号</w:t>
                  </w:r>
                </w:p>
              </w:tc>
              <w:tc>
                <w:tcPr>
                  <w:tcW w:type="dxa" w:w="42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项目编码</w:t>
                  </w:r>
                </w:p>
              </w:tc>
              <w:tc>
                <w:tcPr>
                  <w:tcW w:type="dxa" w:w="83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项目名称</w:t>
                  </w:r>
                </w:p>
              </w:tc>
              <w:tc>
                <w:tcPr>
                  <w:tcW w:type="dxa" w:w="2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计量单位</w:t>
                  </w:r>
                </w:p>
              </w:tc>
              <w:tc>
                <w:tcPr>
                  <w:tcW w:type="dxa" w:w="23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工程数量</w:t>
                  </w:r>
                </w:p>
              </w:tc>
              <w:tc>
                <w:tcPr>
                  <w:tcW w:type="dxa" w:w="619"/>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金</w:t>
                  </w:r>
                  <w:r>
                    <w:rPr>
                      <w:rFonts w:ascii="仿宋_GB2312" w:hAnsi="仿宋_GB2312" w:cs="仿宋_GB2312" w:eastAsia="仿宋_GB2312"/>
                      <w:sz w:val="21"/>
                      <w:b/>
                      <w:color w:val="000000"/>
                    </w:rPr>
                    <w:t>额（元）</w:t>
                  </w:r>
                </w:p>
                <w:p>
                  <w:pPr>
                    <w:pStyle w:val="null3"/>
                    <w:jc w:val="center"/>
                  </w:pPr>
                  <w:r>
                    <w:rPr>
                      <w:rFonts w:ascii="仿宋_GB2312" w:hAnsi="仿宋_GB2312" w:cs="仿宋_GB2312" w:eastAsia="仿宋_GB2312"/>
                      <w:sz w:val="21"/>
                      <w:b/>
                      <w:color w:val="000000"/>
                    </w:rPr>
                    <w:t>（含主材）</w:t>
                  </w:r>
                </w:p>
              </w:tc>
            </w:tr>
            <w:tr>
              <w:tc>
                <w:tcPr>
                  <w:tcW w:type="dxa" w:w="208"/>
                  <w:vMerge/>
                  <w:tcBorders>
                    <w:top w:val="single" w:color="000000" w:sz="4"/>
                    <w:left w:val="single" w:color="000000" w:sz="4"/>
                    <w:bottom w:val="single" w:color="000000" w:sz="4"/>
                    <w:right w:val="single" w:color="000000" w:sz="4"/>
                  </w:tcBorders>
                </w:tcPr>
                <w:p/>
              </w:tc>
              <w:tc>
                <w:tcPr>
                  <w:tcW w:type="dxa" w:w="426"/>
                  <w:vMerge/>
                  <w:tcBorders>
                    <w:top w:val="single" w:color="000000" w:sz="4"/>
                    <w:left w:val="none" w:color="000000" w:sz="4"/>
                    <w:bottom w:val="single" w:color="000000" w:sz="4"/>
                    <w:right w:val="single" w:color="000000" w:sz="4"/>
                  </w:tcBorders>
                </w:tcPr>
                <w:p/>
              </w:tc>
              <w:tc>
                <w:tcPr>
                  <w:tcW w:type="dxa" w:w="837"/>
                  <w:vMerge/>
                  <w:tcBorders>
                    <w:top w:val="single" w:color="000000" w:sz="4"/>
                    <w:left w:val="none" w:color="000000" w:sz="4"/>
                    <w:bottom w:val="single" w:color="000000" w:sz="4"/>
                    <w:right w:val="single" w:color="000000" w:sz="4"/>
                  </w:tcBorders>
                </w:tcPr>
                <w:p/>
              </w:tc>
              <w:tc>
                <w:tcPr>
                  <w:tcW w:type="dxa" w:w="231"/>
                  <w:vMerge/>
                  <w:tcBorders>
                    <w:top w:val="single" w:color="000000" w:sz="4"/>
                    <w:left w:val="none" w:color="000000" w:sz="4"/>
                    <w:bottom w:val="single" w:color="000000" w:sz="4"/>
                    <w:right w:val="single" w:color="000000" w:sz="4"/>
                  </w:tcBorders>
                </w:tcPr>
                <w:p/>
              </w:tc>
              <w:tc>
                <w:tcPr>
                  <w:tcW w:type="dxa" w:w="231"/>
                  <w:vMerge/>
                  <w:tcBorders>
                    <w:top w:val="single" w:color="000000" w:sz="4"/>
                    <w:left w:val="none" w:color="000000" w:sz="4"/>
                    <w:bottom w:val="single" w:color="000000" w:sz="4"/>
                    <w:right w:val="single" w:color="000000" w:sz="4"/>
                  </w:tcBorders>
                </w:tcP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综合单价</w:t>
                  </w:r>
                </w:p>
              </w:tc>
              <w:tc>
                <w:tcPr>
                  <w:tcW w:type="dxa" w:w="3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合</w:t>
                  </w:r>
                  <w:r>
                    <w:rPr>
                      <w:rFonts w:ascii="仿宋_GB2312" w:hAnsi="仿宋_GB2312" w:cs="仿宋_GB2312" w:eastAsia="仿宋_GB2312"/>
                      <w:sz w:val="21"/>
                      <w:b/>
                      <w:color w:val="000000"/>
                    </w:rPr>
                    <w:t>价</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040804001001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1.名称：线路顶管抢修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1.土壤类别：综合土</w:t>
                  </w:r>
                  <w:r>
                    <w:br/>
                  </w:r>
                  <w:r>
                    <w:rPr>
                      <w:rFonts w:ascii="仿宋_GB2312" w:hAnsi="仿宋_GB2312" w:cs="仿宋_GB2312" w:eastAsia="仿宋_GB2312"/>
                      <w:sz w:val="21"/>
                      <w:color w:val="000000"/>
                    </w:rPr>
                    <w:t>2.工作坑挖填</w:t>
                  </w:r>
                  <w:r>
                    <w:br/>
                  </w:r>
                  <w:r>
                    <w:rPr>
                      <w:rFonts w:ascii="仿宋_GB2312" w:hAnsi="仿宋_GB2312" w:cs="仿宋_GB2312" w:eastAsia="仿宋_GB2312"/>
                      <w:sz w:val="21"/>
                      <w:color w:val="000000"/>
                    </w:rPr>
                    <w:t xml:space="preserve">3.顶进设备安拆 </w:t>
                  </w:r>
                  <w:r>
                    <w:br/>
                  </w:r>
                  <w:r>
                    <w:rPr>
                      <w:rFonts w:ascii="仿宋_GB2312" w:hAnsi="仿宋_GB2312" w:cs="仿宋_GB2312" w:eastAsia="仿宋_GB2312"/>
                      <w:sz w:val="21"/>
                      <w:color w:val="000000"/>
                    </w:rPr>
                    <w:t>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167.42</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167.42</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040804001001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1.名称：线路顶管抢修</w:t>
                  </w:r>
                </w:p>
                <w:p>
                  <w:pPr>
                    <w:pStyle w:val="null3"/>
                    <w:jc w:val="left"/>
                  </w:pPr>
                  <w:r>
                    <w:rPr>
                      <w:rFonts w:ascii="仿宋_GB2312" w:hAnsi="仿宋_GB2312" w:cs="仿宋_GB2312" w:eastAsia="仿宋_GB2312"/>
                      <w:sz w:val="21"/>
                      <w:color w:val="000000"/>
                    </w:rPr>
                    <w:t>[工作内容]</w:t>
                  </w:r>
                  <w:r>
                    <w:br/>
                  </w:r>
                  <w:r>
                    <w:rPr>
                      <w:rFonts w:ascii="仿宋_GB2312" w:hAnsi="仿宋_GB2312" w:cs="仿宋_GB2312" w:eastAsia="仿宋_GB2312"/>
                      <w:sz w:val="21"/>
                      <w:color w:val="000000"/>
                    </w:rPr>
                    <w:t>1.土壤类别：综合土</w:t>
                  </w:r>
                  <w:r>
                    <w:br/>
                  </w:r>
                  <w:r>
                    <w:rPr>
                      <w:rFonts w:ascii="仿宋_GB2312" w:hAnsi="仿宋_GB2312" w:cs="仿宋_GB2312" w:eastAsia="仿宋_GB2312"/>
                      <w:sz w:val="21"/>
                      <w:color w:val="000000"/>
                    </w:rPr>
                    <w:t>2.工作坑挖填</w:t>
                  </w:r>
                  <w:r>
                    <w:br/>
                  </w:r>
                  <w:r>
                    <w:rPr>
                      <w:rFonts w:ascii="仿宋_GB2312" w:hAnsi="仿宋_GB2312" w:cs="仿宋_GB2312" w:eastAsia="仿宋_GB2312"/>
                      <w:sz w:val="21"/>
                      <w:color w:val="000000"/>
                    </w:rPr>
                    <w:t xml:space="preserve">3.顶进设备安拆 </w:t>
                  </w:r>
                  <w:r>
                    <w:br/>
                  </w:r>
                  <w:r>
                    <w:rPr>
                      <w:rFonts w:ascii="仿宋_GB2312" w:hAnsi="仿宋_GB2312" w:cs="仿宋_GB2312" w:eastAsia="仿宋_GB2312"/>
                      <w:sz w:val="21"/>
                      <w:color w:val="000000"/>
                    </w:rPr>
                    <w:t>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348.79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348.79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041001002001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1.名称：线路人行道彩砖开挖抢修 [工作内容]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1.拆除人行道 2.人行道块料铺设3.挖沟槽、基坑、回填 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265.67</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265.67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041001002001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1.名称：线路人行道彩砖开挖抢修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1.拆除人行道 2.人行道块料铺设 3.挖沟槽、基坑、回填 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553.48</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553.48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041001002002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1.名称：线路人行道彩砖开挖抢修（含PE管主材更换）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1.拆除、恢复人行道2.人行道块料铺设 3.挖沟槽、基坑、回填 4.配管5.电缆敷设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320.37</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320.37</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041001002002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1.名称：线路人行道彩砖开挖抢修（含PE管主材更换） [工作内容]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1.拆除、恢复人行道 2.人行道块料铺设 3.挖沟槽、基坑、回填4.配管5.电缆敷设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667.44</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667.44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1.名称：线路人行道混凝土路面抢修（含PE管主材更换）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1.拆除路面 2.水泥混凝土 3.挖沟槽、基坑、回填 4.配管5.电缆敷设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315.99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315.99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1.名称：线路人行道混凝土路面抢修（含PE管主材更换）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1.拆除路面 2.水泥混凝土3.挖沟槽、基坑、回填 4.配管 5.电缆敷设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658.31</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658.31</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041001001005</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1.名称：线路人行道混凝土路面抢修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1.拆除路面2.水泥混凝土3.挖沟槽、基坑、回填 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261.29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261.29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041001001005</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1.名称：线路人行道混凝土路面抢修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1.拆除路面 2.水泥混凝土 3.挖沟槽、基坑、回填4.电缆敷设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544.35</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544.35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041001001003</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1.名称：线路人行道沥青路面抢修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1.拆除路面2.沥青混凝土 3.挖沟槽、基坑、回填4.电缆敷设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258.14</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258.14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041001001003</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1.名称：线路人行道沥青路面抢修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1.拆除路面 2.沥青混凝土3.挖沟槽、基坑、回填 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537.79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537.79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041001001004</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1.名称：线路人行道沥青路面抢修（含PE管主材更换）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1.拆除路面 2.沥青混凝土3.挖沟槽、基坑、回填 4.配管5.电缆敷设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312.84</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312.84</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041001001004</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1.名称：线路人行道沥青路面抢修（含PE管主材更换）</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1.拆除路面2.沥青混凝土3.挖沟槽、基坑、回填 4.配管 5.电缆敷设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651.75</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651.75</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050101002001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1.名称：线路绿化带抢修 [工作内容]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1.拆除绿化带 2.挖沟槽、基坑、回填 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228.29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228.29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050101002001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1.名称：线路绿化带抢修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1.拆除绿化带2.挖沟槽、基坑、回填4.电缆敷设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475.60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475.60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050101002002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1.名称：线路绿化带抢修（含PE管主材更换）</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1.拆除绿化带2.挖沟槽、基坑、回填4.配管 5.电缆敷设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251.70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251.70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050101002002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1.名称：线路绿化带抢修（含PE管主材更换）</w:t>
                  </w:r>
                </w:p>
                <w:p>
                  <w:pPr>
                    <w:pStyle w:val="null3"/>
                    <w:jc w:val="left"/>
                  </w:pP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1.拆除绿化带 2.挖沟槽、基坑、回填 4.配管 5.电缆敷设</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m3</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524.38</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524.38</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030409016001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1.名称：线路桥架抢修</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1.拆除、安装桥架2.桥架</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m</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236.79</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236.79</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DB001</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1.名称：民工</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1.辅助配合开挖、接线等</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人</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DB002</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1.名称：垃圾清运 （6方）</w:t>
                  </w:r>
                </w:p>
                <w:p>
                  <w:pPr>
                    <w:pStyle w:val="null3"/>
                    <w:jc w:val="left"/>
                  </w:pPr>
                  <w:r>
                    <w:rPr>
                      <w:rFonts w:ascii="仿宋_GB2312" w:hAnsi="仿宋_GB2312" w:cs="仿宋_GB2312" w:eastAsia="仿宋_GB2312"/>
                      <w:sz w:val="21"/>
                      <w:color w:val="000000"/>
                    </w:rPr>
                    <w:t>工作内容</w:t>
                  </w:r>
                  <w:r>
                    <w:rPr>
                      <w:rFonts w:ascii="仿宋_GB2312" w:hAnsi="仿宋_GB2312" w:cs="仿宋_GB2312" w:eastAsia="仿宋_GB2312"/>
                      <w:sz w:val="21"/>
                      <w:color w:val="000000"/>
                    </w:rPr>
                    <w:t>]</w:t>
                  </w:r>
                </w:p>
                <w:p>
                  <w:pPr>
                    <w:pStyle w:val="null3"/>
                    <w:jc w:val="left"/>
                  </w:pPr>
                  <w:r>
                    <w:rPr>
                      <w:rFonts w:ascii="仿宋_GB2312" w:hAnsi="仿宋_GB2312" w:cs="仿宋_GB2312" w:eastAsia="仿宋_GB2312"/>
                      <w:sz w:val="21"/>
                      <w:color w:val="000000"/>
                    </w:rPr>
                    <w:t>1.垃圾装卸 2.车辆运输3.现场清理</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车</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1000</w:t>
                  </w:r>
                </w:p>
              </w:tc>
            </w:tr>
            <w:tr>
              <w:tc>
                <w:tcPr>
                  <w:tcW w:type="dxa" w:w="2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4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DB003</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color w:val="000000"/>
                    </w:rPr>
                    <w:t>[项目特征]</w:t>
                  </w:r>
                </w:p>
                <w:p>
                  <w:pPr>
                    <w:pStyle w:val="null3"/>
                    <w:jc w:val="left"/>
                  </w:pPr>
                  <w:r>
                    <w:rPr>
                      <w:rFonts w:ascii="仿宋_GB2312" w:hAnsi="仿宋_GB2312" w:cs="仿宋_GB2312" w:eastAsia="仿宋_GB2312"/>
                      <w:sz w:val="21"/>
                      <w:color w:val="000000"/>
                    </w:rPr>
                    <w:t>1.名称：快速路维修防撞车辆（80K)</w:t>
                  </w:r>
                </w:p>
                <w:p>
                  <w:pPr>
                    <w:pStyle w:val="null3"/>
                    <w:jc w:val="left"/>
                  </w:pPr>
                  <w:r>
                    <w:rPr>
                      <w:rFonts w:ascii="仿宋_GB2312" w:hAnsi="仿宋_GB2312" w:cs="仿宋_GB2312" w:eastAsia="仿宋_GB2312"/>
                      <w:sz w:val="21"/>
                      <w:color w:val="000000"/>
                    </w:rPr>
                    <w:t>[工作内容]</w:t>
                  </w:r>
                </w:p>
                <w:p>
                  <w:pPr>
                    <w:pStyle w:val="null3"/>
                    <w:jc w:val="left"/>
                  </w:pPr>
                  <w:r>
                    <w:rPr>
                      <w:rFonts w:ascii="仿宋_GB2312" w:hAnsi="仿宋_GB2312" w:cs="仿宋_GB2312" w:eastAsia="仿宋_GB2312"/>
                      <w:sz w:val="21"/>
                      <w:color w:val="000000"/>
                    </w:rPr>
                    <w:t>1.防撞车辆</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天</w:t>
                  </w:r>
                </w:p>
              </w:tc>
              <w:tc>
                <w:tcPr>
                  <w:tcW w:type="dxa" w:w="2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3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c>
                <w:tcPr>
                  <w:tcW w:type="dxa" w:w="3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1500</w:t>
                  </w:r>
                </w:p>
              </w:tc>
            </w:tr>
          </w:tbl>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本项目验收所产生的的费用由中标供应商承担。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本项目验收所产生的的费用由中标供应商承担。</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本年度合同签订之日起至测试及验收工作完成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自本年度合同签订之日起至次年采购合同签订之日至，具体以采购人确认日期为准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实施进度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实施进度</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验收合格</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以签订合同及安全管理协议为准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以签订合同及安全管理协议为准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1.投标人须是在中华人民共和国境内注册的法人，须提供合法有效的营业执照或法人证书等证明材料的扫描件或复印件加盖投标人公章，原件备查;2.本项目不接受联合体投标，不允许分包、转包: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1.投标单位须为在中华人民共和国境内依法注册的独立法 人或其他组织及自然人，提供有效的统一社会信用代码的营业执照；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7.供应商须有效期内的承装（修、试）电力设施许可证四级及以上资质；且具有有效的安全生产许可证；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tc>
        <w:tc>
          <w:tcPr>
            <w:tcW w:type="dxa" w:w="1661"/>
          </w:tcPr>
          <w:p>
            <w:pPr>
              <w:pStyle w:val="null3"/>
            </w:pPr>
            <w:r>
              <w:rPr>
                <w:rFonts w:ascii="仿宋_GB2312" w:hAnsi="仿宋_GB2312" w:cs="仿宋_GB2312" w:eastAsia="仿宋_GB2312"/>
              </w:rPr>
              <w:t>投标文件封面 特定资格审查文件.docx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本项目的特定资格要求</w:t>
            </w:r>
          </w:p>
        </w:tc>
        <w:tc>
          <w:tcPr>
            <w:tcW w:type="dxa" w:w="3322"/>
          </w:tcPr>
          <w:p>
            <w:pPr>
              <w:pStyle w:val="null3"/>
            </w:pPr>
            <w:r>
              <w:rPr>
                <w:rFonts w:ascii="仿宋_GB2312" w:hAnsi="仿宋_GB2312" w:cs="仿宋_GB2312" w:eastAsia="仿宋_GB2312"/>
              </w:rPr>
              <w:t>1.投标单位须为在中华人民共和国境内依法注册的独立法 人或其他组织及自然人，提供有效的统一社会信用代码的营业执照； 2.财务状况报告（二选一）：①投标单位须提供2024年或2025年度经审计机构出具的完整的财务审计报告（成立时间至投标文件递交截止时间不足一年的可提供成立后任意时段的资产负债表）；②在投标文件递交截止时间前三个月内其开户银行出具的资信证明（附开户许可证或基本账户存款信息）； 3.税收缴纳证明：投标单位提供2025年6月至今已缴纳任意一个月纳税证明或税务机关开具的完税证明（时间以税款所属日期为准，个人所得税不得作为纳税凭证，凭据应有税务机关或代收机关的公章或业务专用章。）依法免税或无须缴纳税收的单位应提供相应证明文件； 4.投标单位提供2025年6月至今已缴存任意一个月社会保障资金缴存单据或社保机构开具的社会保险参保缴费证明，依法不需要缴纳社会保障资金的单位应提供相应证明文件； 5.信用记录查询：投标单位应在投标截止日前，以“信用中国”网站（www.creditchina.gov.cn）和中国政府采购网（www.ccgp.gov.cn）截图查询结果，提供（查询日期为从招标文件发售之日起至投标截止日前）网站截图并加盖投标单位公章，查询内容为未被列入失信被执行人、重大税收违法失信主体当事人名单（处罚期限届满的除外）和政府采购严重违法失信行为记录（以开标当天代理机构现场查询结果为准，若不符合要求，按无效投标处理）； 6.法定代表人直接参加投标的只须提供法定代表人身份证，非法定代表人参加投标，须出具法定代表人授权书及被授权人身份证； 7.供应商须具备有效的城市及道路照明工程专业承包三级（含三级及以上）或市政公用工程施工总承包三级（含三级及以上）资质，且具有有效的安全生产许可证； 8.拟派项目经理具有机电或市政工程专业二级及以上注册建造师资格，具有有效的项目经理安全生产考核合格证书（B类证），在本单位注册且无在建项目； 9.单位负责人为同一人或者存在直接控股、管理关系的不同供应商（承包商），不得同时参加本项目的投标； 10.提供具有履行合同所必需的设备和专业技术能力的承诺（格式自拟）</w:t>
            </w:r>
          </w:p>
        </w:tc>
        <w:tc>
          <w:tcPr>
            <w:tcW w:type="dxa" w:w="1661"/>
          </w:tcPr>
          <w:p>
            <w:pPr>
              <w:pStyle w:val="null3"/>
            </w:pPr>
            <w:r>
              <w:rPr>
                <w:rFonts w:ascii="仿宋_GB2312" w:hAnsi="仿宋_GB2312" w:cs="仿宋_GB2312" w:eastAsia="仿宋_GB2312"/>
              </w:rPr>
              <w:t>投标文件封面 特定资格审查文件.docx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投标有效期、服务期限、质量标准、验收（考核）标准、签字盖章</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服务内容及服务邀请应答表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符合性审查</w:t>
            </w:r>
          </w:p>
        </w:tc>
        <w:tc>
          <w:tcPr>
            <w:tcW w:type="dxa" w:w="3322"/>
          </w:tcPr>
          <w:p>
            <w:pPr>
              <w:pStyle w:val="null3"/>
            </w:pPr>
            <w:r>
              <w:rPr>
                <w:rFonts w:ascii="仿宋_GB2312" w:hAnsi="仿宋_GB2312" w:cs="仿宋_GB2312" w:eastAsia="仿宋_GB2312"/>
              </w:rPr>
              <w:t>投标有效期、服务期限、质量标准、验收（考核）标准、签字盖章</w:t>
            </w:r>
          </w:p>
        </w:tc>
        <w:tc>
          <w:tcPr>
            <w:tcW w:type="dxa" w:w="1661"/>
          </w:tcPr>
          <w:p>
            <w:pPr>
              <w:pStyle w:val="null3"/>
            </w:pPr>
            <w:r>
              <w:rPr>
                <w:rFonts w:ascii="仿宋_GB2312" w:hAnsi="仿宋_GB2312" w:cs="仿宋_GB2312" w:eastAsia="仿宋_GB2312"/>
              </w:rPr>
              <w:t>开标一览表 服务内容及服务邀请应答表 投标函 商务应答表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供应商阐述针对本项目提供的总体服务方案： 1.总体服务方案内容全面、详实，科学合理，有针对性，可实施性强的得15分； 2.总体服务方案的内容较为全面，方案基本合理，可实施性较好的得13分； 3.总体服务方案的内容较为一般，方案基本合理，可实施性一般得10分； 4.总体服务方案的内容一般，方案基本合理，可实施性差的得6分； 5.总体服务方案的内容不完整，方案合理性差，可实施性差的得3分； 6.总体服务方案的内容不完整，无合理性，无可实施性得1分； 不提供得0分。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 供应商有针对本项目的质量保证措施，根据质量保证措施的完整性、严格度、规范化，质检措施详尽化及针对性等方面的响应情况进行综合评审。质量保证措施完善、可行得7分； 质量保证措施基本合理，有一定针对性和可操作性，得5分；有欠缺，简单，得3分。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拟投入的主要物资和机械设备</w:t>
            </w:r>
          </w:p>
        </w:tc>
        <w:tc>
          <w:tcPr>
            <w:tcW w:type="dxa" w:w="2492"/>
          </w:tcPr>
          <w:p>
            <w:pPr>
              <w:pStyle w:val="null3"/>
            </w:pPr>
            <w:r>
              <w:rPr>
                <w:rFonts w:ascii="仿宋_GB2312" w:hAnsi="仿宋_GB2312" w:cs="仿宋_GB2312" w:eastAsia="仿宋_GB2312"/>
              </w:rPr>
              <w:t>拟投入的主要物资和机械设备 供应商根据本项目要求，提供拟投入主要物资和机械设备配备情况:1.拟投入设备种类丰富，选型合理，与采购需求契合度高，可以保障维护服务需求得10分: 2.拟投入设备种类较丰富，选型与采购需求较契合，可以较好地满足维护服务需求得8分: 3.拟投入设备种类一般，选型与采购需求基本契合,基本满足维护服务需求得5分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应急处理方案 供应商提供针对本项目在日常工作中可能遇到的突发事件，应对和处理各类突发事件的应急措施： 1.应急措施科学、全面、高效、针对性强、可行性强，响应及时的得10分； 2.应急措施科学、全面、完整性一般、针对性一般、可行性一般，响应效率一般的得8分； 3.应急措施科学、全面、完整性略有欠缺，有待完善的得5分 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项目团队人员配备 拟投入人员配备情况（写明拟投入的全部人数，主要人员明确姓名及相关信息等）包括数量、资质、人员安排等方面）。 项目团队配备齐全，能够满足服务要求，得10分； 项目团队配备一般，基本满足服务要求，得8分； 项目团队配备较差，得5分。 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现场管理制度</w:t>
            </w:r>
          </w:p>
        </w:tc>
        <w:tc>
          <w:tcPr>
            <w:tcW w:type="dxa" w:w="2492"/>
          </w:tcPr>
          <w:p>
            <w:pPr>
              <w:pStyle w:val="null3"/>
            </w:pPr>
            <w:r>
              <w:rPr>
                <w:rFonts w:ascii="仿宋_GB2312" w:hAnsi="仿宋_GB2312" w:cs="仿宋_GB2312" w:eastAsia="仿宋_GB2312"/>
              </w:rPr>
              <w:t>现场管理制度 供应商提供针对本项目实施的现场管理制度（包括但不限于工作流程、安全检查、保养、检修和定期巡检制度等）： 1.对现场管理制度有详细阐述，科学合理，可行性较强，得10分。 2.对现场管理制度有较为详细阐述，具备可行性，得8分。 3.对现场管理制度有一定阐述，可行性一般，得5分。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有利于本项目工作顺利进行的合理化建议详细合理，针对性强得8分；较详细得3分；简单，无针对性得1分； 不提供得0分。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具有供应商提供近三年（2023年1月1日以后）类似业绩，提供一个计2分，本项最多得10分。未提供得0分。 注：业绩证明资料以合同（以合同签订时间）或中标（成交）通知书为准。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对比各供应商服务承诺，承诺事项具体、可行、可操作性强得5分； 承诺事项较具体、可行、可操作性较强得3分； 承诺事项不具体或较差得1分。 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2.满足实质性要求的最低报价为评标基准价得15分。 3.按（评标基准价/有效投标报价）×15的公式计算其得分。 4.投标报价不完整的，不进入评标基准价的计算，本项得0分。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供应商阐述针对本项目提供的总体服务方案： 1.总体服务方案内容全面、详实，科学合理，有针对性，可实施性强的得15分； 2.总体服务方案的内容较为全面，方案基本合理，可实施性较好的得13分； 3.总体服务方案的内容较为一般，方案基本合理，可实施性一般得10分； 4.总体服务方案的内容一般，方案基本合理，可实施性差的得6分； 5.总体服务方案的内容不完整，方案合理性差，可实施性差的得3分； 6.总体服务方案的内容不完整，无合理性，无可实施性得1分； 不提供得0分。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质量保证措施 供应商有针对本项目的质量保证措施，根据质量保证措施的完整性、严格度、规范化，质检措施详尽化及针对性等方面的响应情况进行综合评审。质量保证措施完善、可行得7分； 质量保证措施基本合理，有一定针对性和可操作性，得5分；有欠缺，简单，得3分。 不提供得0分。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拟投入的主要物资和机械设备</w:t>
            </w:r>
          </w:p>
        </w:tc>
        <w:tc>
          <w:tcPr>
            <w:tcW w:type="dxa" w:w="2492"/>
          </w:tcPr>
          <w:p>
            <w:pPr>
              <w:pStyle w:val="null3"/>
            </w:pPr>
            <w:r>
              <w:rPr>
                <w:rFonts w:ascii="仿宋_GB2312" w:hAnsi="仿宋_GB2312" w:cs="仿宋_GB2312" w:eastAsia="仿宋_GB2312"/>
              </w:rPr>
              <w:t>拟投入的主要物资和机械设备 供应商根据本项目要求，提供拟投入主要物资和机械设备配备情况:1.拟投入设备种类丰富，选型合理，与采购需求契合度高，可以保障维护服务需求得10分: 2.拟投入设备种类较丰富，选型与采购需求较契合，可以较好地满足维护服务需求得8分: 3.拟投入设备种类一般，选型与采购需求基本契合,基本满足维护服务需求得5分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应急处理方案</w:t>
            </w:r>
          </w:p>
        </w:tc>
        <w:tc>
          <w:tcPr>
            <w:tcW w:type="dxa" w:w="2492"/>
          </w:tcPr>
          <w:p>
            <w:pPr>
              <w:pStyle w:val="null3"/>
            </w:pPr>
            <w:r>
              <w:rPr>
                <w:rFonts w:ascii="仿宋_GB2312" w:hAnsi="仿宋_GB2312" w:cs="仿宋_GB2312" w:eastAsia="仿宋_GB2312"/>
              </w:rPr>
              <w:t>应急处理方案 供应商提供针对本项目在日常工作中可能遇到的突发事件，应对和处理各类突发事件的应急措施： 1.应急措施科学、全面、高效、针对性强、可行性强，响应及时的得10分； 2.应急措施科学、全面、完整性一般、针对性一般、可行性一般，响应效率一般的得8分； 3.应急措施科学、全面、完整性略有欠缺，有待完善的得5分 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项目团队人员配备</w:t>
            </w:r>
          </w:p>
        </w:tc>
        <w:tc>
          <w:tcPr>
            <w:tcW w:type="dxa" w:w="2492"/>
          </w:tcPr>
          <w:p>
            <w:pPr>
              <w:pStyle w:val="null3"/>
            </w:pPr>
            <w:r>
              <w:rPr>
                <w:rFonts w:ascii="仿宋_GB2312" w:hAnsi="仿宋_GB2312" w:cs="仿宋_GB2312" w:eastAsia="仿宋_GB2312"/>
              </w:rPr>
              <w:t>项目团队人员配备 拟投入人员配备情况（写明拟投入的全部人数，主要人员明确姓名及相关信息等）包括数量、资质、人员安排等方面）。 项目团队配备齐全，能够满足服务要求，得10分； 项目团队配备一般，基本满足服务要求，得8分； 项目团队配备较差，得5分。 不提供得0分。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现场管理制度</w:t>
            </w:r>
          </w:p>
        </w:tc>
        <w:tc>
          <w:tcPr>
            <w:tcW w:type="dxa" w:w="2492"/>
          </w:tcPr>
          <w:p>
            <w:pPr>
              <w:pStyle w:val="null3"/>
            </w:pPr>
            <w:r>
              <w:rPr>
                <w:rFonts w:ascii="仿宋_GB2312" w:hAnsi="仿宋_GB2312" w:cs="仿宋_GB2312" w:eastAsia="仿宋_GB2312"/>
              </w:rPr>
              <w:t>现场管理制度 供应商提供针对本项目实施的现场管理制度（包括但不限于工作流程、安全检查、保养、检修和定期巡检制度等）： 1.对现场管理制度有详细阐述，科学合理，可行性较强，得10分。 2.对现场管理制度有较为详细阐述，具备可行性，得8分。 3.对现场管理制度有一定阐述，可行性一般，得5分。 4.无相关描述得0分。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技术评审.docx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有利于本项目工作顺利进行的合理化建议详细合理，针对性强得8分；较详细得3分；简单，无针对性得1分； 不提供得0分。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技术评审.docx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具有供应商提供近三年（2023年1月1日以后）类似业绩，提供一个计2分，本项最多得10分。未提供得0分。 注：业绩证明资料以合同（以合同签订时间）或中标（成交）通知书为准。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对比各供应商服务承诺，承诺事项具体、可行、可操作性强得5分； 承诺事项较具体、可行、可操作性较强得3分； 承诺事项不具体或较差得1分。 不提供得0分。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1.经初审合格的投标文件，其投标报价为有效投标价。对符合政策性扣减的有效投标报价进行政策性扣减，并依据扣减后的价格（评审价格）进行价格评审。 2.满足实质性要求的最低报价为评标基准价得15分。 3.按（评标基准价/有效投标报价）×15的公式计算其得分。 4.投标报价不完整的，不进入评标基准价的计算，本项得0分。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详见附件：特定资格审查文件.docx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详见附件：技术评审.docx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详见附件：特定资格审查文件.docx</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详见附件：技术评审.docx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详见附件：合同模板（二次）.docx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