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9D6B67">
      <w:pPr>
        <w:keepNext w:val="0"/>
        <w:keepLines w:val="0"/>
        <w:pageBreakBefore w:val="0"/>
        <w:widowControl w:val="0"/>
        <w:shd w:val="clear" w:color="auto" w:fill="auto"/>
        <w:kinsoku/>
        <w:wordWrap w:val="0"/>
        <w:overflowPunct/>
        <w:topLinePunct w:val="0"/>
        <w:autoSpaceDE/>
        <w:autoSpaceDN/>
        <w:bidi w:val="0"/>
        <w:adjustRightInd/>
        <w:snapToGrid/>
        <w:spacing w:line="900" w:lineRule="exact"/>
        <w:jc w:val="both"/>
        <w:textAlignment w:val="auto"/>
        <w:rPr>
          <w:rFonts w:hint="default" w:ascii="宋体" w:hAnsi="宋体" w:eastAsia="宋体" w:cs="宋体"/>
          <w:b/>
          <w:color w:val="auto"/>
          <w:sz w:val="36"/>
          <w:szCs w:val="36"/>
          <w:highlight w:val="none"/>
          <w:bdr w:val="single" w:color="auto" w:sz="4" w:space="0"/>
          <w:shd w:val="pct10" w:color="auto" w:fill="FFFFFF"/>
          <w:lang w:val="en-US" w:eastAsia="zh-CN"/>
        </w:rPr>
      </w:pPr>
      <w:r>
        <w:rPr>
          <w:rFonts w:hint="eastAsia" w:ascii="黑体" w:hAnsi="黑体" w:eastAsia="黑体" w:cs="黑体"/>
          <w:b w:val="0"/>
          <w:bCs/>
          <w:color w:val="auto"/>
          <w:sz w:val="36"/>
          <w:szCs w:val="36"/>
          <w:highlight w:val="none"/>
          <w:bdr w:val="single" w:color="auto" w:sz="4" w:space="0"/>
          <w:shd w:val="pct10" w:color="auto" w:fill="FFFFFF"/>
        </w:rPr>
        <w:t>政府采购项目</w:t>
      </w:r>
      <w:r>
        <w:rPr>
          <w:rFonts w:hint="eastAsia" w:ascii="KaiTi_GB2312" w:hAnsi="宋体" w:eastAsia="KaiTi_GB2312" w:cs="Times New Roman"/>
          <w:b w:val="0"/>
          <w:bCs w:val="0"/>
          <w:sz w:val="36"/>
          <w:szCs w:val="36"/>
          <w:lang w:val="en-US" w:eastAsia="zh-CN"/>
        </w:rPr>
        <w:t xml:space="preserve">  </w:t>
      </w:r>
    </w:p>
    <w:p w14:paraId="3181582B">
      <w:pPr>
        <w:keepNext w:val="0"/>
        <w:keepLines w:val="0"/>
        <w:pageBreakBefore w:val="0"/>
        <w:widowControl w:val="0"/>
        <w:kinsoku/>
        <w:wordWrap/>
        <w:overflowPunct/>
        <w:topLinePunct w:val="0"/>
        <w:autoSpaceDE/>
        <w:autoSpaceDN/>
        <w:bidi w:val="0"/>
        <w:adjustRightInd/>
        <w:snapToGrid/>
        <w:spacing w:line="800" w:lineRule="exact"/>
        <w:jc w:val="both"/>
        <w:textAlignment w:val="auto"/>
        <w:rPr>
          <w:rFonts w:hint="eastAsia" w:ascii="黑体" w:hAnsi="黑体" w:eastAsia="黑体" w:cs="黑体"/>
          <w:b w:val="0"/>
          <w:bCs w:val="0"/>
          <w:sz w:val="30"/>
          <w:szCs w:val="30"/>
          <w:lang w:val="en-US" w:eastAsia="zh-CN"/>
        </w:rPr>
      </w:pPr>
      <w:r>
        <w:rPr>
          <w:rFonts w:hint="eastAsia" w:ascii="黑体" w:hAnsi="黑体" w:eastAsia="黑体" w:cs="黑体"/>
          <w:b w:val="0"/>
          <w:bCs w:val="0"/>
          <w:sz w:val="30"/>
          <w:szCs w:val="30"/>
          <w:lang w:eastAsia="zh-CN"/>
        </w:rPr>
        <w:t>计划备案编号：</w:t>
      </w:r>
      <w:r>
        <w:rPr>
          <w:rFonts w:hint="eastAsia" w:ascii="黑体" w:hAnsi="黑体" w:eastAsia="黑体" w:cs="黑体"/>
          <w:b w:val="0"/>
          <w:bCs w:val="0"/>
          <w:sz w:val="30"/>
          <w:szCs w:val="30"/>
          <w:lang w:val="en-US" w:eastAsia="zh-CN"/>
        </w:rPr>
        <w:t>ZCBN-西安市-2026-00413</w:t>
      </w:r>
    </w:p>
    <w:p w14:paraId="7FC89AE6">
      <w:pPr>
        <w:rPr>
          <w:rFonts w:hint="eastAsia" w:ascii="黑体" w:hAnsi="黑体" w:eastAsia="黑体" w:cs="黑体"/>
          <w:b/>
          <w:sz w:val="36"/>
          <w:szCs w:val="36"/>
          <w:lang w:eastAsia="zh-CN"/>
        </w:rPr>
      </w:pPr>
    </w:p>
    <w:p w14:paraId="357E0760">
      <w:pPr>
        <w:rPr>
          <w:rFonts w:hint="eastAsia" w:ascii="黑体" w:hAnsi="黑体" w:eastAsia="黑体" w:cs="黑体"/>
          <w:b/>
          <w:sz w:val="36"/>
          <w:szCs w:val="36"/>
          <w:lang w:eastAsia="zh-CN"/>
        </w:rPr>
      </w:pPr>
    </w:p>
    <w:p w14:paraId="289479F7">
      <w:pPr>
        <w:keepNext w:val="0"/>
        <w:keepLines w:val="0"/>
        <w:pageBreakBefore w:val="0"/>
        <w:widowControl w:val="0"/>
        <w:kinsoku/>
        <w:wordWrap/>
        <w:overflowPunct/>
        <w:topLinePunct w:val="0"/>
        <w:autoSpaceDE/>
        <w:autoSpaceDN/>
        <w:bidi w:val="0"/>
        <w:adjustRightInd/>
        <w:snapToGrid/>
        <w:spacing w:line="720" w:lineRule="exact"/>
        <w:textAlignment w:val="auto"/>
        <w:rPr>
          <w:rFonts w:ascii="KaiTi_GB2312" w:hAnsi="宋体" w:eastAsia="KaiTi_GB2312"/>
          <w:b w:val="0"/>
          <w:bCs w:val="0"/>
          <w:sz w:val="36"/>
          <w:szCs w:val="36"/>
        </w:rPr>
      </w:pPr>
    </w:p>
    <w:p w14:paraId="6C253030">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方正小标宋_GBK" w:hAnsi="方正小标宋_GBK" w:eastAsia="方正小标宋_GBK" w:cs="方正小标宋_GBK"/>
          <w:b w:val="0"/>
          <w:bCs w:val="0"/>
          <w:sz w:val="52"/>
          <w:szCs w:val="52"/>
          <w:lang w:eastAsia="zh-CN"/>
        </w:rPr>
      </w:pPr>
      <w:r>
        <w:rPr>
          <w:rFonts w:hint="eastAsia" w:ascii="方正小标宋_GBK" w:hAnsi="方正小标宋_GBK" w:eastAsia="方正小标宋_GBK" w:cs="方正小标宋_GBK"/>
          <w:b w:val="0"/>
          <w:bCs w:val="0"/>
          <w:sz w:val="52"/>
          <w:szCs w:val="52"/>
        </w:rPr>
        <w:t>西安市城市照明</w:t>
      </w:r>
      <w:r>
        <w:rPr>
          <w:rFonts w:hint="eastAsia" w:ascii="方正小标宋_GBK" w:hAnsi="方正小标宋_GBK" w:eastAsia="方正小标宋_GBK" w:cs="方正小标宋_GBK"/>
          <w:b w:val="0"/>
          <w:bCs w:val="0"/>
          <w:sz w:val="52"/>
          <w:szCs w:val="52"/>
          <w:lang w:eastAsia="zh-CN"/>
        </w:rPr>
        <w:t>管护中心</w:t>
      </w:r>
    </w:p>
    <w:p w14:paraId="1D49D3BF">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方正小标宋_GBK" w:hAnsi="方正小标宋_GBK" w:eastAsia="方正小标宋_GBK" w:cs="方正小标宋_GBK"/>
          <w:b w:val="0"/>
          <w:bCs w:val="0"/>
          <w:sz w:val="24"/>
        </w:rPr>
      </w:pPr>
      <w:r>
        <w:rPr>
          <w:rFonts w:hint="eastAsia" w:ascii="方正小标宋_GBK" w:hAnsi="方正小标宋_GBK" w:eastAsia="方正小标宋_GBK" w:cs="方正小标宋_GBK"/>
          <w:b w:val="0"/>
          <w:bCs w:val="0"/>
          <w:sz w:val="52"/>
          <w:szCs w:val="52"/>
          <w:lang w:eastAsia="zh-CN"/>
        </w:rPr>
        <w:t>变压器预防性试验</w:t>
      </w:r>
      <w:r>
        <w:rPr>
          <w:rFonts w:hint="eastAsia" w:ascii="方正小标宋_GBK" w:hAnsi="方正小标宋_GBK" w:eastAsia="方正小标宋_GBK" w:cs="方正小标宋_GBK"/>
          <w:b w:val="0"/>
          <w:bCs w:val="0"/>
          <w:sz w:val="52"/>
          <w:szCs w:val="52"/>
        </w:rPr>
        <w:t xml:space="preserve">合同 </w:t>
      </w:r>
    </w:p>
    <w:p w14:paraId="7F06ABCB">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（照明设施抢修及维护</w:t>
      </w:r>
      <w:r>
        <w:rPr>
          <w:rFonts w:hint="eastAsia" w:ascii="楷体" w:hAnsi="楷体" w:eastAsia="楷体" w:cs="楷体"/>
          <w:sz w:val="32"/>
          <w:szCs w:val="32"/>
          <w:lang w:val="en-US" w:eastAsia="zh-CN"/>
        </w:rPr>
        <w:t xml:space="preserve"> </w:t>
      </w:r>
      <w:r>
        <w:rPr>
          <w:rFonts w:hint="eastAsia" w:ascii="楷体" w:hAnsi="楷体" w:eastAsia="楷体" w:cs="楷体"/>
          <w:sz w:val="32"/>
          <w:szCs w:val="32"/>
          <w:lang w:eastAsia="zh-CN"/>
        </w:rPr>
        <w:t>标包</w:t>
      </w:r>
      <w:r>
        <w:rPr>
          <w:rFonts w:hint="eastAsia" w:ascii="楷体" w:hAnsi="楷体" w:eastAsia="楷体" w:cs="楷体"/>
          <w:sz w:val="32"/>
          <w:szCs w:val="32"/>
          <w:lang w:val="en-US" w:eastAsia="zh-CN"/>
        </w:rPr>
        <w:t>1</w:t>
      </w:r>
      <w:r>
        <w:rPr>
          <w:rFonts w:hint="eastAsia" w:ascii="楷体" w:hAnsi="楷体" w:eastAsia="楷体" w:cs="楷体"/>
          <w:sz w:val="32"/>
          <w:szCs w:val="32"/>
          <w:lang w:eastAsia="zh-CN"/>
        </w:rPr>
        <w:t>）</w:t>
      </w:r>
    </w:p>
    <w:p w14:paraId="3E4D07B4">
      <w:pPr>
        <w:snapToGrid w:val="0"/>
        <w:spacing w:line="288" w:lineRule="auto"/>
        <w:rPr>
          <w:rFonts w:ascii="FangSong_GB2312"/>
          <w:sz w:val="36"/>
        </w:rPr>
      </w:pPr>
    </w:p>
    <w:p w14:paraId="6E4E5641">
      <w:pPr>
        <w:snapToGrid w:val="0"/>
        <w:spacing w:line="288" w:lineRule="auto"/>
        <w:rPr>
          <w:rFonts w:ascii="FangSong_GB2312"/>
          <w:sz w:val="36"/>
        </w:rPr>
      </w:pPr>
    </w:p>
    <w:p w14:paraId="018C46B7">
      <w:pPr>
        <w:pStyle w:val="2"/>
      </w:pPr>
    </w:p>
    <w:p w14:paraId="01B80CBD">
      <w:pPr>
        <w:pStyle w:val="3"/>
        <w:ind w:left="1805" w:leftChars="1" w:hanging="1803" w:hangingChars="499"/>
        <w:rPr>
          <w:rFonts w:ascii="FangSong_GB2312"/>
          <w:b/>
          <w:bCs/>
          <w:sz w:val="36"/>
        </w:rPr>
      </w:pPr>
      <w:r>
        <w:rPr>
          <w:rFonts w:hint="eastAsia" w:ascii="FangSong_GB2312" w:eastAsia="宋体"/>
          <w:b/>
          <w:bCs/>
        </w:rPr>
        <w:t xml:space="preserve"> </w:t>
      </w:r>
    </w:p>
    <w:p w14:paraId="263AF2C7">
      <w:pPr>
        <w:snapToGrid w:val="0"/>
        <w:spacing w:line="288" w:lineRule="auto"/>
        <w:rPr>
          <w:rFonts w:ascii="FangSong_GB2312"/>
          <w:b/>
          <w:bCs/>
          <w:sz w:val="36"/>
        </w:rPr>
      </w:pPr>
    </w:p>
    <w:p w14:paraId="05D8CC49">
      <w:pPr>
        <w:pStyle w:val="2"/>
      </w:pPr>
    </w:p>
    <w:p w14:paraId="3612BD62">
      <w:pPr>
        <w:pStyle w:val="2"/>
      </w:pPr>
    </w:p>
    <w:p w14:paraId="1740F2F9">
      <w:pPr>
        <w:snapToGrid w:val="0"/>
        <w:spacing w:line="288" w:lineRule="auto"/>
        <w:rPr>
          <w:rFonts w:ascii="FangSong_GB2312"/>
          <w:b/>
          <w:bCs/>
          <w:sz w:val="36"/>
        </w:rPr>
      </w:pPr>
    </w:p>
    <w:p w14:paraId="3F3DCCD3">
      <w:pPr>
        <w:snapToGrid w:val="0"/>
        <w:spacing w:line="288" w:lineRule="auto"/>
        <w:rPr>
          <w:rFonts w:hint="eastAsia" w:ascii="宋体" w:hAnsi="宋体" w:eastAsia="宋体" w:cs="宋体"/>
          <w:b/>
          <w:sz w:val="32"/>
          <w:szCs w:val="32"/>
        </w:rPr>
      </w:pPr>
    </w:p>
    <w:p w14:paraId="0E50B279">
      <w:pPr>
        <w:ind w:firstLine="600" w:firstLineChars="200"/>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采购人（全称）：西安市城市照明管护中心</w:t>
      </w:r>
    </w:p>
    <w:p w14:paraId="4338F15B">
      <w:pPr>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lang w:eastAsia="zh-CN"/>
        </w:rPr>
        <w:t>供应商（全称）：</w:t>
      </w:r>
    </w:p>
    <w:p w14:paraId="5FB25A97">
      <w:pPr>
        <w:ind w:firstLine="600" w:firstLineChars="200"/>
        <w:rPr>
          <w:rFonts w:hint="eastAsia" w:ascii="黑体" w:hAnsi="黑体" w:eastAsia="黑体" w:cs="黑体"/>
          <w:b w:val="0"/>
          <w:bCs/>
          <w:sz w:val="30"/>
          <w:szCs w:val="30"/>
          <w:lang w:eastAsia="zh-CN"/>
        </w:rPr>
      </w:pPr>
    </w:p>
    <w:p w14:paraId="50AE57A8">
      <w:pPr>
        <w:ind w:firstLine="3000" w:firstLineChars="1000"/>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202</w:t>
      </w:r>
      <w:r>
        <w:rPr>
          <w:rFonts w:hint="eastAsia" w:ascii="黑体" w:hAnsi="黑体" w:eastAsia="黑体" w:cs="黑体"/>
          <w:b w:val="0"/>
          <w:bCs/>
          <w:sz w:val="30"/>
          <w:szCs w:val="30"/>
          <w:lang w:val="en-US" w:eastAsia="zh-CN"/>
        </w:rPr>
        <w:t>6</w:t>
      </w:r>
      <w:r>
        <w:rPr>
          <w:rFonts w:hint="eastAsia" w:ascii="黑体" w:hAnsi="黑体" w:eastAsia="黑体" w:cs="黑体"/>
          <w:b w:val="0"/>
          <w:bCs/>
          <w:sz w:val="30"/>
          <w:szCs w:val="30"/>
          <w:lang w:eastAsia="zh-CN"/>
        </w:rPr>
        <w:t>年</w:t>
      </w:r>
      <w:r>
        <w:rPr>
          <w:rFonts w:hint="eastAsia" w:ascii="黑体" w:hAnsi="黑体" w:eastAsia="黑体" w:cs="黑体"/>
          <w:b w:val="0"/>
          <w:bCs/>
          <w:sz w:val="30"/>
          <w:szCs w:val="30"/>
          <w:lang w:val="en-US" w:eastAsia="zh-CN"/>
        </w:rPr>
        <w:t xml:space="preserve">   </w:t>
      </w:r>
      <w:r>
        <w:rPr>
          <w:rFonts w:hint="eastAsia" w:ascii="黑体" w:hAnsi="黑体" w:eastAsia="黑体" w:cs="黑体"/>
          <w:b w:val="0"/>
          <w:bCs/>
          <w:sz w:val="30"/>
          <w:szCs w:val="30"/>
          <w:lang w:eastAsia="zh-CN"/>
        </w:rPr>
        <w:t>月</w:t>
      </w:r>
    </w:p>
    <w:p w14:paraId="4116315B">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方正小标宋_GBK" w:hAnsi="方正小标宋_GBK" w:eastAsia="方正小标宋_GBK" w:cs="方正小标宋_GBK"/>
          <w:b w:val="0"/>
          <w:bCs w:val="0"/>
          <w:sz w:val="44"/>
          <w:szCs w:val="44"/>
        </w:rPr>
        <w:sectPr>
          <w:footerReference r:id="rId3" w:type="default"/>
          <w:pgSz w:w="11906" w:h="16838"/>
          <w:pgMar w:top="1304" w:right="1800" w:bottom="1440" w:left="1800" w:header="851" w:footer="992" w:gutter="0"/>
          <w:pgNumType w:fmt="numberInDash" w:start="1"/>
          <w:cols w:space="720" w:num="1"/>
          <w:docGrid w:type="lines" w:linePitch="312" w:charSpace="0"/>
        </w:sectPr>
      </w:pPr>
    </w:p>
    <w:p w14:paraId="7DE4A1FE">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_GBK" w:hAnsi="方正小标宋_GBK" w:eastAsia="方正小标宋_GBK" w:cs="方正小标宋_GBK"/>
          <w:b w:val="0"/>
          <w:bCs w:val="0"/>
          <w:sz w:val="44"/>
          <w:szCs w:val="44"/>
          <w:lang w:eastAsia="zh-CN"/>
        </w:rPr>
        <w:t>变压器预防性试验</w:t>
      </w:r>
      <w:r>
        <w:rPr>
          <w:rFonts w:hint="eastAsia" w:ascii="方正小标宋_GBK" w:hAnsi="方正小标宋_GBK" w:eastAsia="方正小标宋_GBK" w:cs="方正小标宋_GBK"/>
          <w:b w:val="0"/>
          <w:bCs w:val="0"/>
          <w:sz w:val="44"/>
          <w:szCs w:val="44"/>
        </w:rPr>
        <w:t>合同</w:t>
      </w:r>
      <w:r>
        <w:rPr>
          <w:rFonts w:hint="eastAsia" w:ascii="方正小标宋简体" w:hAnsi="方正小标宋简体" w:eastAsia="方正小标宋简体" w:cs="方正小标宋简体"/>
          <w:b w:val="0"/>
          <w:bCs w:val="0"/>
          <w:sz w:val="44"/>
          <w:szCs w:val="44"/>
        </w:rPr>
        <w:t xml:space="preserve"> </w:t>
      </w:r>
    </w:p>
    <w:p w14:paraId="612AAD60">
      <w:pPr>
        <w:keepNext w:val="0"/>
        <w:keepLines w:val="0"/>
        <w:pageBreakBefore w:val="0"/>
        <w:widowControl w:val="0"/>
        <w:shd w:val="clear"/>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highlight w:val="none"/>
        </w:rPr>
      </w:pPr>
    </w:p>
    <w:p w14:paraId="69625F65">
      <w:pPr>
        <w:keepNext w:val="0"/>
        <w:keepLines w:val="0"/>
        <w:pageBreakBefore w:val="0"/>
        <w:widowControl w:val="0"/>
        <w:shd w:val="clear"/>
        <w:kinsoku/>
        <w:wordWrap/>
        <w:overflowPunct/>
        <w:topLinePunct w:val="0"/>
        <w:autoSpaceDE/>
        <w:autoSpaceDN/>
        <w:bidi w:val="0"/>
        <w:adjustRightInd w:val="0"/>
        <w:snapToGrid/>
        <w:spacing w:line="440" w:lineRule="exact"/>
        <w:textAlignment w:val="auto"/>
        <w:rPr>
          <w:rFonts w:hint="eastAsia" w:ascii="仿宋" w:hAnsi="仿宋" w:eastAsia="仿宋" w:cs="仿宋"/>
          <w:b w:val="0"/>
          <w:bCs w:val="0"/>
          <w:color w:val="000000" w:themeColor="text1"/>
          <w:sz w:val="28"/>
          <w:szCs w:val="28"/>
          <w:highlight w:val="none"/>
          <w:u w:val="none"/>
          <w:lang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采购人（以下简称</w:t>
      </w:r>
      <w:r>
        <w:rPr>
          <w:rFonts w:hint="eastAsia" w:ascii="仿宋" w:hAnsi="仿宋" w:eastAsia="仿宋" w:cs="仿宋"/>
          <w:b/>
          <w:bCs/>
          <w:color w:val="000000" w:themeColor="text1"/>
          <w:sz w:val="28"/>
          <w:szCs w:val="28"/>
          <w:highlight w:val="none"/>
          <w:u w:val="none"/>
          <w14:textFill>
            <w14:solidFill>
              <w14:schemeClr w14:val="tx1"/>
            </w14:solidFill>
          </w14:textFill>
        </w:rPr>
        <w:t>甲方</w:t>
      </w: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u w:val="none"/>
          <w14:textFill>
            <w14:solidFill>
              <w14:schemeClr w14:val="tx1"/>
            </w14:solidFill>
          </w14:textFill>
        </w:rPr>
        <w:t>：</w:t>
      </w:r>
      <w:r>
        <w:rPr>
          <w:rFonts w:hint="eastAsia" w:ascii="仿宋" w:hAnsi="仿宋" w:eastAsia="仿宋" w:cs="仿宋"/>
          <w:b w:val="0"/>
          <w:bCs w:val="0"/>
          <w:color w:val="000000" w:themeColor="text1"/>
          <w:sz w:val="28"/>
          <w:szCs w:val="28"/>
          <w:highlight w:val="none"/>
          <w:u w:val="none"/>
          <w:lang w:eastAsia="zh-CN"/>
          <w14:textFill>
            <w14:solidFill>
              <w14:schemeClr w14:val="tx1"/>
            </w14:solidFill>
          </w14:textFill>
        </w:rPr>
        <w:t>西安市城市照明管护中心</w:t>
      </w:r>
    </w:p>
    <w:p w14:paraId="17C1855C">
      <w:pPr>
        <w:keepNext w:val="0"/>
        <w:keepLines w:val="0"/>
        <w:pageBreakBefore w:val="0"/>
        <w:widowControl w:val="0"/>
        <w:shd w:val="clear"/>
        <w:kinsoku/>
        <w:wordWrap/>
        <w:overflowPunct/>
        <w:topLinePunct w:val="0"/>
        <w:autoSpaceDE/>
        <w:autoSpaceDN/>
        <w:bidi w:val="0"/>
        <w:adjustRightInd w:val="0"/>
        <w:snapToGrid/>
        <w:spacing w:line="44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供应商（以下简称</w:t>
      </w:r>
      <w:r>
        <w:rPr>
          <w:rFonts w:hint="eastAsia" w:ascii="仿宋" w:hAnsi="仿宋" w:eastAsia="仿宋" w:cs="仿宋"/>
          <w:b/>
          <w:bCs/>
          <w:color w:val="000000" w:themeColor="text1"/>
          <w:sz w:val="28"/>
          <w:szCs w:val="28"/>
          <w:highlight w:val="none"/>
          <w:u w:val="none"/>
          <w14:textFill>
            <w14:solidFill>
              <w14:schemeClr w14:val="tx1"/>
            </w14:solidFill>
          </w14:textFill>
        </w:rPr>
        <w:t>乙方</w:t>
      </w: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u w:val="none"/>
          <w14:textFill>
            <w14:solidFill>
              <w14:schemeClr w14:val="tx1"/>
            </w14:solidFill>
          </w14:textFill>
        </w:rPr>
        <w:t>：</w:t>
      </w:r>
    </w:p>
    <w:p w14:paraId="3C5E1C0D">
      <w:pPr>
        <w:keepNext w:val="0"/>
        <w:keepLines w:val="0"/>
        <w:pageBreakBefore w:val="0"/>
        <w:widowControl w:val="0"/>
        <w:shd w:val="clear"/>
        <w:kinsoku/>
        <w:wordWrap/>
        <w:overflowPunct/>
        <w:topLinePunct w:val="0"/>
        <w:autoSpaceDE/>
        <w:autoSpaceDN/>
        <w:bidi w:val="0"/>
        <w:adjustRightInd/>
        <w:snapToGrid/>
        <w:spacing w:before="157" w:beforeLines="50" w:line="440" w:lineRule="exact"/>
        <w:ind w:firstLine="560" w:firstLineChars="2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根据《中华人民共和国政府采购法》</w:t>
      </w:r>
      <w:r>
        <w:rPr>
          <w:rFonts w:hint="eastAsia" w:ascii="仿宋" w:hAnsi="仿宋" w:eastAsia="仿宋" w:cs="仿宋"/>
          <w:color w:val="000000" w:themeColor="text1"/>
          <w:spacing w:val="0"/>
          <w:sz w:val="28"/>
          <w:szCs w:val="28"/>
          <w:u w:val="none"/>
          <w:lang w:eastAsia="zh-CN"/>
          <w14:textFill>
            <w14:solidFill>
              <w14:schemeClr w14:val="tx1"/>
            </w14:solidFill>
          </w14:textFill>
        </w:rPr>
        <w:t>及其</w:t>
      </w:r>
      <w:r>
        <w:rPr>
          <w:rFonts w:hint="eastAsia" w:ascii="仿宋" w:hAnsi="仿宋" w:eastAsia="仿宋" w:cs="仿宋"/>
          <w:color w:val="000000" w:themeColor="text1"/>
          <w:spacing w:val="0"/>
          <w:sz w:val="28"/>
          <w:szCs w:val="28"/>
          <w:u w:val="none"/>
          <w14:textFill>
            <w14:solidFill>
              <w14:schemeClr w14:val="tx1"/>
            </w14:solidFill>
          </w14:textFill>
        </w:rPr>
        <w:t>实施条例、《中华人民共和国民法典》和</w:t>
      </w:r>
      <w:r>
        <w:rPr>
          <w:rFonts w:hint="eastAsia" w:ascii="仿宋" w:hAnsi="仿宋" w:eastAsia="仿宋" w:cs="仿宋"/>
          <w:color w:val="000000" w:themeColor="text1"/>
          <w:spacing w:val="0"/>
          <w:sz w:val="28"/>
          <w:szCs w:val="28"/>
          <w:highlight w:val="yellow"/>
          <w:u w:val="none"/>
          <w14:textFill>
            <w14:solidFill>
              <w14:schemeClr w14:val="tx1"/>
            </w14:solidFill>
          </w14:textFill>
        </w:rPr>
        <w:t>照明设施</w:t>
      </w:r>
      <w:r>
        <w:rPr>
          <w:rFonts w:hint="eastAsia" w:ascii="仿宋" w:hAnsi="仿宋" w:eastAsia="仿宋" w:cs="仿宋"/>
          <w:color w:val="000000" w:themeColor="text1"/>
          <w:spacing w:val="0"/>
          <w:sz w:val="28"/>
          <w:szCs w:val="28"/>
          <w:highlight w:val="yellow"/>
          <w:u w:val="none"/>
          <w:lang w:eastAsia="zh-CN"/>
          <w14:textFill>
            <w14:solidFill>
              <w14:schemeClr w14:val="tx1"/>
            </w14:solidFill>
          </w14:textFill>
        </w:rPr>
        <w:t>抢修及维护</w:t>
      </w:r>
      <w:r>
        <w:rPr>
          <w:rFonts w:hint="eastAsia" w:ascii="仿宋" w:hAnsi="仿宋" w:eastAsia="仿宋" w:cs="仿宋"/>
          <w:color w:val="000000" w:themeColor="text1"/>
          <w:spacing w:val="0"/>
          <w:sz w:val="28"/>
          <w:szCs w:val="28"/>
          <w:highlight w:val="yellow"/>
          <w:u w:val="none"/>
          <w14:textFill>
            <w14:solidFill>
              <w14:schemeClr w14:val="tx1"/>
            </w14:solidFill>
          </w14:textFill>
        </w:rPr>
        <w:t>（项目编号：</w:t>
      </w:r>
      <w:r>
        <w:rPr>
          <w:rFonts w:hint="eastAsia" w:ascii="仿宋" w:hAnsi="仿宋" w:eastAsia="仿宋" w:cs="仿宋"/>
          <w:color w:val="000000" w:themeColor="text1"/>
          <w:spacing w:val="0"/>
          <w:sz w:val="28"/>
          <w:szCs w:val="28"/>
          <w:highlight w:val="yellow"/>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highlight w:val="yellow"/>
          <w:u w:val="none"/>
          <w14:textFill>
            <w14:solidFill>
              <w14:schemeClr w14:val="tx1"/>
            </w14:solidFill>
          </w14:textFill>
        </w:rPr>
        <w:t>）</w:t>
      </w:r>
      <w:r>
        <w:rPr>
          <w:rFonts w:hint="eastAsia" w:ascii="仿宋" w:hAnsi="仿宋" w:eastAsia="仿宋" w:cs="仿宋"/>
          <w:color w:val="000000" w:themeColor="text1"/>
          <w:spacing w:val="0"/>
          <w:sz w:val="28"/>
          <w:szCs w:val="28"/>
          <w:u w:val="none"/>
          <w14:textFill>
            <w14:solidFill>
              <w14:schemeClr w14:val="tx1"/>
            </w14:solidFill>
          </w14:textFill>
        </w:rPr>
        <w:t>的招标文件、中标人的投标文件及其他有关法律法规，为确保甲方</w:t>
      </w:r>
      <w:r>
        <w:rPr>
          <w:rFonts w:hint="eastAsia" w:ascii="仿宋" w:hAnsi="仿宋" w:eastAsia="仿宋" w:cs="仿宋"/>
          <w:color w:val="000000" w:themeColor="text1"/>
          <w:spacing w:val="0"/>
          <w:sz w:val="28"/>
          <w:szCs w:val="28"/>
          <w:u w:val="single"/>
          <w:lang w:val="en-US" w:eastAsia="zh-CN"/>
          <w14:textFill>
            <w14:solidFill>
              <w14:schemeClr w14:val="tx1"/>
            </w14:solidFill>
          </w14:textFill>
        </w:rPr>
        <w:t xml:space="preserve"> 变压器预防性试验 </w:t>
      </w:r>
      <w:r>
        <w:rPr>
          <w:rFonts w:hint="eastAsia" w:ascii="仿宋" w:hAnsi="仿宋" w:eastAsia="仿宋" w:cs="仿宋"/>
          <w:color w:val="000000" w:themeColor="text1"/>
          <w:spacing w:val="0"/>
          <w:sz w:val="28"/>
          <w:szCs w:val="28"/>
          <w:u w:val="none"/>
          <w:lang w:eastAsia="zh-CN"/>
          <w14:textFill>
            <w14:solidFill>
              <w14:schemeClr w14:val="tx1"/>
            </w14:solidFill>
          </w14:textFill>
        </w:rPr>
        <w:t>工作</w:t>
      </w:r>
      <w:r>
        <w:rPr>
          <w:rFonts w:hint="eastAsia" w:ascii="仿宋" w:hAnsi="仿宋" w:eastAsia="仿宋" w:cs="仿宋"/>
          <w:color w:val="000000" w:themeColor="text1"/>
          <w:spacing w:val="0"/>
          <w:sz w:val="28"/>
          <w:szCs w:val="28"/>
          <w:u w:val="none"/>
          <w14:textFill>
            <w14:solidFill>
              <w14:schemeClr w14:val="tx1"/>
            </w14:solidFill>
          </w14:textFill>
        </w:rPr>
        <w:t>的顺利实施，甲、乙</w:t>
      </w:r>
      <w:r>
        <w:rPr>
          <w:rFonts w:hint="eastAsia" w:ascii="仿宋" w:hAnsi="仿宋" w:eastAsia="仿宋" w:cs="仿宋"/>
          <w:color w:val="000000" w:themeColor="text1"/>
          <w:spacing w:val="0"/>
          <w:sz w:val="28"/>
          <w:szCs w:val="28"/>
          <w:u w:val="none"/>
          <w:lang w:eastAsia="zh-CN"/>
          <w14:textFill>
            <w14:solidFill>
              <w14:schemeClr w14:val="tx1"/>
            </w14:solidFill>
          </w14:textFill>
        </w:rPr>
        <w:t>双方</w:t>
      </w:r>
      <w:r>
        <w:rPr>
          <w:rFonts w:hint="eastAsia" w:ascii="仿宋" w:hAnsi="仿宋" w:eastAsia="仿宋" w:cs="仿宋"/>
          <w:color w:val="000000" w:themeColor="text1"/>
          <w:spacing w:val="0"/>
          <w:sz w:val="28"/>
          <w:szCs w:val="28"/>
          <w:u w:val="none"/>
          <w14:textFill>
            <w14:solidFill>
              <w14:schemeClr w14:val="tx1"/>
            </w14:solidFill>
          </w14:textFill>
        </w:rPr>
        <w:t>遵循平等、自愿、公平和诚信的</w:t>
      </w:r>
      <w:r>
        <w:rPr>
          <w:rFonts w:hint="eastAsia" w:ascii="仿宋" w:hAnsi="仿宋" w:eastAsia="仿宋" w:cs="仿宋"/>
          <w:color w:val="000000" w:themeColor="text1"/>
          <w:spacing w:val="0"/>
          <w:sz w:val="28"/>
          <w:szCs w:val="28"/>
          <w:u w:val="none"/>
          <w:lang w:eastAsia="zh-CN"/>
          <w14:textFill>
            <w14:solidFill>
              <w14:schemeClr w14:val="tx1"/>
            </w14:solidFill>
          </w14:textFill>
        </w:rPr>
        <w:t>原则</w:t>
      </w:r>
      <w:r>
        <w:rPr>
          <w:rFonts w:hint="eastAsia" w:ascii="仿宋" w:hAnsi="仿宋" w:eastAsia="仿宋" w:cs="仿宋"/>
          <w:color w:val="000000" w:themeColor="text1"/>
          <w:spacing w:val="0"/>
          <w:sz w:val="28"/>
          <w:szCs w:val="28"/>
          <w:u w:val="none"/>
          <w14:textFill>
            <w14:solidFill>
              <w14:schemeClr w14:val="tx1"/>
            </w14:solidFill>
          </w14:textFill>
        </w:rPr>
        <w:t>签订本合同，共同遵守。</w:t>
      </w:r>
    </w:p>
    <w:p w14:paraId="55B8402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2" w:firstLineChars="200"/>
        <w:jc w:val="both"/>
        <w:textAlignment w:val="auto"/>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第一条 基本情况</w:t>
      </w:r>
    </w:p>
    <w:p w14:paraId="655E08D6">
      <w:pPr>
        <w:pStyle w:val="2"/>
        <w:keepNext w:val="0"/>
        <w:keepLines w:val="0"/>
        <w:pageBreakBefore w:val="0"/>
        <w:widowControl w:val="0"/>
        <w:kinsoku/>
        <w:wordWrap/>
        <w:overflowPunct/>
        <w:topLinePunct w:val="0"/>
        <w:bidi w:val="0"/>
        <w:snapToGrid/>
        <w:spacing w:line="440" w:lineRule="exact"/>
        <w:textAlignment w:val="auto"/>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1．采购标的：根据国家电网关于高压受电设备定期预防性试验要求，为保证设备安全运行，对甲方所属路灯专用高压受电装置设备检测并提供完整试验报告。</w:t>
      </w:r>
    </w:p>
    <w:p w14:paraId="446DC48B">
      <w:pPr>
        <w:pStyle w:val="2"/>
        <w:keepNext w:val="0"/>
        <w:keepLines w:val="0"/>
        <w:pageBreakBefore w:val="0"/>
        <w:widowControl w:val="0"/>
        <w:kinsoku/>
        <w:wordWrap/>
        <w:overflowPunct/>
        <w:topLinePunct w:val="0"/>
        <w:bidi w:val="0"/>
        <w:snapToGrid/>
        <w:spacing w:line="440" w:lineRule="exact"/>
        <w:textAlignment w:val="auto"/>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2．测试内容</w:t>
      </w:r>
    </w:p>
    <w:p w14:paraId="53DDA246">
      <w:pPr>
        <w:pStyle w:val="2"/>
        <w:keepNext w:val="0"/>
        <w:keepLines w:val="0"/>
        <w:pageBreakBefore w:val="0"/>
        <w:widowControl w:val="0"/>
        <w:kinsoku/>
        <w:wordWrap/>
        <w:overflowPunct/>
        <w:topLinePunct w:val="0"/>
        <w:bidi w:val="0"/>
        <w:snapToGrid/>
        <w:spacing w:line="440" w:lineRule="exact"/>
        <w:textAlignment w:val="auto"/>
        <w:rPr>
          <w:rFonts w:hint="eastAsia" w:ascii="仿宋" w:hAnsi="仿宋" w:eastAsia="仿宋" w:cs="仿宋"/>
          <w:color w:val="000000" w:themeColor="text1"/>
          <w:sz w:val="28"/>
          <w:szCs w:val="28"/>
          <w:highlight w:val="yellow"/>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yellow"/>
          <w:u w:val="none"/>
          <w:lang w:val="en-US" w:eastAsia="zh-CN"/>
          <w14:textFill>
            <w14:solidFill>
              <w14:schemeClr w14:val="tx1"/>
            </w14:solidFill>
          </w14:textFill>
        </w:rPr>
        <w:t>（招标完成后依据中标情况，据实补充）</w:t>
      </w:r>
    </w:p>
    <w:p w14:paraId="4511783D">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bookmarkStart w:id="0" w:name="_Toc4131"/>
      <w:bookmarkStart w:id="1" w:name="_Toc508"/>
      <w:bookmarkStart w:id="2" w:name="_Toc15722"/>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第二条 服务期限</w:t>
      </w:r>
      <w:bookmarkEnd w:id="0"/>
      <w:bookmarkEnd w:id="1"/>
      <w:bookmarkEnd w:id="2"/>
    </w:p>
    <w:p w14:paraId="794C2D1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1.服务期限：合同签订之日起至测试及验收工作完成。</w:t>
      </w:r>
    </w:p>
    <w:p w14:paraId="7896C36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因甲方原因和不可抗力影响导致无法实施服务的，工期相应顺延，但总服务期限不变，乙方不得据此向甲方主张停工损失、窝工费、人员费用等相关费用。由于乙方原因造成的延误，工期不予顺延，责任由乙方自行承担。</w:t>
      </w:r>
    </w:p>
    <w:p w14:paraId="1AE3C35D">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bookmarkStart w:id="3" w:name="_Toc6615"/>
      <w:bookmarkStart w:id="4" w:name="_Toc23951"/>
      <w:bookmarkStart w:id="5" w:name="_Toc8280"/>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第三条 质量标准</w:t>
      </w:r>
      <w:bookmarkEnd w:id="3"/>
      <w:bookmarkEnd w:id="4"/>
      <w:bookmarkEnd w:id="5"/>
    </w:p>
    <w:p w14:paraId="7709D91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整个项目应符合国家有关行业规范标准及招投标文件相关要求。</w:t>
      </w:r>
    </w:p>
    <w:p w14:paraId="751E7C21">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bookmarkStart w:id="6" w:name="_Toc19710"/>
      <w:bookmarkStart w:id="7" w:name="_Toc17828"/>
      <w:bookmarkStart w:id="8" w:name="_Toc24688"/>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第四条 合同价款及支付方式</w:t>
      </w:r>
      <w:bookmarkEnd w:id="6"/>
      <w:bookmarkEnd w:id="7"/>
      <w:bookmarkEnd w:id="8"/>
    </w:p>
    <w:p w14:paraId="798EE2E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1.本合同中标价款：</w:t>
      </w:r>
      <w:r>
        <w:rPr>
          <w:rFonts w:hint="eastAsia" w:ascii="仿宋" w:hAnsi="仿宋" w:eastAsia="仿宋" w:cs="仿宋"/>
          <w:b w:val="0"/>
          <w:bCs w:val="0"/>
          <w:color w:val="000000" w:themeColor="text1"/>
          <w:sz w:val="28"/>
          <w:szCs w:val="28"/>
          <w:highlight w:val="yellow"/>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元，大写（人民币）</w:t>
      </w:r>
      <w:r>
        <w:rPr>
          <w:rFonts w:hint="eastAsia" w:ascii="仿宋" w:hAnsi="仿宋" w:eastAsia="仿宋" w:cs="仿宋"/>
          <w:b w:val="0"/>
          <w:bCs w:val="0"/>
          <w:color w:val="000000" w:themeColor="text1"/>
          <w:sz w:val="28"/>
          <w:szCs w:val="28"/>
          <w:highlight w:val="yellow"/>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。自合同签订之日起15日内，甲方向乙方一次性支付本合同中标价款的50%作为预付款。</w:t>
      </w:r>
    </w:p>
    <w:p w14:paraId="278A66B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bookmarkStart w:id="9" w:name="_Toc17804"/>
      <w:bookmarkStart w:id="10" w:name="_Toc23371"/>
      <w:bookmarkStart w:id="11" w:name="_Toc21277"/>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 本合同实际费用及支付方式：本合同结算费用以乙方全年实际变压器试验数量核算，不超过中标价款以全年实际发生工作量结算，超过中标价款5%（含5%）以内的由乙方自行承担，甲方不再另行支付；每次试验工作结束后，乙方应在一周内向甲方报告完成情况，并提供相应的影像资料、作业记录等佐证资料，试验中如遇变压器存在安全隐患，应立即向甲方报告。甲方经审核确认后依据清单及发票结算相应费用，结算费用优先从甲方所支付的预付款中扣除，但支付总费用不超过本合同中标价款。</w:t>
      </w:r>
    </w:p>
    <w:p w14:paraId="7A5A0D2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结算方式：由甲方根据合同约定、服务进度及财务相关制度结算。乙方须向甲方出具合法有效完税发票，否则甲方有权顺延付款期限，不视为违约。因乙方原因如发票不合规、资料不全等造成费用无法支付的，甲方不承担任何责任。</w:t>
      </w:r>
    </w:p>
    <w:p w14:paraId="0ADB35E1">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第五条 验收标准及条件</w:t>
      </w:r>
      <w:bookmarkEnd w:id="9"/>
      <w:bookmarkEnd w:id="10"/>
      <w:bookmarkEnd w:id="11"/>
    </w:p>
    <w:p w14:paraId="5AC2C01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1.验收标准：由甲方组织验收，乙方应严格按照招投标文件、合同要求及补充协议等实施</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w:t>
      </w:r>
    </w:p>
    <w:p w14:paraId="70AE15C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2.验收依据：</w:t>
      </w:r>
    </w:p>
    <w:p w14:paraId="5B0BB4F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（1）招标文件、投标文件、澄清表（函）；</w:t>
      </w:r>
    </w:p>
    <w:p w14:paraId="0DA097F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（2）本合同及补充协议文本；</w:t>
      </w:r>
    </w:p>
    <w:p w14:paraId="3F9CBDE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（3）合同签订时国家及行业现行的标准和技术规范。</w:t>
      </w:r>
    </w:p>
    <w:p w14:paraId="0D4F0C0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（4）技术档案或作业资料。</w:t>
      </w:r>
    </w:p>
    <w:p w14:paraId="369DA6B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3.乙方应向甲方提交服务实施过程中的所有资料，以便甲方日后管理和维护。</w:t>
      </w:r>
    </w:p>
    <w:p w14:paraId="03A8BD51">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bookmarkStart w:id="12" w:name="_Toc31313"/>
      <w:bookmarkStart w:id="13" w:name="_Toc11341"/>
      <w:bookmarkStart w:id="14" w:name="_Toc5336"/>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第六条 双方的权利和义务</w:t>
      </w:r>
      <w:bookmarkEnd w:id="12"/>
      <w:bookmarkEnd w:id="13"/>
      <w:bookmarkEnd w:id="14"/>
    </w:p>
    <w:p w14:paraId="6E4184E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（一）甲方的权利和义务</w:t>
      </w:r>
    </w:p>
    <w:p w14:paraId="6F61670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有权对合同约定范围内乙方的服务行为、服务质量、人员配备、安全管理等情况进行全程监督和检查，拥有全程监管权；有权定期（每月至少2次）检查乙方提供服务所配备的人员数量、资质、现场防护措施、安全操作等，对甲方认为不合理、不符合合同要求或存在安全隐患的部分，有权下达整改通知书，要求乙方限期整改，乙方应在甲方下达的整改期限内完成整改并书面反馈。</w:t>
      </w:r>
    </w:p>
    <w:p w14:paraId="2AA07F0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有权检查乙方是否按设备操作规程、安全规范及本合同约定使用作业设备、工具，对违反操作规程、安全规定及本合同约定的行为有权立即制止，责令乙方整改；发现违规行为甲方有权扣除合同价款500元/次，由此造成甲方的其他一切损失由乙方承担。</w:t>
      </w:r>
    </w:p>
    <w:p w14:paraId="14C65A2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3.负责检查监督乙方管理工作的实施、制度的执行及安全责任的落实情况，及时发现并督促乙方整改各类问题。</w:t>
      </w:r>
    </w:p>
    <w:p w14:paraId="783126B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4.根据本合同规定，按时、足额向乙方支付应付服务费用，不得无故拖欠。</w:t>
      </w:r>
    </w:p>
    <w:p w14:paraId="5483FAA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本合同验收应在甲乙双方共同参加下进行，甲方组成验收小组，严格按照国家有关规定、行业规范及合同要求进行验收；如有需要，可邀请相关专业人员或机构参与验收，验收费按照招投标文件约定，由乙方承担；验收结果分为合格、不合格，验收不合格的，乙方需在甲方指定期限内整改，整改费用由乙方承担，直至验收合格，验收结果作为费用支付的重要依据。</w:t>
      </w:r>
    </w:p>
    <w:p w14:paraId="16993CB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对于乙方未按本合同约定及时响应需求、未按要求完成服务工作任务，或存在严重安全隐患且逾期未整改、整改不合格的，甲方有权先书面通知乙方限期整改，逾期仍未达标或乙方拒绝整改的，甲方有权安排第三方实施相关工作，产生的费用由乙方承担，同时乙方需向甲方支付本合同中标价款10%的违约金；若上述行为造成甲方损失的，乙方需另行承担全部损失，甲方有权单方解除本合同。</w:t>
      </w:r>
    </w:p>
    <w:p w14:paraId="7D81617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7.承担国家法律法规所规定由甲方承担的其他责任。</w:t>
      </w:r>
    </w:p>
    <w:p w14:paraId="2F26EC3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（二）乙方的权利和义务</w:t>
      </w:r>
    </w:p>
    <w:p w14:paraId="4FC051C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bookmarkStart w:id="15" w:name="_Toc24636"/>
      <w:bookmarkStart w:id="16" w:name="_Toc25343"/>
      <w:bookmarkStart w:id="17" w:name="_Toc31438"/>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1.对本合同约定的委托服务范围内的工作享有合法管理权，并严格履行服务义务，确保服务工作任务及时、高效、安全、合格。</w:t>
      </w:r>
    </w:p>
    <w:p w14:paraId="2722E3C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2.根据本合同的规定，有权向甲方收取相关服务费用，并有权在本项目管理范围内，合理管理、使用服务费用，确保费用专款专用。</w:t>
      </w:r>
    </w:p>
    <w:p w14:paraId="5133ECC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须按当地政府、行业管理部门及甲方的规定要求，办理本合同约定工作所需的全部相关手续、批准文件等，并承担所有相关费用；严格遵守国家、地方、行业及甲方的安全、管理等各项规章制度，建立健全安全隐患排查治理机制，杜绝各类安全隐患。</w:t>
      </w:r>
    </w:p>
    <w:p w14:paraId="0C9C7C7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服从甲方的合理调度及现场管理，保质保量、按时完成甲方布置的相关工作，并按照国家、行业及甲方的操作规程、安全规范正确使用和操作作业设备、工具，做好设备、工具的日常维护、保养，确保其完好可用。</w:t>
      </w:r>
    </w:p>
    <w:p w14:paraId="3EC7422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5.负责选派符合本合同工作要求、具备相应资质及安全操作能力的工作人员，与所有参与本合同约定服务的工作人员签订书面劳动合同，并承担其工资、奖金、社会保险及其他法定福利待遇等费用。</w:t>
      </w:r>
    </w:p>
    <w:p w14:paraId="268356A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若乙方未与其工作人员签订书面劳动合同、未按规定缴纳各项社会保险，或拖欠工作人员工资等行为，引发劳动争议、行政处罚或诉讼纠纷，乙方承担全部法律责任及经济赔偿（包括但不限于拖欠的工资、社会保险补缴费用、罚款、仲裁费、诉讼费等）。</w:t>
      </w:r>
    </w:p>
    <w:p w14:paraId="4A1458B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7.及时向甲方报告变压器设备的运转状况、设备故障处理情况、停机及恢复时间，以及本项目服务范围内有关服务、安全的重大事项，主动配合甲方处理相关投诉及突发情况。</w:t>
      </w:r>
    </w:p>
    <w:p w14:paraId="2243A6E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8.接受作业行业管理部门及政府有关部门的指导、监督，严格服从甲方的现场管理、安全监督及工作调度，积极配合甲方开展各项检查、验收工作。</w:t>
      </w:r>
    </w:p>
    <w:p w14:paraId="71201B0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9.遇特殊工作，乙方必须先进行自检，经甲方及甲方许可的相关部门验收合格后，方可进行下道工序；遇应急工作，乙方在接到甲方通知后，应在2小时内组织具备资质的作业人员及设备、工具到达现场，及时开展工作，确保尽快恢复设备正常运转，留存应急工作记录，如因乙方原因未能及时到场，甲方有权扣除合同价款500元/次，由此造成的一切损失由乙方承担。</w:t>
      </w:r>
    </w:p>
    <w:p w14:paraId="5868AEC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10.乙方所用材料、设备必须有国家相关部门颁布的合格证或检测试验报告，维修更新后设施应与原设施的规格、标准、性能保持一致，确保作业质量达标。若因材料、设备不合格导致质量问题或安全事故的，乙方需承担全部责任及损失，并负责无偿返修、更换。</w:t>
      </w:r>
    </w:p>
    <w:p w14:paraId="0502E75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11.承担国家法律法规所规定由乙方承担的其他责任。</w:t>
      </w:r>
    </w:p>
    <w:p w14:paraId="68431D27">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第七条 违约责任</w:t>
      </w:r>
      <w:bookmarkEnd w:id="15"/>
      <w:bookmarkEnd w:id="16"/>
      <w:bookmarkEnd w:id="17"/>
    </w:p>
    <w:p w14:paraId="787BCCC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bookmarkStart w:id="18" w:name="_Toc31926"/>
      <w:bookmarkStart w:id="19" w:name="_Toc10620"/>
      <w:bookmarkStart w:id="20" w:name="_Toc7724"/>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1.甲乙双方须严格遵守本合同约定，全面履行合同中的各项规定，保证本合同的正常履行；任何一方违反本合同约定，均应承担相应的违约责任。</w:t>
      </w:r>
    </w:p>
    <w:p w14:paraId="3D2B3E3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如因乙方在履行本合同职责过程中的疏忽、失职、过错等故意或过失行为，给甲方造成损失或侵害，包括但不限于甲方本身的财产损失、设备损坏、甲方对任何第三方的法律责任、行政处罚、仲裁费、诉讼费、律师费等相关费用，乙方对此均应承担全部赔偿责任，且甲方有权要求乙方继续履行合同义务（如需）。</w:t>
      </w:r>
    </w:p>
    <w:p w14:paraId="1C4D812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未经甲方书面允许，乙方不得以任何方式将本合同分包、转包给第三方，不得将本合同核心工作委托第三方完成，否则乙方需按本合同中标价款的10%向甲方支付违约金，同时甲方有权终止本合同；因此给甲方造成损失的，乙方负全部责任，并承担全部赔偿费用。</w:t>
      </w:r>
    </w:p>
    <w:p w14:paraId="26AAC6B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对工作不负责任、不符合岗位要求、不具备相应资质或存在安全隐患的作业人员，甲方有权提出更换，乙方应在3日内更换合格人员，逾期未更换或更换后仍不合格的，甲方有权单方终止合同，乙方需按本合同中标价款的5%向甲方支付违约金，并承担由此给甲方造成的全部损失。</w:t>
      </w:r>
    </w:p>
    <w:p w14:paraId="3C8B7B1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5.乙方完成本合同规定的服务内容后，甲方按照正常程序使用、操作设备，若因乙方服务工作质量不合格、材料设备不合格或未履行安全告知义务，给甲方造成任何损失的，由乙方承担全部赔偿责任。</w:t>
      </w:r>
    </w:p>
    <w:p w14:paraId="730454F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甲方未按本合同约定支付服务费用，每延迟一天，按应付未付金额的3‰向乙方支付违约金（累计违约金不超过应付未付金额的10%）；因甲方提供资料错误等导致乙方遭受损失或引发安全事故的，甲方承担相应的赔偿责任。</w:t>
      </w:r>
    </w:p>
    <w:p w14:paraId="0F88658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7.违约金不足以弥补实际损失的，违约方需另行补足差额。</w:t>
      </w:r>
    </w:p>
    <w:p w14:paraId="1C6DA910">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第八条 不可抗力事件处理</w:t>
      </w:r>
      <w:bookmarkEnd w:id="18"/>
      <w:bookmarkEnd w:id="19"/>
      <w:bookmarkEnd w:id="20"/>
    </w:p>
    <w:p w14:paraId="40B532C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在合同有效期内，任何一方因不可抗力事件（指不能预见、不能避免及不能克服的客观情况，包括但不限于地震、洪水、台风、政策调整等）导致不能履行合同，则合同履行期可延长，其延长期与不可抗力影响期相同。</w:t>
      </w:r>
    </w:p>
    <w:p w14:paraId="1B579F4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2.不可抗力事件发生后，应立即通知对方，并寄送有关权威机构出具的证明。</w:t>
      </w:r>
    </w:p>
    <w:p w14:paraId="76AD6F6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3.不可抗力事件延续15个日历日以上，双方应通过友好协商，确定是否继续履行合同或变更、解除合同。</w:t>
      </w:r>
    </w:p>
    <w:p w14:paraId="7DDE702A">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bookmarkStart w:id="21" w:name="_Toc14084"/>
      <w:bookmarkStart w:id="22" w:name="_Toc21499"/>
      <w:bookmarkStart w:id="23" w:name="_Toc28743"/>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第九条 合同的变更、解除和转让</w:t>
      </w:r>
      <w:bookmarkEnd w:id="21"/>
      <w:bookmarkEnd w:id="22"/>
      <w:bookmarkEnd w:id="23"/>
    </w:p>
    <w:p w14:paraId="3CB4430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1.合同的变更</w:t>
      </w:r>
    </w:p>
    <w:p w14:paraId="21FACAB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除《中华人民共和国政府采购法》第四十九条、第五十条第二款规定的情形外，本合同一经签订，甲乙双方不得擅自变更、中止或终止合同。确需变更的，双方应协商一致并签订书面补充协议，报政府采购监管部门备案后生效。</w:t>
      </w:r>
    </w:p>
    <w:p w14:paraId="3440F16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2.合同的解除</w:t>
      </w:r>
    </w:p>
    <w:p w14:paraId="41A79F8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（1）甲方和乙方协商一致，可以解除合同；</w:t>
      </w:r>
    </w:p>
    <w:p w14:paraId="5BC69F5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（2）有下列情形之一，合同一方可以解除合同：</w:t>
      </w:r>
    </w:p>
    <w:p w14:paraId="010E0D6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①因不可抗力致使不能实现合同目的，未受不可抗力影响的一方有权解除合同；</w:t>
      </w:r>
    </w:p>
    <w:p w14:paraId="6A10D49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②因合同一方违约导致合同不能履行，另一方有权解除合同。</w:t>
      </w:r>
    </w:p>
    <w:p w14:paraId="7A4186A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（3）有权解除合同的一方，应当在违约事实或不可抗力发生之后三十个自然日内书面通知对方主张解除合同，合同在书面通知到达对方时解除。</w:t>
      </w:r>
    </w:p>
    <w:p w14:paraId="76CE261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3.合同的转让</w:t>
      </w:r>
    </w:p>
    <w:p w14:paraId="3AEED4B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乙方不得将合同的部分和全部转让给其他单位或个人；否则，甲方有权单方面解除合同，并要求乙方支付本合同中标价款10%的违约金，由此造成的损失由乙方承担。</w:t>
      </w:r>
    </w:p>
    <w:p w14:paraId="237F39F3">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bookmarkStart w:id="24" w:name="_Toc24974"/>
      <w:bookmarkStart w:id="25" w:name="_Toc20870"/>
      <w:bookmarkStart w:id="26" w:name="_Toc10644"/>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第十条 解决合同纠纷的方式</w:t>
      </w:r>
      <w:bookmarkEnd w:id="24"/>
      <w:bookmarkEnd w:id="25"/>
      <w:bookmarkEnd w:id="26"/>
    </w:p>
    <w:p w14:paraId="26D6DD4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在执行本合同中发生与本合同有关的争议，双方应通过友好协商解决，经协商在10日内不能达成协议时，则采取以下第  1 种方式解决争议：</w:t>
      </w:r>
    </w:p>
    <w:p w14:paraId="304B8F0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1.向甲方所在地有管辖权的人民法院提起诉讼；</w:t>
      </w:r>
    </w:p>
    <w:p w14:paraId="721AED7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2.向当地仲裁委员会按其仲裁规则申请仲裁。</w:t>
      </w:r>
    </w:p>
    <w:p w14:paraId="3544800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争议解决期间，除争议事项外，双方应继续履行本合同及补充协议其他条款。</w:t>
      </w:r>
    </w:p>
    <w:p w14:paraId="01587A39">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bookmarkStart w:id="27" w:name="_Toc15568"/>
      <w:bookmarkStart w:id="28" w:name="_Toc17033"/>
      <w:bookmarkStart w:id="29" w:name="_Toc15204"/>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第十一条 合同生效及其他</w:t>
      </w:r>
      <w:bookmarkEnd w:id="27"/>
      <w:bookmarkEnd w:id="28"/>
      <w:bookmarkEnd w:id="29"/>
    </w:p>
    <w:p w14:paraId="490645A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1.合同经双方法定代表人、授权代表签名并加盖单位公章后生效，合同期满之日起自然终止。</w:t>
      </w:r>
    </w:p>
    <w:p w14:paraId="09CA668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2.合同执行中涉及采购资金和采购内容修改或补充的，须经政府采购监管部门审批，并签订书面补充协议报政府采购监督管理部门备案，方可作为主合同不可分割的一部分。</w:t>
      </w:r>
    </w:p>
    <w:p w14:paraId="207EA1F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3.本合同一式六份，甲方四份，乙方两份，具有同等法律效力。</w:t>
      </w:r>
    </w:p>
    <w:p w14:paraId="5D9DA8A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4.本合同补充《安全生产管理协议》为本合同不可分割的组成部分，与本合同具有同等法律效力。</w:t>
      </w:r>
    </w:p>
    <w:p w14:paraId="0958DC5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5.双方联系地址、联系方式作为本合同附件，任何一方变更联系方式，应提前3日书面通知对方，否则因此产生的送达不能、延误等后果由变更方承担。</w:t>
      </w:r>
    </w:p>
    <w:p w14:paraId="7C514C4C">
      <w:pPr>
        <w:keepNext w:val="0"/>
        <w:keepLines w:val="0"/>
        <w:pageBreakBefore w:val="0"/>
        <w:widowControl w:val="0"/>
        <w:tabs>
          <w:tab w:val="left" w:pos="4140"/>
          <w:tab w:val="left" w:pos="4320"/>
          <w:tab w:val="left" w:pos="4680"/>
        </w:tabs>
        <w:kinsoku/>
        <w:wordWrap/>
        <w:overflowPunct/>
        <w:topLinePunct w:val="0"/>
        <w:autoSpaceDE/>
        <w:autoSpaceDN/>
        <w:bidi w:val="0"/>
        <w:adjustRightInd/>
        <w:snapToGrid/>
        <w:spacing w:line="440" w:lineRule="exact"/>
        <w:ind w:right="-315" w:rightChars="-150"/>
        <w:textAlignment w:val="auto"/>
        <w:rPr>
          <w:rFonts w:hint="eastAsia" w:ascii="仿宋" w:hAnsi="仿宋" w:eastAsia="仿宋" w:cs="仿宋"/>
          <w:color w:val="000000" w:themeColor="text1"/>
          <w:spacing w:val="0"/>
          <w:sz w:val="28"/>
          <w:szCs w:val="28"/>
          <w:u w:val="none"/>
          <w14:textFill>
            <w14:solidFill>
              <w14:schemeClr w14:val="tx1"/>
            </w14:solidFill>
          </w14:textFill>
        </w:rPr>
      </w:pPr>
    </w:p>
    <w:p w14:paraId="1C08B91B">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 xml:space="preserve">甲方（盖章）：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乙方（盖章）：                                      </w:t>
      </w:r>
    </w:p>
    <w:p w14:paraId="22D501FB">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法    人：                          法    人：</w:t>
      </w:r>
    </w:p>
    <w:p w14:paraId="40D22A6C">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p>
    <w:p w14:paraId="08860FFE">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p>
    <w:p w14:paraId="1DB8F0D3">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开户银行：</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开户银行：</w:t>
      </w:r>
    </w:p>
    <w:p w14:paraId="09A9EC6B">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开户账号：                          开户账号：</w:t>
      </w:r>
    </w:p>
    <w:p w14:paraId="66952072">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联系地址：</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联系地址：</w:t>
      </w:r>
    </w:p>
    <w:p w14:paraId="2B489E96">
      <w:pPr>
        <w:pStyle w:val="2"/>
        <w:rPr>
          <w:rFonts w:hint="eastAsia"/>
          <w:lang w:val="en-US" w:eastAsia="zh-CN"/>
        </w:rPr>
      </w:pPr>
    </w:p>
    <w:p w14:paraId="45958FF6">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           </w:t>
      </w: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w:t>
      </w:r>
    </w:p>
    <w:p w14:paraId="27C927EB">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1BDE0AE8">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7806C0F5">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3FDA2A98">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550DDCDB">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2121B3CF">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1040BA06">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7CDC88B4">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01932A08">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278F8523">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25B9933E">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32974152">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2F347B63">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550E2FA3">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3332A00E">
      <w:pPr>
        <w:pStyle w:val="2"/>
        <w:ind w:left="0" w:leftChars="0" w:firstLine="0" w:firstLineChars="0"/>
        <w:jc w:val="center"/>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t>安全生产管理协议</w:t>
      </w:r>
    </w:p>
    <w:p w14:paraId="5722C606">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甲  方：西安市城市照明管护中心</w:t>
      </w:r>
    </w:p>
    <w:p w14:paraId="176F3E33">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9"/>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乙  方： </w:t>
      </w:r>
    </w:p>
    <w:p w14:paraId="0302B528">
      <w:pPr>
        <w:keepNext w:val="0"/>
        <w:keepLines w:val="0"/>
        <w:pageBreakBefore w:val="0"/>
        <w:widowControl w:val="0"/>
        <w:kinsoku/>
        <w:wordWrap/>
        <w:overflowPunct/>
        <w:topLinePunct w:val="0"/>
        <w:autoSpaceDE w:val="0"/>
        <w:autoSpaceDN w:val="0"/>
        <w:bidi w:val="0"/>
        <w:adjustRightInd w:val="0"/>
        <w:snapToGrid/>
        <w:spacing w:before="157" w:beforeLines="50"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本协议作为2026年《西安市城市照明管护中心变压器预防性试验合同》（以下简称“主合同”）</w:t>
      </w:r>
      <w:r>
        <w:rPr>
          <w:rFonts w:hint="eastAsia" w:ascii="仿宋" w:hAnsi="仿宋" w:eastAsia="仿宋" w:cs="仿宋"/>
          <w:color w:val="000000" w:themeColor="text1"/>
          <w:spacing w:val="0"/>
          <w:sz w:val="28"/>
          <w:szCs w:val="28"/>
          <w:highlight w:val="yellow"/>
          <w:u w:val="none"/>
          <w14:textFill>
            <w14:solidFill>
              <w14:schemeClr w14:val="tx1"/>
            </w14:solidFill>
          </w14:textFill>
        </w:rPr>
        <w:t>（项目编号：</w:t>
      </w:r>
      <w:r>
        <w:rPr>
          <w:rFonts w:hint="eastAsia" w:ascii="仿宋" w:hAnsi="仿宋" w:eastAsia="仿宋" w:cs="仿宋"/>
          <w:color w:val="000000" w:themeColor="text1"/>
          <w:spacing w:val="0"/>
          <w:sz w:val="28"/>
          <w:szCs w:val="28"/>
          <w:highlight w:val="yellow"/>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highlight w:val="yellow"/>
          <w:u w:val="none"/>
          <w14:textFill>
            <w14:solidFill>
              <w14:schemeClr w14:val="tx1"/>
            </w14:solidFill>
          </w14:textFill>
        </w:rPr>
        <w:t>）</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 的补充，由甲乙双方本着平等自愿、权责对等的原则，经友好协商一致签订，与主合同具有同等法律效力。若本协议约定与主合同不一致的，以本协议为准；本协议未约定的，按主合同相关约定执行。</w:t>
      </w:r>
    </w:p>
    <w:p w14:paraId="46A3B66F">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第一条 总则</w:t>
      </w:r>
    </w:p>
    <w:p w14:paraId="7E4FF46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甲乙双方必须严格遵守《中华人民共和国安全生产法》《中华人民共和国道路交通安全法》《中华人民共和国电力法》《城市照明管理规定》等国家法律法规、行业规范及甲方安全管理制度，共同落实安全管理措施，明确各自安全责任，杜绝各类安全事故发生。</w:t>
      </w:r>
    </w:p>
    <w:p w14:paraId="502ACE7D">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第二条 甲方安全责任与管理职责</w:t>
      </w:r>
    </w:p>
    <w:p w14:paraId="04CCAA2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乙方试验作业安全负监管责任，有权对乙方的作业安全进行监督、检查，核查乙方安全管理制度、安全防护措施等的落实情况，对乙方违规操作、安全防护不到位等行为有权立即制止，下达整改通知书，要求乙方限期闭环整改；对拒不整改或整改不合格的，甲方有权要求乙方暂停作业、追究违约责任，并有权解除主合同。</w:t>
      </w:r>
    </w:p>
    <w:p w14:paraId="5493411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2.告知乙方作业所需的相关手续及办理要求，并协助乙方协调办理（如需）；不得违章指挥、强令乙方冒险作业，不得要求乙方违反安全规范开展作业。</w:t>
      </w:r>
    </w:p>
    <w:p w14:paraId="2406730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3.负责对乙方作业人员的安全资质、特种作业操作证（高压电工等）进行核查，对不符合安全作业要求的人员，有权要求乙方立即更换。</w:t>
      </w:r>
    </w:p>
    <w:p w14:paraId="16EB2CE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4.发生交通、安全等事故时，接到乙方通知后，第一时间响应，协助乙方开展伤员抢救、现场保护工作，按规定向相关主管部门上报事故情况，并配合事故调查与善后处理工作。</w:t>
      </w:r>
    </w:p>
    <w:p w14:paraId="6837ABE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5.承担因自身过失等导致交通、安全事故的相应责任及经济损失。</w:t>
      </w:r>
    </w:p>
    <w:p w14:paraId="6E4C377B">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第三条 乙方安全责任与管理职责</w:t>
      </w:r>
    </w:p>
    <w:p w14:paraId="176C940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变压器试验全过程的安全生产负总责，严格落实安全生产主体责任，建立健全作业安全管理制度、安全操作规程及应急处置预案，配备专职安全员，明确各岗位安全职责，留存完整的安全管理台账，包括但不限于培训记录、交底记录、设备维护记录、安全检查记录等，主动接受甲方监督检查。</w:t>
      </w:r>
    </w:p>
    <w:p w14:paraId="4FB286D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确保参与试验的作业人员具备相应的安全资质，其中高压电工、登高等特种作业人员必须持有效特种作业操作证上岗；对所有作业人员进行专项安全教育培训、安全技术交底，重点明确高压作业风险、安全操作规范、应急处置方法，定期对作业人员进行安全复训，确保作业人员掌握最新安全规范，留存培训及交底记录，未经培训合格的人员不得上岗作业。</w:t>
      </w:r>
    </w:p>
    <w:p w14:paraId="1FDDB95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严格按照国家行业规范、安全操作规程及甲方要求开展试验作业，作业前须对作业环境、设备状态进行安全排查，排查合格后方可开展作业；严格落实各项安全防护措施，不得擅自更改作业方案、违规操作、冒险作业。</w:t>
      </w:r>
    </w:p>
    <w:p w14:paraId="3BFD459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负责配备齐全、有效的安全防护用品（安全帽、绝缘手套、绝缘鞋、绝缘工具、验电器、接地线、防护栏、警示灯等）及应急救援器材（急救箱、灭火器等），定期对防护用品及器材进行检查、维护、校验，确保其完好可用，并全程监督作业人员正确佩戴、使用，严禁作业人员未按规定佩戴、使用防护用品上岗。</w:t>
      </w:r>
    </w:p>
    <w:p w14:paraId="167536E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对甲方下达的整改通知，乙方必须在通知明确的期限内完成整改，整改完成后24小时内书面反馈甲方，甲方验收合格后方可闭环；若乙方认为整改要求不合理，可在收到通知后12小时内书面提出异议，双方协商解决，协商期间不得擅自停止整改。</w:t>
      </w:r>
    </w:p>
    <w:p w14:paraId="00B481B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负责作业现场的安全防护设置，在作业区域设置规范的警示标志、围挡、绝缘隔离设施，划定危险作业区域，作业期间安排专人现场值守，严禁擅自离岗，严禁无关人员、车辆进入作业现场；负责现场作业人员的人身安全及设备安全，防止人身触电、坠落、设备损坏等安全事故发生。</w:t>
      </w:r>
    </w:p>
    <w:p w14:paraId="356A0E0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发生交通、安全事故时，乙方应立即停止作业，启动自身应急处置预案，优先抢救伤员、采取有效措施控制事故扩大，在30分钟内（特殊情况不超过1小时）上报甲方及相关主管部门，不得瞒报、迟报、漏报，配合甲方及相关部门开展事故调查、善后处理工作；承担因自身管理、操作、防护不到位或应急处置不当引发的全部安全责任、经济损失（包括但不限于人员伤亡赔偿、设备损坏修复、行政处罚、第三方索赔、甲方损失等）及相应法律后果。</w:t>
      </w:r>
    </w:p>
    <w:p w14:paraId="3E76788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负责为所有参与本合同服务包含的管理、作业人员等购买足额的工伤保险、安全生产责任险等相关保险（保险需覆盖本合同作业全部风险），保单有效期需覆盖主合同履行全过程；若未按规定购买、足额购买保险或保单过期，或未履行安全管理职责，导致作业人员伤亡、第三方损失或甲方损失的，由乙方承担全部责任及赔偿费用，甲方有权暂停支付服务费用，直至乙方整改完毕。</w:t>
      </w:r>
    </w:p>
    <w:p w14:paraId="0F4EC29A">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第四条 抢修维护等作业专项安全措施</w:t>
      </w:r>
    </w:p>
    <w:p w14:paraId="76BA898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作业必须严格执行“停电、验电、接地、挂牌”制度，严禁擅自带电作业；停电后必须对作业设备进行全面验电、放电，在作业区域及相关控制开关处悬挂接地线及“禁止合闸、正在作业”警示标志，安排专人全程监护，确保作业安全，留存作业记录；作业完成后，须经监护人员确认无误，方可拆除接地线、警示标志。</w:t>
      </w:r>
    </w:p>
    <w:p w14:paraId="39E81A8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作业过程中，严格遵守设备操作规范及甲方相关要求，严禁违规拆卸、触碰设备部件，严禁使用不合格、过期或未校验合格的工具、材料进行作业；维修更新的材料、设备须与原设备规格、标准一致，确保质量及安全。</w:t>
      </w:r>
    </w:p>
    <w:p w14:paraId="20B5BF4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作业现场严禁吸烟、擅自动火，如需动火作业，必须提前办理相关手续，配备足够的消防器材及监护人员，落实防火、防爆炸、防触电等安全措施后方可作业；动火作业完成后，需对现场进行全面检查，确认无火灾隐患后方可撤离。</w:t>
      </w:r>
    </w:p>
    <w:p w14:paraId="428EA04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4.作业期间，乙方必须安排专职安全员现场监护，全程监督作业人员操作规范，及时制止违章行为；遇雷雨、大风（风力≥6级）、暴雨、暴雪等恶劣天气，立即停止作业，组织相关人员有序撤离至安全区域，做好现场防护，确保人员及设备安全；恶劣天气过后，需对作业现场、设备进行全面检查，确认无安全隐患后方可恢复作业。                                   </w:t>
      </w:r>
    </w:p>
    <w:p w14:paraId="2541C2B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5.作业完成后，乙方必须对作业现场进行全面安全检查、清理，确认无安全隐患、设备运转正常、现场无遗留工具及杂物，向甲方报告同意后，方可拆除安全防护设施、撤离作业人员。</w:t>
      </w:r>
    </w:p>
    <w:p w14:paraId="064CB780">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第五条 安全违约责任</w:t>
      </w:r>
    </w:p>
    <w:p w14:paraId="35835D7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乙方违反本协议约定，未履行安全管理职责、违规操作、存在安全隐患未按要求整改，或引发交通、安全事故的，除承担全部经济损失及相应法律后果外，甲方有权根据违约情节轻重，按主合同中标价款的10%—20%向乙方收取违约金；若造成重大安全事故、人员伤亡或甲方重大损失的，视为情节严重，甲方有权单方解除主合同，并要求乙方承担全部赔偿责任。</w:t>
      </w:r>
    </w:p>
    <w:p w14:paraId="77ECD7C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2.因乙方未按本协议约定落实安全防护措施、配备合格人员及器材，或未按规定购买保险，导致任何安全事故或损失的，由乙方承担全部责任，甲方不承担任何连带责任。</w:t>
      </w:r>
    </w:p>
    <w:p w14:paraId="6FBCDBF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3.本协议约定的违约金，可与主合同约定的其他违约金并行主张，不足以弥补甲方实际损失的，乙方需另行补足差额。</w:t>
      </w:r>
    </w:p>
    <w:p w14:paraId="6A57D381">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第六条 其他</w:t>
      </w:r>
    </w:p>
    <w:p w14:paraId="2A5ADEB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1.本协议自双方法定代表人、授权代表签名并加盖单位公章之日起生效，随主合同的终止而终止。</w:t>
      </w:r>
    </w:p>
    <w:p w14:paraId="1727EA2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2.本协议未尽事宜，双方可另行协商签订补充条款，补充条款与本协议具有同等法律效力。</w:t>
      </w:r>
    </w:p>
    <w:p w14:paraId="3E49C85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3.本协议一式六份，甲方四份，乙方两份，具有同等法律效力。</w:t>
      </w:r>
    </w:p>
    <w:p w14:paraId="67426DCA">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33537454">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0B804DA7">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423C61A8">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 xml:space="preserve">甲方（盖章）：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乙方（盖章）：                                      </w:t>
      </w:r>
    </w:p>
    <w:p w14:paraId="119DD402">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法人：                              法人：</w:t>
      </w:r>
    </w:p>
    <w:p w14:paraId="178587C1">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p>
    <w:p w14:paraId="31CCD05C">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p>
    <w:p w14:paraId="669D69B7">
      <w:pPr>
        <w:pStyle w:val="2"/>
        <w:keepNext w:val="0"/>
        <w:keepLines w:val="0"/>
        <w:pageBreakBefore w:val="0"/>
        <w:widowControl w:val="0"/>
        <w:kinsoku/>
        <w:wordWrap/>
        <w:overflowPunct/>
        <w:topLinePunct w:val="0"/>
        <w:autoSpaceDE/>
        <w:autoSpaceDN/>
        <w:bidi w:val="0"/>
        <w:adjustRightInd/>
        <w:snapToGrid/>
        <w:spacing w:line="640" w:lineRule="exact"/>
        <w:ind w:left="0" w:leftChars="0" w:firstLine="0" w:firstLineChars="0"/>
        <w:textAlignment w:val="auto"/>
        <w:rPr>
          <w:rFonts w:hint="default"/>
          <w:color w:val="000000" w:themeColor="text1"/>
          <w:sz w:val="28"/>
          <w:szCs w:val="28"/>
          <w:u w:val="none"/>
          <w:lang w:val="en-US" w:eastAsia="zh-CN"/>
          <w14:textFill>
            <w14:solidFill>
              <w14:schemeClr w14:val="tx1"/>
            </w14:solidFill>
          </w14:textFill>
        </w:rPr>
      </w:pPr>
    </w:p>
    <w:p w14:paraId="15093705">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default"/>
          <w:sz w:val="30"/>
          <w:szCs w:val="30"/>
          <w:lang w:val="en-US" w:eastAsia="zh-CN"/>
        </w:rPr>
      </w:pP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           </w:t>
      </w: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w:t>
      </w:r>
    </w:p>
    <w:p w14:paraId="19796054">
      <w:r>
        <w:br w:type="page"/>
      </w:r>
    </w:p>
    <w:p w14:paraId="55E5A2D8">
      <w:pPr>
        <w:keepNext w:val="0"/>
        <w:keepLines w:val="0"/>
        <w:pageBreakBefore w:val="0"/>
        <w:widowControl w:val="0"/>
        <w:shd w:val="clear" w:color="auto" w:fill="auto"/>
        <w:kinsoku/>
        <w:wordWrap w:val="0"/>
        <w:overflowPunct/>
        <w:topLinePunct w:val="0"/>
        <w:autoSpaceDE/>
        <w:autoSpaceDN/>
        <w:bidi w:val="0"/>
        <w:adjustRightInd/>
        <w:snapToGrid/>
        <w:spacing w:line="900" w:lineRule="exact"/>
        <w:jc w:val="both"/>
        <w:textAlignment w:val="auto"/>
        <w:rPr>
          <w:rFonts w:hint="default" w:ascii="宋体" w:hAnsi="宋体" w:eastAsia="宋体" w:cs="宋体"/>
          <w:b/>
          <w:color w:val="auto"/>
          <w:sz w:val="36"/>
          <w:szCs w:val="36"/>
          <w:highlight w:val="none"/>
          <w:bdr w:val="single" w:color="auto" w:sz="4" w:space="0"/>
          <w:shd w:val="pct10" w:color="auto" w:fill="FFFFFF"/>
          <w:lang w:val="en-US" w:eastAsia="zh-CN"/>
        </w:rPr>
      </w:pPr>
      <w:r>
        <w:rPr>
          <w:rFonts w:hint="eastAsia" w:ascii="黑体" w:hAnsi="黑体" w:eastAsia="黑体" w:cs="黑体"/>
          <w:b w:val="0"/>
          <w:bCs/>
          <w:color w:val="auto"/>
          <w:sz w:val="36"/>
          <w:szCs w:val="36"/>
          <w:highlight w:val="none"/>
          <w:bdr w:val="single" w:color="auto" w:sz="4" w:space="0"/>
          <w:shd w:val="pct10" w:color="auto" w:fill="FFFFFF"/>
        </w:rPr>
        <w:t>政府采购项目</w:t>
      </w:r>
      <w:r>
        <w:rPr>
          <w:rFonts w:hint="eastAsia" w:ascii="KaiTi_GB2312" w:hAnsi="宋体" w:eastAsia="KaiTi_GB2312" w:cs="Times New Roman"/>
          <w:b w:val="0"/>
          <w:bCs w:val="0"/>
          <w:sz w:val="36"/>
          <w:szCs w:val="36"/>
          <w:lang w:val="en-US" w:eastAsia="zh-CN"/>
        </w:rPr>
        <w:t xml:space="preserve">  </w:t>
      </w:r>
    </w:p>
    <w:p w14:paraId="02B03AB8">
      <w:pPr>
        <w:keepNext w:val="0"/>
        <w:keepLines w:val="0"/>
        <w:pageBreakBefore w:val="0"/>
        <w:widowControl w:val="0"/>
        <w:kinsoku/>
        <w:wordWrap/>
        <w:overflowPunct/>
        <w:topLinePunct w:val="0"/>
        <w:autoSpaceDE/>
        <w:autoSpaceDN/>
        <w:bidi w:val="0"/>
        <w:adjustRightInd/>
        <w:snapToGrid/>
        <w:spacing w:line="800" w:lineRule="exact"/>
        <w:jc w:val="both"/>
        <w:textAlignment w:val="auto"/>
        <w:rPr>
          <w:rFonts w:hint="eastAsia" w:ascii="黑体" w:hAnsi="黑体" w:eastAsia="黑体" w:cs="黑体"/>
          <w:b w:val="0"/>
          <w:bCs w:val="0"/>
          <w:sz w:val="30"/>
          <w:szCs w:val="30"/>
          <w:lang w:val="en-US" w:eastAsia="zh-CN"/>
        </w:rPr>
      </w:pPr>
      <w:r>
        <w:rPr>
          <w:rFonts w:hint="eastAsia" w:ascii="黑体" w:hAnsi="黑体" w:eastAsia="黑体" w:cs="黑体"/>
          <w:b w:val="0"/>
          <w:bCs w:val="0"/>
          <w:sz w:val="30"/>
          <w:szCs w:val="30"/>
          <w:lang w:eastAsia="zh-CN"/>
        </w:rPr>
        <w:t>计划备案编号：</w:t>
      </w:r>
      <w:r>
        <w:rPr>
          <w:rFonts w:hint="eastAsia" w:ascii="黑体" w:hAnsi="黑体" w:eastAsia="黑体" w:cs="黑体"/>
          <w:b w:val="0"/>
          <w:bCs w:val="0"/>
          <w:sz w:val="30"/>
          <w:szCs w:val="30"/>
          <w:lang w:val="en-US" w:eastAsia="zh-CN"/>
        </w:rPr>
        <w:t>ZCBN-西安市-2026-00413</w:t>
      </w:r>
    </w:p>
    <w:p w14:paraId="6B9F8AD6">
      <w:pPr>
        <w:rPr>
          <w:rFonts w:hint="eastAsia" w:ascii="黑体" w:hAnsi="黑体" w:eastAsia="黑体" w:cs="黑体"/>
          <w:b/>
          <w:sz w:val="36"/>
          <w:szCs w:val="36"/>
          <w:lang w:eastAsia="zh-CN"/>
        </w:rPr>
      </w:pPr>
    </w:p>
    <w:p w14:paraId="0C6D6D60">
      <w:pPr>
        <w:rPr>
          <w:rFonts w:hint="eastAsia" w:ascii="黑体" w:hAnsi="黑体" w:eastAsia="黑体" w:cs="黑体"/>
          <w:b/>
          <w:sz w:val="36"/>
          <w:szCs w:val="36"/>
          <w:lang w:eastAsia="zh-CN"/>
        </w:rPr>
      </w:pPr>
    </w:p>
    <w:p w14:paraId="0A66D016">
      <w:pPr>
        <w:keepNext w:val="0"/>
        <w:keepLines w:val="0"/>
        <w:pageBreakBefore w:val="0"/>
        <w:widowControl w:val="0"/>
        <w:kinsoku/>
        <w:wordWrap/>
        <w:overflowPunct/>
        <w:topLinePunct w:val="0"/>
        <w:autoSpaceDE/>
        <w:autoSpaceDN/>
        <w:bidi w:val="0"/>
        <w:adjustRightInd/>
        <w:snapToGrid/>
        <w:spacing w:line="720" w:lineRule="exact"/>
        <w:textAlignment w:val="auto"/>
        <w:rPr>
          <w:rFonts w:ascii="KaiTi_GB2312" w:hAnsi="宋体" w:eastAsia="KaiTi_GB2312"/>
          <w:b w:val="0"/>
          <w:bCs w:val="0"/>
          <w:sz w:val="36"/>
          <w:szCs w:val="36"/>
        </w:rPr>
      </w:pPr>
    </w:p>
    <w:p w14:paraId="5EBA639D">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方正小标宋_GBK" w:hAnsi="方正小标宋_GBK" w:eastAsia="方正小标宋_GBK" w:cs="方正小标宋_GBK"/>
          <w:b w:val="0"/>
          <w:bCs w:val="0"/>
          <w:sz w:val="52"/>
          <w:szCs w:val="52"/>
          <w:lang w:eastAsia="zh-CN"/>
        </w:rPr>
      </w:pPr>
      <w:r>
        <w:rPr>
          <w:rFonts w:hint="eastAsia" w:ascii="方正小标宋_GBK" w:hAnsi="方正小标宋_GBK" w:eastAsia="方正小标宋_GBK" w:cs="方正小标宋_GBK"/>
          <w:b w:val="0"/>
          <w:bCs w:val="0"/>
          <w:sz w:val="52"/>
          <w:szCs w:val="52"/>
        </w:rPr>
        <w:t>西安市城市照明</w:t>
      </w:r>
      <w:r>
        <w:rPr>
          <w:rFonts w:hint="eastAsia" w:ascii="方正小标宋_GBK" w:hAnsi="方正小标宋_GBK" w:eastAsia="方正小标宋_GBK" w:cs="方正小标宋_GBK"/>
          <w:b w:val="0"/>
          <w:bCs w:val="0"/>
          <w:sz w:val="52"/>
          <w:szCs w:val="52"/>
          <w:lang w:eastAsia="zh-CN"/>
        </w:rPr>
        <w:t>管护中心</w:t>
      </w:r>
    </w:p>
    <w:p w14:paraId="416CC20D">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方正小标宋_GBK" w:hAnsi="方正小标宋_GBK" w:eastAsia="方正小标宋_GBK" w:cs="方正小标宋_GBK"/>
          <w:b w:val="0"/>
          <w:bCs w:val="0"/>
          <w:sz w:val="24"/>
        </w:rPr>
      </w:pPr>
      <w:r>
        <w:rPr>
          <w:rFonts w:hint="eastAsia" w:ascii="方正小标宋_GBK" w:hAnsi="方正小标宋_GBK" w:eastAsia="方正小标宋_GBK" w:cs="方正小标宋_GBK"/>
          <w:b w:val="0"/>
          <w:bCs w:val="0"/>
          <w:sz w:val="52"/>
          <w:szCs w:val="52"/>
          <w:lang w:eastAsia="zh-CN"/>
        </w:rPr>
        <w:t>大型低压线路故障抢修</w:t>
      </w:r>
      <w:r>
        <w:rPr>
          <w:rFonts w:hint="eastAsia" w:ascii="方正小标宋_GBK" w:hAnsi="方正小标宋_GBK" w:eastAsia="方正小标宋_GBK" w:cs="方正小标宋_GBK"/>
          <w:b w:val="0"/>
          <w:bCs w:val="0"/>
          <w:sz w:val="52"/>
          <w:szCs w:val="52"/>
        </w:rPr>
        <w:t xml:space="preserve">合同 </w:t>
      </w:r>
    </w:p>
    <w:p w14:paraId="61C2C481">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（照明设施抢修及维护</w:t>
      </w:r>
      <w:r>
        <w:rPr>
          <w:rFonts w:hint="eastAsia" w:ascii="楷体" w:hAnsi="楷体" w:eastAsia="楷体" w:cs="楷体"/>
          <w:sz w:val="32"/>
          <w:szCs w:val="32"/>
          <w:lang w:val="en-US" w:eastAsia="zh-CN"/>
        </w:rPr>
        <w:t xml:space="preserve"> </w:t>
      </w:r>
      <w:r>
        <w:rPr>
          <w:rFonts w:hint="eastAsia" w:ascii="楷体" w:hAnsi="楷体" w:eastAsia="楷体" w:cs="楷体"/>
          <w:sz w:val="32"/>
          <w:szCs w:val="32"/>
          <w:lang w:eastAsia="zh-CN"/>
        </w:rPr>
        <w:t>标包</w:t>
      </w:r>
      <w:r>
        <w:rPr>
          <w:rFonts w:hint="eastAsia" w:ascii="楷体" w:hAnsi="楷体" w:eastAsia="楷体" w:cs="楷体"/>
          <w:sz w:val="32"/>
          <w:szCs w:val="32"/>
          <w:lang w:val="en-US" w:eastAsia="zh-CN"/>
        </w:rPr>
        <w:t>2</w:t>
      </w:r>
      <w:bookmarkStart w:id="30" w:name="_GoBack"/>
      <w:bookmarkEnd w:id="30"/>
      <w:r>
        <w:rPr>
          <w:rFonts w:hint="eastAsia" w:ascii="楷体" w:hAnsi="楷体" w:eastAsia="楷体" w:cs="楷体"/>
          <w:sz w:val="32"/>
          <w:szCs w:val="32"/>
          <w:lang w:eastAsia="zh-CN"/>
        </w:rPr>
        <w:t>）</w:t>
      </w:r>
    </w:p>
    <w:p w14:paraId="26A4EA57">
      <w:pPr>
        <w:snapToGrid w:val="0"/>
        <w:spacing w:line="288" w:lineRule="auto"/>
        <w:rPr>
          <w:rFonts w:ascii="FangSong_GB2312"/>
          <w:sz w:val="36"/>
        </w:rPr>
      </w:pPr>
    </w:p>
    <w:p w14:paraId="744F7EDA">
      <w:pPr>
        <w:snapToGrid w:val="0"/>
        <w:spacing w:line="288" w:lineRule="auto"/>
        <w:rPr>
          <w:rFonts w:ascii="FangSong_GB2312"/>
          <w:sz w:val="36"/>
        </w:rPr>
      </w:pPr>
    </w:p>
    <w:p w14:paraId="6B5DFB15">
      <w:pPr>
        <w:pStyle w:val="2"/>
      </w:pPr>
    </w:p>
    <w:p w14:paraId="7917A8C2">
      <w:pPr>
        <w:pStyle w:val="3"/>
        <w:ind w:left="1805" w:leftChars="1" w:hanging="1803" w:hangingChars="499"/>
        <w:rPr>
          <w:rFonts w:ascii="FangSong_GB2312"/>
          <w:b/>
          <w:bCs/>
          <w:sz w:val="36"/>
        </w:rPr>
      </w:pPr>
      <w:r>
        <w:rPr>
          <w:rFonts w:hint="eastAsia" w:ascii="FangSong_GB2312" w:eastAsia="宋体"/>
          <w:b/>
          <w:bCs/>
        </w:rPr>
        <w:t xml:space="preserve"> </w:t>
      </w:r>
    </w:p>
    <w:p w14:paraId="6D18C56F">
      <w:pPr>
        <w:snapToGrid w:val="0"/>
        <w:spacing w:line="288" w:lineRule="auto"/>
        <w:rPr>
          <w:rFonts w:ascii="FangSong_GB2312"/>
          <w:b/>
          <w:bCs/>
          <w:sz w:val="36"/>
        </w:rPr>
      </w:pPr>
    </w:p>
    <w:p w14:paraId="01F86550">
      <w:pPr>
        <w:pStyle w:val="2"/>
      </w:pPr>
    </w:p>
    <w:p w14:paraId="138F22F3">
      <w:pPr>
        <w:pStyle w:val="2"/>
      </w:pPr>
    </w:p>
    <w:p w14:paraId="1F6A3F4F">
      <w:pPr>
        <w:snapToGrid w:val="0"/>
        <w:spacing w:line="288" w:lineRule="auto"/>
        <w:rPr>
          <w:rFonts w:ascii="FangSong_GB2312"/>
          <w:b/>
          <w:bCs/>
          <w:sz w:val="36"/>
        </w:rPr>
      </w:pPr>
    </w:p>
    <w:p w14:paraId="6F05D2D2">
      <w:pPr>
        <w:pStyle w:val="2"/>
        <w:rPr>
          <w:rFonts w:ascii="FangSong_GB2312"/>
          <w:b/>
          <w:bCs/>
          <w:sz w:val="36"/>
        </w:rPr>
      </w:pPr>
    </w:p>
    <w:p w14:paraId="562F0336">
      <w:pPr>
        <w:pStyle w:val="2"/>
        <w:rPr>
          <w:rFonts w:ascii="FangSong_GB2312"/>
          <w:b/>
          <w:bCs/>
          <w:sz w:val="36"/>
        </w:rPr>
      </w:pPr>
    </w:p>
    <w:p w14:paraId="0B680A67">
      <w:pPr>
        <w:snapToGrid w:val="0"/>
        <w:spacing w:line="288" w:lineRule="auto"/>
        <w:rPr>
          <w:rFonts w:hint="eastAsia" w:ascii="宋体" w:hAnsi="宋体" w:eastAsia="宋体" w:cs="宋体"/>
          <w:b/>
          <w:sz w:val="32"/>
          <w:szCs w:val="32"/>
        </w:rPr>
      </w:pPr>
    </w:p>
    <w:p w14:paraId="4276F6D0">
      <w:pPr>
        <w:ind w:firstLine="600" w:firstLineChars="200"/>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采购人（全称）：西安市城市照明管护中心</w:t>
      </w:r>
    </w:p>
    <w:p w14:paraId="2A97FEFE">
      <w:pPr>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lang w:eastAsia="zh-CN"/>
        </w:rPr>
        <w:t>供应商（全称）：</w:t>
      </w:r>
    </w:p>
    <w:p w14:paraId="05BA7C08">
      <w:pPr>
        <w:ind w:firstLine="600" w:firstLineChars="200"/>
        <w:rPr>
          <w:rFonts w:hint="eastAsia" w:ascii="黑体" w:hAnsi="黑体" w:eastAsia="黑体" w:cs="黑体"/>
          <w:b w:val="0"/>
          <w:bCs/>
          <w:sz w:val="30"/>
          <w:szCs w:val="30"/>
          <w:lang w:eastAsia="zh-CN"/>
        </w:rPr>
      </w:pPr>
    </w:p>
    <w:p w14:paraId="414DC6F0">
      <w:pPr>
        <w:ind w:firstLine="3000" w:firstLineChars="1000"/>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202</w:t>
      </w:r>
      <w:r>
        <w:rPr>
          <w:rFonts w:hint="eastAsia" w:ascii="黑体" w:hAnsi="黑体" w:eastAsia="黑体" w:cs="黑体"/>
          <w:b w:val="0"/>
          <w:bCs/>
          <w:sz w:val="30"/>
          <w:szCs w:val="30"/>
          <w:lang w:val="en-US" w:eastAsia="zh-CN"/>
        </w:rPr>
        <w:t>6</w:t>
      </w:r>
      <w:r>
        <w:rPr>
          <w:rFonts w:hint="eastAsia" w:ascii="黑体" w:hAnsi="黑体" w:eastAsia="黑体" w:cs="黑体"/>
          <w:b w:val="0"/>
          <w:bCs/>
          <w:sz w:val="30"/>
          <w:szCs w:val="30"/>
          <w:lang w:eastAsia="zh-CN"/>
        </w:rPr>
        <w:t>年</w:t>
      </w:r>
      <w:r>
        <w:rPr>
          <w:rFonts w:hint="eastAsia" w:ascii="黑体" w:hAnsi="黑体" w:eastAsia="黑体" w:cs="黑体"/>
          <w:b w:val="0"/>
          <w:bCs/>
          <w:sz w:val="30"/>
          <w:szCs w:val="30"/>
          <w:lang w:val="en-US" w:eastAsia="zh-CN"/>
        </w:rPr>
        <w:t xml:space="preserve">   </w:t>
      </w:r>
      <w:r>
        <w:rPr>
          <w:rFonts w:hint="eastAsia" w:ascii="黑体" w:hAnsi="黑体" w:eastAsia="黑体" w:cs="黑体"/>
          <w:b w:val="0"/>
          <w:bCs/>
          <w:sz w:val="30"/>
          <w:szCs w:val="30"/>
          <w:lang w:eastAsia="zh-CN"/>
        </w:rPr>
        <w:t>月</w:t>
      </w:r>
    </w:p>
    <w:p w14:paraId="0700020A">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方正小标宋简体" w:hAnsi="方正小标宋简体" w:eastAsia="方正小标宋简体" w:cs="方正小标宋简体"/>
          <w:b w:val="0"/>
          <w:bCs w:val="0"/>
          <w:sz w:val="36"/>
          <w:szCs w:val="36"/>
        </w:rPr>
      </w:pPr>
      <w:r>
        <w:rPr>
          <w:rFonts w:hint="eastAsia" w:ascii="方正小标宋_GBK" w:hAnsi="方正小标宋_GBK" w:eastAsia="方正小标宋_GBK" w:cs="方正小标宋_GBK"/>
          <w:b w:val="0"/>
          <w:bCs w:val="0"/>
          <w:sz w:val="36"/>
          <w:szCs w:val="36"/>
        </w:rPr>
        <w:t>大型低压线路故障抢修合同</w:t>
      </w:r>
      <w:r>
        <w:rPr>
          <w:rFonts w:hint="eastAsia" w:ascii="方正小标宋简体" w:hAnsi="方正小标宋简体" w:eastAsia="方正小标宋简体" w:cs="方正小标宋简体"/>
          <w:b w:val="0"/>
          <w:bCs w:val="0"/>
          <w:sz w:val="36"/>
          <w:szCs w:val="36"/>
        </w:rPr>
        <w:t xml:space="preserve"> </w:t>
      </w:r>
    </w:p>
    <w:p w14:paraId="2D901DCD">
      <w:pPr>
        <w:keepNext w:val="0"/>
        <w:keepLines w:val="0"/>
        <w:pageBreakBefore w:val="0"/>
        <w:widowControl w:val="0"/>
        <w:shd w:val="clear"/>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highlight w:val="none"/>
        </w:rPr>
      </w:pPr>
    </w:p>
    <w:p w14:paraId="5D29F6D0">
      <w:pPr>
        <w:keepNext w:val="0"/>
        <w:keepLines w:val="0"/>
        <w:pageBreakBefore w:val="0"/>
        <w:widowControl w:val="0"/>
        <w:shd w:val="clear"/>
        <w:kinsoku/>
        <w:wordWrap/>
        <w:overflowPunct/>
        <w:topLinePunct w:val="0"/>
        <w:autoSpaceDE/>
        <w:autoSpaceDN/>
        <w:bidi w:val="0"/>
        <w:adjustRightInd w:val="0"/>
        <w:snapToGrid/>
        <w:spacing w:line="440" w:lineRule="exact"/>
        <w:textAlignment w:val="auto"/>
        <w:rPr>
          <w:rFonts w:hint="eastAsia" w:ascii="仿宋" w:hAnsi="仿宋" w:eastAsia="仿宋" w:cs="仿宋"/>
          <w:b w:val="0"/>
          <w:bCs w:val="0"/>
          <w:color w:val="000000" w:themeColor="text1"/>
          <w:sz w:val="28"/>
          <w:szCs w:val="28"/>
          <w:highlight w:val="none"/>
          <w:u w:val="none"/>
          <w:lang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采购人（以下简称</w:t>
      </w:r>
      <w:r>
        <w:rPr>
          <w:rFonts w:hint="eastAsia" w:ascii="仿宋" w:hAnsi="仿宋" w:eastAsia="仿宋" w:cs="仿宋"/>
          <w:b/>
          <w:bCs/>
          <w:color w:val="000000" w:themeColor="text1"/>
          <w:sz w:val="28"/>
          <w:szCs w:val="28"/>
          <w:highlight w:val="none"/>
          <w:u w:val="none"/>
          <w14:textFill>
            <w14:solidFill>
              <w14:schemeClr w14:val="tx1"/>
            </w14:solidFill>
          </w14:textFill>
        </w:rPr>
        <w:t>甲方</w:t>
      </w: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u w:val="none"/>
          <w14:textFill>
            <w14:solidFill>
              <w14:schemeClr w14:val="tx1"/>
            </w14:solidFill>
          </w14:textFill>
        </w:rPr>
        <w:t>：</w:t>
      </w:r>
      <w:r>
        <w:rPr>
          <w:rFonts w:hint="eastAsia" w:ascii="仿宋" w:hAnsi="仿宋" w:eastAsia="仿宋" w:cs="仿宋"/>
          <w:b w:val="0"/>
          <w:bCs w:val="0"/>
          <w:color w:val="000000" w:themeColor="text1"/>
          <w:sz w:val="28"/>
          <w:szCs w:val="28"/>
          <w:highlight w:val="none"/>
          <w:u w:val="none"/>
          <w:lang w:eastAsia="zh-CN"/>
          <w14:textFill>
            <w14:solidFill>
              <w14:schemeClr w14:val="tx1"/>
            </w14:solidFill>
          </w14:textFill>
        </w:rPr>
        <w:t>西安市城市照明管护中心</w:t>
      </w:r>
    </w:p>
    <w:p w14:paraId="40C004DC">
      <w:pPr>
        <w:keepNext w:val="0"/>
        <w:keepLines w:val="0"/>
        <w:pageBreakBefore w:val="0"/>
        <w:widowControl w:val="0"/>
        <w:shd w:val="clear"/>
        <w:kinsoku/>
        <w:wordWrap/>
        <w:overflowPunct/>
        <w:topLinePunct w:val="0"/>
        <w:autoSpaceDE/>
        <w:autoSpaceDN/>
        <w:bidi w:val="0"/>
        <w:adjustRightInd w:val="0"/>
        <w:snapToGrid/>
        <w:spacing w:line="44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供应商（以下简称</w:t>
      </w:r>
      <w:r>
        <w:rPr>
          <w:rFonts w:hint="eastAsia" w:ascii="仿宋" w:hAnsi="仿宋" w:eastAsia="仿宋" w:cs="仿宋"/>
          <w:b/>
          <w:bCs/>
          <w:color w:val="000000" w:themeColor="text1"/>
          <w:sz w:val="28"/>
          <w:szCs w:val="28"/>
          <w:highlight w:val="none"/>
          <w:u w:val="none"/>
          <w14:textFill>
            <w14:solidFill>
              <w14:schemeClr w14:val="tx1"/>
            </w14:solidFill>
          </w14:textFill>
        </w:rPr>
        <w:t>乙方</w:t>
      </w: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u w:val="none"/>
          <w14:textFill>
            <w14:solidFill>
              <w14:schemeClr w14:val="tx1"/>
            </w14:solidFill>
          </w14:textFill>
        </w:rPr>
        <w:t>：</w:t>
      </w:r>
    </w:p>
    <w:p w14:paraId="4D3007F8">
      <w:pPr>
        <w:keepNext w:val="0"/>
        <w:keepLines w:val="0"/>
        <w:pageBreakBefore w:val="0"/>
        <w:widowControl w:val="0"/>
        <w:shd w:val="clear"/>
        <w:kinsoku/>
        <w:wordWrap/>
        <w:overflowPunct/>
        <w:topLinePunct w:val="0"/>
        <w:autoSpaceDE/>
        <w:autoSpaceDN/>
        <w:bidi w:val="0"/>
        <w:adjustRightInd/>
        <w:snapToGrid/>
        <w:spacing w:before="157" w:beforeLines="50" w:line="440" w:lineRule="exact"/>
        <w:ind w:firstLine="560" w:firstLineChars="2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根据《中华人民共和国政府采购法》</w:t>
      </w:r>
      <w:r>
        <w:rPr>
          <w:rFonts w:hint="eastAsia" w:ascii="仿宋" w:hAnsi="仿宋" w:eastAsia="仿宋" w:cs="仿宋"/>
          <w:color w:val="000000" w:themeColor="text1"/>
          <w:spacing w:val="0"/>
          <w:sz w:val="28"/>
          <w:szCs w:val="28"/>
          <w:u w:val="none"/>
          <w:lang w:eastAsia="zh-CN"/>
          <w14:textFill>
            <w14:solidFill>
              <w14:schemeClr w14:val="tx1"/>
            </w14:solidFill>
          </w14:textFill>
        </w:rPr>
        <w:t>及其</w:t>
      </w:r>
      <w:r>
        <w:rPr>
          <w:rFonts w:hint="eastAsia" w:ascii="仿宋" w:hAnsi="仿宋" w:eastAsia="仿宋" w:cs="仿宋"/>
          <w:color w:val="000000" w:themeColor="text1"/>
          <w:spacing w:val="0"/>
          <w:sz w:val="28"/>
          <w:szCs w:val="28"/>
          <w:u w:val="none"/>
          <w14:textFill>
            <w14:solidFill>
              <w14:schemeClr w14:val="tx1"/>
            </w14:solidFill>
          </w14:textFill>
        </w:rPr>
        <w:t>实施条例、《中华人民共和国民法典》和</w:t>
      </w:r>
      <w:r>
        <w:rPr>
          <w:rFonts w:hint="eastAsia" w:ascii="仿宋" w:hAnsi="仿宋" w:eastAsia="仿宋" w:cs="仿宋"/>
          <w:color w:val="000000" w:themeColor="text1"/>
          <w:spacing w:val="0"/>
          <w:sz w:val="28"/>
          <w:szCs w:val="28"/>
          <w:highlight w:val="yellow"/>
          <w:u w:val="none"/>
          <w14:textFill>
            <w14:solidFill>
              <w14:schemeClr w14:val="tx1"/>
            </w14:solidFill>
          </w14:textFill>
        </w:rPr>
        <w:t>照明设施</w:t>
      </w:r>
      <w:r>
        <w:rPr>
          <w:rFonts w:hint="eastAsia" w:ascii="仿宋" w:hAnsi="仿宋" w:eastAsia="仿宋" w:cs="仿宋"/>
          <w:color w:val="000000" w:themeColor="text1"/>
          <w:spacing w:val="0"/>
          <w:sz w:val="28"/>
          <w:szCs w:val="28"/>
          <w:highlight w:val="yellow"/>
          <w:u w:val="none"/>
          <w:lang w:eastAsia="zh-CN"/>
          <w14:textFill>
            <w14:solidFill>
              <w14:schemeClr w14:val="tx1"/>
            </w14:solidFill>
          </w14:textFill>
        </w:rPr>
        <w:t>抢修及维护</w:t>
      </w:r>
      <w:r>
        <w:rPr>
          <w:rFonts w:hint="eastAsia" w:ascii="仿宋" w:hAnsi="仿宋" w:eastAsia="仿宋" w:cs="仿宋"/>
          <w:color w:val="000000" w:themeColor="text1"/>
          <w:spacing w:val="0"/>
          <w:sz w:val="28"/>
          <w:szCs w:val="28"/>
          <w:highlight w:val="yellow"/>
          <w:u w:val="none"/>
          <w14:textFill>
            <w14:solidFill>
              <w14:schemeClr w14:val="tx1"/>
            </w14:solidFill>
          </w14:textFill>
        </w:rPr>
        <w:t>（项目编号：</w:t>
      </w:r>
      <w:r>
        <w:rPr>
          <w:rFonts w:hint="eastAsia" w:ascii="仿宋" w:hAnsi="仿宋" w:eastAsia="仿宋" w:cs="仿宋"/>
          <w:color w:val="000000" w:themeColor="text1"/>
          <w:spacing w:val="0"/>
          <w:sz w:val="28"/>
          <w:szCs w:val="28"/>
          <w:highlight w:val="yellow"/>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highlight w:val="yellow"/>
          <w:u w:val="none"/>
          <w14:textFill>
            <w14:solidFill>
              <w14:schemeClr w14:val="tx1"/>
            </w14:solidFill>
          </w14:textFill>
        </w:rPr>
        <w:t>）</w:t>
      </w:r>
      <w:r>
        <w:rPr>
          <w:rFonts w:hint="eastAsia" w:ascii="仿宋" w:hAnsi="仿宋" w:eastAsia="仿宋" w:cs="仿宋"/>
          <w:color w:val="000000" w:themeColor="text1"/>
          <w:spacing w:val="0"/>
          <w:sz w:val="28"/>
          <w:szCs w:val="28"/>
          <w:u w:val="none"/>
          <w14:textFill>
            <w14:solidFill>
              <w14:schemeClr w14:val="tx1"/>
            </w14:solidFill>
          </w14:textFill>
        </w:rPr>
        <w:t>的招标文件、中标人的投标文件及其他有关法律法规，为确保甲方</w:t>
      </w:r>
      <w:r>
        <w:rPr>
          <w:rFonts w:hint="eastAsia" w:ascii="仿宋" w:hAnsi="仿宋" w:eastAsia="仿宋" w:cs="仿宋"/>
          <w:color w:val="000000" w:themeColor="text1"/>
          <w:spacing w:val="0"/>
          <w:sz w:val="28"/>
          <w:szCs w:val="28"/>
          <w:u w:val="single"/>
          <w:lang w:val="en-US" w:eastAsia="zh-CN"/>
          <w14:textFill>
            <w14:solidFill>
              <w14:schemeClr w14:val="tx1"/>
            </w14:solidFill>
          </w14:textFill>
        </w:rPr>
        <w:t xml:space="preserve"> 大型低压线路故障抢修 </w:t>
      </w:r>
      <w:r>
        <w:rPr>
          <w:rFonts w:hint="eastAsia" w:ascii="仿宋" w:hAnsi="仿宋" w:eastAsia="仿宋" w:cs="仿宋"/>
          <w:color w:val="000000" w:themeColor="text1"/>
          <w:spacing w:val="0"/>
          <w:sz w:val="28"/>
          <w:szCs w:val="28"/>
          <w:u w:val="none"/>
          <w:lang w:eastAsia="zh-CN"/>
          <w14:textFill>
            <w14:solidFill>
              <w14:schemeClr w14:val="tx1"/>
            </w14:solidFill>
          </w14:textFill>
        </w:rPr>
        <w:t>工作</w:t>
      </w:r>
      <w:r>
        <w:rPr>
          <w:rFonts w:hint="eastAsia" w:ascii="仿宋" w:hAnsi="仿宋" w:eastAsia="仿宋" w:cs="仿宋"/>
          <w:color w:val="000000" w:themeColor="text1"/>
          <w:spacing w:val="0"/>
          <w:sz w:val="28"/>
          <w:szCs w:val="28"/>
          <w:u w:val="none"/>
          <w14:textFill>
            <w14:solidFill>
              <w14:schemeClr w14:val="tx1"/>
            </w14:solidFill>
          </w14:textFill>
        </w:rPr>
        <w:t>的顺利实施，甲、乙</w:t>
      </w:r>
      <w:r>
        <w:rPr>
          <w:rFonts w:hint="eastAsia" w:ascii="仿宋" w:hAnsi="仿宋" w:eastAsia="仿宋" w:cs="仿宋"/>
          <w:color w:val="000000" w:themeColor="text1"/>
          <w:spacing w:val="0"/>
          <w:sz w:val="28"/>
          <w:szCs w:val="28"/>
          <w:u w:val="none"/>
          <w:lang w:eastAsia="zh-CN"/>
          <w14:textFill>
            <w14:solidFill>
              <w14:schemeClr w14:val="tx1"/>
            </w14:solidFill>
          </w14:textFill>
        </w:rPr>
        <w:t>双方</w:t>
      </w:r>
      <w:r>
        <w:rPr>
          <w:rFonts w:hint="eastAsia" w:ascii="仿宋" w:hAnsi="仿宋" w:eastAsia="仿宋" w:cs="仿宋"/>
          <w:color w:val="000000" w:themeColor="text1"/>
          <w:spacing w:val="0"/>
          <w:sz w:val="28"/>
          <w:szCs w:val="28"/>
          <w:u w:val="none"/>
          <w14:textFill>
            <w14:solidFill>
              <w14:schemeClr w14:val="tx1"/>
            </w14:solidFill>
          </w14:textFill>
        </w:rPr>
        <w:t>遵循平等、自愿、公平和诚信的</w:t>
      </w:r>
      <w:r>
        <w:rPr>
          <w:rFonts w:hint="eastAsia" w:ascii="仿宋" w:hAnsi="仿宋" w:eastAsia="仿宋" w:cs="仿宋"/>
          <w:color w:val="000000" w:themeColor="text1"/>
          <w:spacing w:val="0"/>
          <w:sz w:val="28"/>
          <w:szCs w:val="28"/>
          <w:u w:val="none"/>
          <w:lang w:eastAsia="zh-CN"/>
          <w14:textFill>
            <w14:solidFill>
              <w14:schemeClr w14:val="tx1"/>
            </w14:solidFill>
          </w14:textFill>
        </w:rPr>
        <w:t>原则</w:t>
      </w:r>
      <w:r>
        <w:rPr>
          <w:rFonts w:hint="eastAsia" w:ascii="仿宋" w:hAnsi="仿宋" w:eastAsia="仿宋" w:cs="仿宋"/>
          <w:color w:val="000000" w:themeColor="text1"/>
          <w:spacing w:val="0"/>
          <w:sz w:val="28"/>
          <w:szCs w:val="28"/>
          <w:u w:val="none"/>
          <w14:textFill>
            <w14:solidFill>
              <w14:schemeClr w14:val="tx1"/>
            </w14:solidFill>
          </w14:textFill>
        </w:rPr>
        <w:t>签订本合同，共同遵守。</w:t>
      </w:r>
    </w:p>
    <w:p w14:paraId="2B9B261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2" w:firstLineChars="200"/>
        <w:jc w:val="both"/>
        <w:textAlignment w:val="auto"/>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第一条 基本情况</w:t>
      </w:r>
    </w:p>
    <w:p w14:paraId="4B279D0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1.采购标的：主要用于甲方指定位置地埋照明线缆故障开挖施工及运用大型机械施工。主要包括沥青路面、人行道彩砖、混凝土路面、绿化带等地埋电缆故障的开挖及顶管施工等，如遇重大节日或保障性临时工作，需按甲方要求安排专人及设备值守。</w:t>
      </w:r>
    </w:p>
    <w:p w14:paraId="019A5C0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2.施工内容：在甲方指定的抢修维护位置，维修处理相关故障，恢复设备正常运行。</w:t>
      </w:r>
    </w:p>
    <w:p w14:paraId="0BB5D0F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3.数量：以全年实际工作数量为准。</w:t>
      </w:r>
    </w:p>
    <w:p w14:paraId="4EA6E16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4.项目清单：</w:t>
      </w:r>
    </w:p>
    <w:p w14:paraId="265F78ED">
      <w:pPr>
        <w:pStyle w:val="2"/>
        <w:keepNext w:val="0"/>
        <w:keepLines w:val="0"/>
        <w:pageBreakBefore w:val="0"/>
        <w:widowControl w:val="0"/>
        <w:kinsoku/>
        <w:wordWrap/>
        <w:overflowPunct/>
        <w:topLinePunct w:val="0"/>
        <w:bidi w:val="0"/>
        <w:snapToGrid/>
        <w:spacing w:line="440" w:lineRule="exact"/>
        <w:textAlignment w:val="auto"/>
        <w:rPr>
          <w:rFonts w:hint="eastAsia" w:ascii="仿宋" w:hAnsi="仿宋" w:eastAsia="仿宋" w:cs="仿宋"/>
          <w:color w:val="000000" w:themeColor="text1"/>
          <w:sz w:val="28"/>
          <w:szCs w:val="28"/>
          <w:highlight w:val="yellow"/>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yellow"/>
          <w:u w:val="none"/>
          <w:lang w:val="en-US" w:eastAsia="zh-CN"/>
          <w14:textFill>
            <w14:solidFill>
              <w14:schemeClr w14:val="tx1"/>
            </w14:solidFill>
          </w14:textFill>
        </w:rPr>
        <w:t>（招标完成后依据中标情况，据实补充）</w:t>
      </w:r>
    </w:p>
    <w:p w14:paraId="423A9EF0">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第二条 服务期限</w:t>
      </w:r>
    </w:p>
    <w:p w14:paraId="5505E52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1.服务期限：合同签订之日起至下一年度招标完成。</w:t>
      </w:r>
    </w:p>
    <w:p w14:paraId="18110E2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因甲方原因和不可抗力影响导致无法实施服务的，工期相应顺延，但总服务期限不变，乙方不得据此向甲方主张停工损失、窝工费、人员费用等相关费用。由于乙方原因造成的延误，工期不予顺延，责任由乙方自行承担。</w:t>
      </w:r>
    </w:p>
    <w:p w14:paraId="7F6206C2">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第三条 质量标准</w:t>
      </w:r>
    </w:p>
    <w:p w14:paraId="1240E1E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整个项目应符合国家有关行业规范标准及招投标文件相关要求。</w:t>
      </w:r>
    </w:p>
    <w:p w14:paraId="6C3A9720">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第四条 合同价款及支付方式</w:t>
      </w:r>
    </w:p>
    <w:p w14:paraId="51EDCFC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1.本合同中标价款：</w:t>
      </w:r>
      <w:r>
        <w:rPr>
          <w:rFonts w:hint="eastAsia" w:ascii="仿宋" w:hAnsi="仿宋" w:eastAsia="仿宋" w:cs="仿宋"/>
          <w:b w:val="0"/>
          <w:bCs w:val="0"/>
          <w:color w:val="000000" w:themeColor="text1"/>
          <w:sz w:val="28"/>
          <w:szCs w:val="28"/>
          <w:highlight w:val="yellow"/>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元，大写（人民币）</w:t>
      </w:r>
      <w:r>
        <w:rPr>
          <w:rFonts w:hint="eastAsia" w:ascii="仿宋" w:hAnsi="仿宋" w:eastAsia="仿宋" w:cs="仿宋"/>
          <w:b w:val="0"/>
          <w:bCs w:val="0"/>
          <w:color w:val="000000" w:themeColor="text1"/>
          <w:sz w:val="28"/>
          <w:szCs w:val="28"/>
          <w:highlight w:val="yellow"/>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。自合同签订之日起15日内，甲方向乙方一次性支付本合同中标价款的50%作为预付款。</w:t>
      </w:r>
    </w:p>
    <w:p w14:paraId="2CB6E5E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 本合同实际费用及支付方式：本合同结算费用以乙方全年实际产生工作内容及数量结算，不超过中标价款以全年实际发生工作量结算，超过中标价款5%（含5%）以内的由乙方自行承担，甲方不再另行支付；单项报价未涉及项目按甲方材料采购或市场价核算，需经甲乙双方书面确认。每次抢修维护工作结束后，乙方应在一周内向甲方报告完成情况、抢修维护内容及费用并提供相应的影像资料、作业记录等佐证资料，甲方经审核确认后依据清单及发票结算相应费用，结算费用优先从甲方所支付的预付款中扣除，但支付总费用不超过本合同中标价款。</w:t>
      </w:r>
    </w:p>
    <w:p w14:paraId="2B09AE3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结算方式：由甲方根据合同约定、服务进度及财务相关制度结算。乙方须向甲方出具合法有效完税发票，否则甲方有权顺延付款期限，不视为违约。因乙方原因如发票不合规、资料不全等造成费用无法支付的，甲方不承担任何责任。</w:t>
      </w:r>
    </w:p>
    <w:p w14:paraId="687E489F">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第五条 验收标准及条件</w:t>
      </w:r>
    </w:p>
    <w:p w14:paraId="15F31C9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1.验收标准：由甲方组织验收，乙方应严格按照招投标文件、合同要求及补充协议等实施，恢复设备正常运行。</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抢修维护作业质保期不少于12个月，质保期内因作业或材料质量问题产生的故障由乙方进行免费维修、更换并承担全部费用。</w:t>
      </w:r>
    </w:p>
    <w:p w14:paraId="59FE5F9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2.验收依据：</w:t>
      </w:r>
    </w:p>
    <w:p w14:paraId="63EEB82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（1）招标文件、投标文件、澄清表（函）；</w:t>
      </w:r>
    </w:p>
    <w:p w14:paraId="7144341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（2）本合同及补充协议文本；</w:t>
      </w:r>
    </w:p>
    <w:p w14:paraId="116C01B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（3）合同签订时国家及行业现行的标准和技术规范。</w:t>
      </w:r>
    </w:p>
    <w:p w14:paraId="0090037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（4）技术档案或作业资料。</w:t>
      </w:r>
    </w:p>
    <w:p w14:paraId="754AC7A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3.乙方应向甲方提交服务实施过程中的所有资料，以便甲方日后管理和维护。</w:t>
      </w:r>
    </w:p>
    <w:p w14:paraId="7E50936B">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第六条 双方的权利和义务</w:t>
      </w:r>
    </w:p>
    <w:p w14:paraId="4E25F5E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（一）甲方的权利和义务</w:t>
      </w:r>
    </w:p>
    <w:p w14:paraId="45F1519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有权对合同约定范围内乙方的服务行为、抢修维护质量、人员配备、安全管理等情况进行全程监督和检查，拥有全程监管权；有权定期（每月至少2次）检查乙方提供服务所配备的人员数量、资质、现场防护措施、安全操作等，对甲方认为不合理、不符合合同要求或存在安全隐患的部分，有权下达整改通知书，要求乙方限期整改，乙方应在甲方下达的整改期限内完成整改并书面反馈。</w:t>
      </w:r>
    </w:p>
    <w:p w14:paraId="77D20A8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有权检查乙方是否按设备操作规程、安全规范及本合同约定使用抢修维护设备、工具，对违反操作规程、安全规定及本合同约定的行为有权立即制止，责令乙方整改；发现违规行为甲方有权扣除合同价款500元/次，由此造成甲方的其他一切损失由乙方承担。</w:t>
      </w:r>
    </w:p>
    <w:p w14:paraId="593BF4D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3.负责检查监督乙方管理工作的实施、制度的执行及安全责任的落实情况，及时发现并督促乙方整改各类问题。</w:t>
      </w:r>
    </w:p>
    <w:p w14:paraId="031A1AE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4.根据本合同规定，按时、足额向乙方支付应付服务费用，不得无故拖欠。</w:t>
      </w:r>
    </w:p>
    <w:p w14:paraId="7156DF1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抢修维护工作验收应在甲乙双方共同参加下进行，甲方组成验收小组，严格按照国家有关规定、行业规范及合同要求进行验收；如有需要，可邀请相关专业人员或机构参与验收，验收费按照招投标文件约定，由乙方承担；验收结果分为合格、不合格，验收不合格的，乙方需在甲方指定期限内整改，整改费用由乙方承担，直至验收合格，验收结果作为费用支付的重要依据。</w:t>
      </w:r>
    </w:p>
    <w:p w14:paraId="3686A7B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对于乙方未按本合同约定及时响应需求、未按要求完成抢修维护工作任务，或存在严重安全隐患且逾期未整改、整改不合格的，甲方有权先书面通知乙方限期整改，逾期仍未达标或乙方拒绝整改的，甲方有权安排第三方实施相关工作，产生的费用由乙方承担，同时乙方需向甲方支付本合同中标价款10%的违约金；若上述行为造成甲方损失的，乙方需另行承担全部损失，甲方有权单方解除本合同。</w:t>
      </w:r>
    </w:p>
    <w:p w14:paraId="2516F06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7.承担国家法律法规所规定由甲方承担的其他责任。</w:t>
      </w:r>
    </w:p>
    <w:p w14:paraId="56F7ADB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（二）乙方的权利和义务</w:t>
      </w:r>
    </w:p>
    <w:p w14:paraId="339A5C8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1.对本合同约定的委托服务范围内的工作享有合法管理权，并严格履行服务义务，确保抢修维护工作及时、高效、安全、合格。</w:t>
      </w:r>
    </w:p>
    <w:p w14:paraId="51EE8FB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2.根据本合同的规定，有权向甲方收取相关服务费用，并有权在本项目管理范围内，合理管理、使用服务费用，确保费用专款专用。</w:t>
      </w:r>
    </w:p>
    <w:p w14:paraId="4C4721F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须按当地政府、行业管理部门及甲方的规定要求，办理本合同约定工作所需的全部相关手续、批准文件等，并承担所有相关费用；严格遵守国家、地方、行业及甲方的安全、管理等各项规章制度，建立健全安全隐患排查治理机制，杜绝各类安全隐患。</w:t>
      </w:r>
    </w:p>
    <w:p w14:paraId="7A33CC2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服从甲方的合理调度及现场管理，保质保量、按时完成甲方布置的相关抢修维护工作，并按照国家、行业及甲方的操作规程、安全规范正确使用和操作抢修设备、工具，做好设备、工具的日常维护、保养，确保其完好可用。</w:t>
      </w:r>
    </w:p>
    <w:p w14:paraId="19C96FA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5.负责选派符合本合同工作要求、具备相应资质及安全操作能力的工作人员，与所有参与本合同约定抢修维护服务的工作人员签订书面劳动合同，并承担其工资、奖金、社会保险及其他法定福利待遇等费用。</w:t>
      </w:r>
    </w:p>
    <w:p w14:paraId="35A6ED5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若乙方未与其工作人员签订书面劳动合同、未按规定缴纳各项社会保险，或拖欠工作人员工资等行为，引发劳动争议、行政处罚或诉讼纠纷，乙方承担全部法律责任及经济赔偿（包括但不限于拖欠的工资、社会保险补缴费用、罚款、仲裁费、诉讼费等）。</w:t>
      </w:r>
    </w:p>
    <w:p w14:paraId="2489B55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7.及时向甲方报告变压器设备的运转状况、设备故障处理情况、停机及恢复时间，以及本项目服务范围内有关服务、安全的重大事项，主动配合甲方处理相关投诉及突发情况。</w:t>
      </w:r>
    </w:p>
    <w:p w14:paraId="33FE238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8.接受作业行业管理部门及政府有关部门的指导、监督，严格服从甲方的现场管理、安全监督及工作调度，积极配合甲方开展各项检查、验收工作。</w:t>
      </w:r>
    </w:p>
    <w:p w14:paraId="1077269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9.遇特殊抢修维护工作，乙方必须先进行自检，经甲方及甲方许可的相关部门验收合格后，方可进行下道工序；遇应急抢修维护工作，乙方在接到甲方通知后，应在2小时内组织具备资质的作业人员及抢修维护设备、工具到达现场，及时开展抢修维护工作，确保尽快恢复设备正常运转，留存应急抢修维护记录，如因乙方原因未能及时到场抢修，甲方有权扣除合同价款500元/次，由此造成的一切损失由乙方承担。</w:t>
      </w:r>
    </w:p>
    <w:p w14:paraId="2A8B6C6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10.乙方抢修维护所用材料、设备必须有国家相关部门颁布的合格证或检测试验报告，维修更新后设施应与原设施的规格、标准、性能保持一致，确保抢修维护质量达标。若因材料、设备不合格导致抢修维护质量问题或安全事故的，乙方需承担全部责任及损失，并负责无偿返修、更换。</w:t>
      </w:r>
    </w:p>
    <w:p w14:paraId="22BC10F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11.本标包拆除作业如产生有残余价值废旧材料(包括金属灯杆、灯具、电线电缆、镇流器、箱变、金属桥架等），乙方需严格按照甲方《库房管理制度》要求全部归还至甲方指定地点，具体归还时间根据甲方库房实际使用空间协商确定；但所有相关废旧材料须在项目验收合格、结清尾款前归还完成。</w:t>
      </w:r>
    </w:p>
    <w:p w14:paraId="55EEF47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12.承担国家法律法规所规定由乙方承担的其他责任。</w:t>
      </w:r>
    </w:p>
    <w:p w14:paraId="3E043833">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第七条 违约责任</w:t>
      </w:r>
    </w:p>
    <w:p w14:paraId="42DE12D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1.甲乙双方须严格遵守本合同约定，全面履行合同中的各项规定，保证本合同的正常履行；任何一方违反本合同约定，均应承担相应的违约责任。</w:t>
      </w:r>
    </w:p>
    <w:p w14:paraId="395623B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如因乙方在履行本合同职责过程中的疏忽、失职、过错等故意或过失行为，给甲方造成损失或侵害，包括但不限于甲方本身的财产损失、设备损坏、甲方对任何第三方的法律责任、行政处罚、仲裁费、诉讼费、律师费等相关费用，乙方对此均应承担全部赔偿责任，且甲方有权要求乙方继续履行合同义务（如需）。</w:t>
      </w:r>
    </w:p>
    <w:p w14:paraId="3C16833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未经甲方书面允许，乙方不得以任何方式将本合同分包、转包给第三方，不得将本合同核心工作委托第三方完成，否则乙方需按本合同中标价款的10%向甲方支付违约金，同时甲方有权终止本合同；因此给甲方造成损失的，乙方负全部责任，并承担全部赔偿费用。</w:t>
      </w:r>
    </w:p>
    <w:p w14:paraId="6F5F8E2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对工作不负责任、不符合岗位要求、不具备相应资质或存在安全隐患的作业人员，甲方有权提出更换，乙方应在3日内更换合格人员，逾期未更换或更换后仍不合格的，甲方有权单方终止合同，乙方需按本合同中标价款的5%向甲方支付违约金，并承担由此给甲方造成的全部损失。</w:t>
      </w:r>
    </w:p>
    <w:p w14:paraId="74DAE1B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因乙方自身原因（不可抗力除外）不能按本合同约定的期限完成抢修维护工作，每延迟一天，按单次抢修总费用的3%向甲方支付违约金（累计违约金不超过单次抢修总费用的30%）；延迟超过约定时限3日的，甲方有权单方解除本合同，乙方需承担由此给甲方造成的全部损失及相应违约责任。</w:t>
      </w:r>
    </w:p>
    <w:p w14:paraId="76CF163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6.乙方完成本合同规定的抢修维护内容后，甲方按照正常程序使用、操作设备，若因乙方服务质量不合格、材料设备不合格或未履行安全告知义务，给甲方造成任何损失的，由乙方承担全部赔偿责任。</w:t>
      </w:r>
    </w:p>
    <w:p w14:paraId="27BDB49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甲方未按本合同约定支付服务费用，每延迟一天，按应付未付金额的3‰向乙方支付违约金（累计违约金不超过应付未付金额的10%）；因甲方提供资料错误等导致乙方遭受损失或引发安全事故的，甲方承担相应的赔偿责任。</w:t>
      </w:r>
    </w:p>
    <w:p w14:paraId="00F62CB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8.违约金不足以弥补实际损失的，违约方需另行补足差额。</w:t>
      </w:r>
    </w:p>
    <w:p w14:paraId="0CA63FF5">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第八条 不可抗力事件处理</w:t>
      </w:r>
    </w:p>
    <w:p w14:paraId="3F0769E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在合同有效期内，任何一方因不可抗力事件（指不能预见、不能避免及不能克服的客观情况，包括但不限于地震、洪水、台风、政策调整等）导致不能履行合同，则合同履行期可延长，其延长期与不可抗力影响期相同。</w:t>
      </w:r>
    </w:p>
    <w:p w14:paraId="1B7A98F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2.不可抗力事件发生后，应立即通知对方，并寄送有关权威机构出具的证明。</w:t>
      </w:r>
    </w:p>
    <w:p w14:paraId="79E38E9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3.不可抗力事件延续15个日历日以上，双方应通过友好协商，确定是否继续履行合同或变更、解除合同。</w:t>
      </w:r>
    </w:p>
    <w:p w14:paraId="26C0FF7D">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第九条 合同的变更、解除和转让</w:t>
      </w:r>
    </w:p>
    <w:p w14:paraId="7285B2D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1.合同的变更</w:t>
      </w:r>
    </w:p>
    <w:p w14:paraId="7098EFA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除《中华人民共和国政府采购法》第四十九条、第五十条第二款规定的情形外，本合同一经签订，甲乙双方不得擅自变更、中止或终止合同。确需变更的，双方应协商一致并签订书面补充协议，报政府采购监管部门备案后生效。</w:t>
      </w:r>
    </w:p>
    <w:p w14:paraId="1F78D92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2.合同的解除</w:t>
      </w:r>
    </w:p>
    <w:p w14:paraId="37DE205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（1）甲方和乙方协商一致，可以解除合同；</w:t>
      </w:r>
    </w:p>
    <w:p w14:paraId="741FEA6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（2）有下列情形之一，合同一方可以解除合同：</w:t>
      </w:r>
    </w:p>
    <w:p w14:paraId="1D985B4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①因不可抗力致使不能实现合同目的，未受不可抗力影响的一方有权解除合同；</w:t>
      </w:r>
    </w:p>
    <w:p w14:paraId="0929BD8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②因合同一方违约导致合同不能履行，另一方有权解除合同。</w:t>
      </w:r>
    </w:p>
    <w:p w14:paraId="51A6A26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（3）有权解除合同的一方，应当在违约事实或不可抗力发生之后三十个自然日内书面通知对方主张解除合同，合同在书面通知到达对方时解除。</w:t>
      </w:r>
    </w:p>
    <w:p w14:paraId="538AD8F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3.合同的转让</w:t>
      </w:r>
    </w:p>
    <w:p w14:paraId="748F035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乙方不得将合同的部分和全部转让给其他单位或个人；否则，甲方有权单方面解除合同，并要求乙方支付本合同中标价款10%的违约金，由此造成的损失由乙方承担。</w:t>
      </w:r>
    </w:p>
    <w:p w14:paraId="26C48D78">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第十条 解决合同纠纷的方式</w:t>
      </w:r>
    </w:p>
    <w:p w14:paraId="26E57B5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在执行本合同中发生与本合同有关的争议，双方应通过友好协商解决，经协商在10日内不能达成协议时，则采取以下第</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种方式解决争议：</w:t>
      </w:r>
    </w:p>
    <w:p w14:paraId="61D2978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1.向甲方所在地有管辖权的人民法院提起诉讼；</w:t>
      </w:r>
    </w:p>
    <w:p w14:paraId="6009D75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2.向当地仲裁委员会按其仲裁规则申请仲裁。</w:t>
      </w:r>
    </w:p>
    <w:p w14:paraId="4C39A3F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争议解决期间，除争议事项外，双方应继续履行本合同及补充协议其他条款。</w:t>
      </w:r>
    </w:p>
    <w:p w14:paraId="1D12C58D">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第十一条 合同生效及其他</w:t>
      </w:r>
    </w:p>
    <w:p w14:paraId="4369124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1.合同经双方法定代表人、授权代表签名并加盖单位公章后生效，合同期满之日起自然终止。</w:t>
      </w:r>
    </w:p>
    <w:p w14:paraId="7E855B9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2.合同执行中涉及采购资金和采购内容修改或补充的，须经政府采购监管部门审批，并签订书面补充协议报政府采购监督管理部门备案，方可作为主合同不可分割的一部分。</w:t>
      </w:r>
    </w:p>
    <w:p w14:paraId="5444F9B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3.本合同一式六份，甲方四份，乙方两份，具有同等法律效力。</w:t>
      </w:r>
    </w:p>
    <w:p w14:paraId="6FA91A8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4.本合同补充《安全生产管理协议》为本合同不可分割的组成部分，与本合同具有同等法律效力。</w:t>
      </w:r>
    </w:p>
    <w:p w14:paraId="3228912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5.双方联系地址、联系方式作为本合同附件，任何一方变更联系方式，应提前3日书面通知对方，否则因此产生的送达不能、延误等后果由变更方承担。</w:t>
      </w:r>
    </w:p>
    <w:p w14:paraId="1EB47FDA">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 xml:space="preserve">甲方（盖章）：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乙方（盖章）：                                      </w:t>
      </w:r>
    </w:p>
    <w:p w14:paraId="5A122218">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法    人：                          法    人：</w:t>
      </w:r>
    </w:p>
    <w:p w14:paraId="7AAB3B81">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p>
    <w:p w14:paraId="68E5A12A">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p>
    <w:p w14:paraId="15496323">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开户银行：</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开户银行：</w:t>
      </w:r>
    </w:p>
    <w:p w14:paraId="72EE3DB0">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开户账号：                          开户账号：</w:t>
      </w:r>
    </w:p>
    <w:p w14:paraId="388D57A1">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联系地址：</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联系地址：</w:t>
      </w:r>
    </w:p>
    <w:p w14:paraId="227CCF0A">
      <w:pPr>
        <w:pStyle w:val="2"/>
        <w:rPr>
          <w:rFonts w:hint="eastAsia"/>
          <w:lang w:val="en-US" w:eastAsia="zh-CN"/>
        </w:rPr>
      </w:pPr>
    </w:p>
    <w:p w14:paraId="30E6AB59">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            </w:t>
      </w: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w:t>
      </w:r>
    </w:p>
    <w:p w14:paraId="38180B3A">
      <w:pPr>
        <w:pStyle w:val="2"/>
        <w:ind w:left="0" w:leftChars="0" w:firstLine="0" w:firstLineChars="0"/>
        <w:jc w:val="center"/>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t>安全生产管理协议</w:t>
      </w:r>
    </w:p>
    <w:p w14:paraId="566BE3DD">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甲  方：西安市城市照明管护中心</w:t>
      </w:r>
    </w:p>
    <w:p w14:paraId="5EE1E6C8">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9"/>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乙  方： </w:t>
      </w:r>
    </w:p>
    <w:p w14:paraId="15229952">
      <w:pPr>
        <w:keepNext w:val="0"/>
        <w:keepLines w:val="0"/>
        <w:pageBreakBefore w:val="0"/>
        <w:widowControl w:val="0"/>
        <w:kinsoku/>
        <w:wordWrap/>
        <w:overflowPunct/>
        <w:topLinePunct w:val="0"/>
        <w:autoSpaceDE w:val="0"/>
        <w:autoSpaceDN w:val="0"/>
        <w:bidi w:val="0"/>
        <w:adjustRightInd w:val="0"/>
        <w:snapToGrid/>
        <w:spacing w:before="157" w:beforeLines="50"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本协议作为2026年《西安市城市照明管护中心大型低压线路故障抢修合同》（以下简称“主合同”）</w:t>
      </w:r>
      <w:r>
        <w:rPr>
          <w:rFonts w:hint="eastAsia" w:ascii="仿宋" w:hAnsi="仿宋" w:eastAsia="仿宋" w:cs="仿宋"/>
          <w:color w:val="000000" w:themeColor="text1"/>
          <w:spacing w:val="0"/>
          <w:sz w:val="28"/>
          <w:szCs w:val="28"/>
          <w:highlight w:val="yellow"/>
          <w:u w:val="none"/>
          <w14:textFill>
            <w14:solidFill>
              <w14:schemeClr w14:val="tx1"/>
            </w14:solidFill>
          </w14:textFill>
        </w:rPr>
        <w:t>（项目编号：</w:t>
      </w:r>
      <w:r>
        <w:rPr>
          <w:rFonts w:hint="eastAsia" w:ascii="仿宋" w:hAnsi="仿宋" w:eastAsia="仿宋" w:cs="仿宋"/>
          <w:color w:val="000000" w:themeColor="text1"/>
          <w:spacing w:val="0"/>
          <w:sz w:val="28"/>
          <w:szCs w:val="28"/>
          <w:highlight w:val="yellow"/>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highlight w:val="yellow"/>
          <w:u w:val="none"/>
          <w14:textFill>
            <w14:solidFill>
              <w14:schemeClr w14:val="tx1"/>
            </w14:solidFill>
          </w14:textFill>
        </w:rPr>
        <w:t>）</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 的补充，由甲乙双方本着平等自愿、权责对等的原则，经友好协商一致签订，与主合同具有同等法律效力。若本协议约定与主合同不一致的，以本协议为准；本协议未约定的，按主合同相关约定执行。</w:t>
      </w:r>
    </w:p>
    <w:p w14:paraId="4F030597">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第一条 总则</w:t>
      </w:r>
    </w:p>
    <w:p w14:paraId="6ADAD0A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甲乙双方必须严格遵守《中华人民共和国安全生产法》《中华人民共和国道路交通安全法》《中华人民共和国电力法》《城市照明管理规定》等国家法律法规、行业规范及甲方安全管理制度，共同落实安全管理措施，明确各自安全责任，杜绝各类安全事故发生。</w:t>
      </w:r>
    </w:p>
    <w:p w14:paraId="64AE45C4">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第二条 甲方安全责任与管理职责</w:t>
      </w:r>
    </w:p>
    <w:p w14:paraId="661B696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乙方抢修维护作业安全负监管责任，有权对乙方的抢修维护作业安全进行监督、检查，核查乙方安全管理制度、安全防护措施等的落实情况，对乙方违规操作、安全防护不到位等行为有权立即制止，下达整改通知书，要求乙方限期闭环整改；对拒不整改或整改不合格的，甲方有权要求乙方暂停作业、追究违约责任，并有权解除主合同。</w:t>
      </w:r>
    </w:p>
    <w:p w14:paraId="2340A93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2.告知乙方作业所需的相关手续及办理要求，并协助乙方协调办理（如需）；不得违章指挥、强令乙方冒险作业，不得要求乙方违反安全规范开展作业。</w:t>
      </w:r>
    </w:p>
    <w:p w14:paraId="544FB5B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3.负责对乙方作业人员的安全资质、特种作业操作证（高压电工等）进行核查，对不符合安全作业要求的人员，有权要求乙方立即更换。</w:t>
      </w:r>
    </w:p>
    <w:p w14:paraId="129FF85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4.发生交通、安全等事故时，接到乙方通知后，第一时间响应，协助乙方开展伤员抢救、现场保护工作，按规定向相关主管部门上报事故情况，并配合事故调查与善后处理工作。</w:t>
      </w:r>
    </w:p>
    <w:p w14:paraId="0843CF5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5.承担因自身过失等导致交通、安全事故的相应责任及经济损失。</w:t>
      </w:r>
    </w:p>
    <w:p w14:paraId="1AE32600">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第三条 乙方安全责任与管理职责</w:t>
      </w:r>
    </w:p>
    <w:p w14:paraId="2510B94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抢修维护全过程的安全生产负总责，严格落实安全生产主体责任，建立健全抢修维护安全管理制度、安全操作规程及应急处置预案，配备专职安全员，明确各岗位安全职责，留存完整的安全管理台账，包括但不限于培训记录、交底记录、设备维护记录、安全检查记录等，主动接受甲方监督检查。</w:t>
      </w:r>
    </w:p>
    <w:p w14:paraId="2B36D7D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确保参与抢修的作业人员具备相应的安全资质，其中高压电工、登高等特种作业人员必须持有效特种作业操作证上岗；对所有作业人员进行专项安全教育培训、安全技术交底，重点明确高压作业风险、安全操作规范、应急处置方法，定期对作业人员进行安全复训，确保作业人员掌握最新安全规范，留存培训及交底记录，未经培训合格的人员不得上岗作业。</w:t>
      </w:r>
    </w:p>
    <w:p w14:paraId="7B08DF7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严格按照国家行业规范、安全操作规程及甲方要求开展抢修维护作业，作业前须对作业环境、设备状态进行安全排查，排查合格后方可开展作业；严格落实各项安全防护措施，不得擅自更改作业方案、违规操作、冒险作业。</w:t>
      </w:r>
    </w:p>
    <w:p w14:paraId="64F11E4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负责配备齐全、有效的安全防护用品（安全帽、绝缘手套、绝缘鞋、绝缘工具、验电器、接地线、防护栏、警示灯等）及应急救援器材（急救箱、灭火器等），定期对防护用品及器材进行检查、维护、校验，确保其完好可用，并全程监督作业人员正确佩戴、使用，严禁作业人员未按规定佩戴、使用防护用品上岗。</w:t>
      </w:r>
    </w:p>
    <w:p w14:paraId="3EE5705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对甲方下达的整改通知，乙方必须在通知明确的期限内完成整改，整改完成后24小时内书面反馈甲方，甲方验收合格后方可闭环；若乙方认为整改要求不合理，可在收到通知后12小时内书面提出异议，双方协商解决，协商期间不得擅自停止整改。</w:t>
      </w:r>
    </w:p>
    <w:p w14:paraId="5709A7E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负责抢修维护现场的安全防护设置，在作业区域设置规范的警示标志、围挡、绝缘隔离设施，划定危险作业区域，作业期间安排专人现场值守，严禁擅自离岗，严禁无关人员、车辆进入作业现场；负责现场作业人员的人身安全及设备安全，防止人身触电、坠落、设备损坏等安全事故发生。</w:t>
      </w:r>
    </w:p>
    <w:p w14:paraId="46940AC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发生交通、安全事故时，乙方应立即停止作业，启动自身应急处置预案，优先抢救伤员、采取有效措施控制事故扩大，在30分钟内（特殊情况不超过1小时）上报甲方及相关主管部门，不得瞒报、迟报、漏报，配合甲方及相关部门开展事故调查、善后处理工作；承担因自身管理、操作、防护不到位或应急处置不当引发的全部安全责任、经济损失（包括但不限于人员伤亡赔偿、设备损坏修复、行政处罚、第三方索赔、甲方损失等）及相应法律后果。</w:t>
      </w:r>
    </w:p>
    <w:p w14:paraId="11D665A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负责为所有参与本合同服务包含的管理、抢修维护作业人员等购买足额的工伤保险、安全生产责任险等相关保险（保险需覆盖本合同作业全部风险），保单有效期需覆盖主合同履行全过程；若未按规定购买、足额购买保险或保单过期，或未履行安全管理职责，导致作业人员伤亡、第三方损失或甲方损失的，由乙方承担全部责任及赔偿费用，甲方有权暂停支付服务费用，直至乙方整改完毕。</w:t>
      </w:r>
    </w:p>
    <w:p w14:paraId="47EDC0DE">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第四条 抢修维护作业专项安全措施</w:t>
      </w:r>
    </w:p>
    <w:p w14:paraId="41EC571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作业必须严格执行“停电、验电、接地、挂牌”制度，严禁擅自带电作业；停电后必须对作业设备进行全面验电、放电，在作业区域及相关控制开关处悬挂接地线及“禁止合闸、正在作业”警示标志，安排专人全程监护，确保作业安全，留存作业记录；作业完成后，须经监护人员确认无误，方可拆除接地线、警示标志。</w:t>
      </w:r>
    </w:p>
    <w:p w14:paraId="6DFDBFB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作业过程中，严格遵守设备操作规范及甲方相关要求，严禁违规拆卸、触碰设备部件，严禁使用不合格、过期或未校验合格的工具、材料进行抢修维护作业；维修更新的材料、设备须与原设备规格、标准一致，确保抢修维护质量及安全。</w:t>
      </w:r>
    </w:p>
    <w:p w14:paraId="5DAAD11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作业现场严禁吸烟、擅自动火，如需动火作业，必须提前办理相关手续，配备足够的消防器材及监护人员，落实防火、防爆炸、防触电等安全措施后方可作业；动火作业完成后，需对现场进行全面检查，确认无火灾隐患后方可撤离。</w:t>
      </w:r>
    </w:p>
    <w:p w14:paraId="2C0FAD1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4.抢修维护作业期间，乙方必须安排专职安全员现场监护，全程监督作业人员操作规范，及时制止违章行为；遇雷雨、大风（风力≥6级）、暴雨、暴雪等恶劣天气，立即停止作业，组织相关人员有序撤离至安全区域，做好现场防护，确保人员及设备安全；恶劣天气过后，需对作业现场、设备进行全面检查，确认无安全隐患后方可恢复作业。                                   </w:t>
      </w:r>
    </w:p>
    <w:p w14:paraId="61A765E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5.抢修维护作业完成后，乙方必须对作业现场进行全面安全检查、清理，确认无安全隐患、设备运转正常、现场无遗留工具及杂物，向甲方报告同意后，方可拆除安全防护设施、撤离作业人员。</w:t>
      </w:r>
    </w:p>
    <w:p w14:paraId="5236F42A">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第五条 安全违约责任</w:t>
      </w:r>
    </w:p>
    <w:p w14:paraId="7DDA374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乙方违反本协议约定，未履行安全管理职责、违规操作、存在安全隐患未按要求整改，或引发交通、安全事故的，除承担全部经济损失及相应法律后果外，甲方有权根据违约情节轻重，按主合同中标价款的10%—20%向乙方收取违约金；若造成重大安全事故、人员伤亡或甲方重大损失的，视为情节严重，甲方有权单方解除主合同，并要求乙方承担全部赔偿责任。</w:t>
      </w:r>
    </w:p>
    <w:p w14:paraId="53DEA00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2.因乙方未按本协议约定落实安全防护措施、配备合格人员及器材，或未按规定购买保险，导致任何安全事故或损失的，由乙方承担全部责任，甲方不承担任何连带责任。</w:t>
      </w:r>
    </w:p>
    <w:p w14:paraId="337BD71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3.本协议约定的违约金，可与主合同约定的其他违约金并行主张，不足以弥补甲方实际损失的，乙方需另行补足差额。</w:t>
      </w:r>
    </w:p>
    <w:p w14:paraId="426B5E17">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第六条 其他</w:t>
      </w:r>
    </w:p>
    <w:p w14:paraId="6A3A746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1.本协议自双方法定代表人、授权代表签名并加盖单位公章之日起生效，随主合同的终止而终止。</w:t>
      </w:r>
    </w:p>
    <w:p w14:paraId="5226C97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2.本协议未尽事宜，双方可另行协商签订补充条款，补充条款与本协议具有同等法律效力。</w:t>
      </w:r>
    </w:p>
    <w:p w14:paraId="7435F69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3.本协议一式六份，甲方四份，乙方两份，具有同等法律效力。</w:t>
      </w:r>
    </w:p>
    <w:p w14:paraId="5737AB85">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33362C42">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 xml:space="preserve">甲方（盖章）：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乙方（盖章）：                                      </w:t>
      </w:r>
    </w:p>
    <w:p w14:paraId="7F82EB82">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法人：                              法人：</w:t>
      </w:r>
    </w:p>
    <w:p w14:paraId="0A3171E6">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p>
    <w:p w14:paraId="56B43C39">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p>
    <w:p w14:paraId="06DEC0F9">
      <w:pPr>
        <w:pStyle w:val="2"/>
        <w:keepNext w:val="0"/>
        <w:keepLines w:val="0"/>
        <w:pageBreakBefore w:val="0"/>
        <w:widowControl w:val="0"/>
        <w:kinsoku/>
        <w:wordWrap/>
        <w:overflowPunct/>
        <w:topLinePunct w:val="0"/>
        <w:autoSpaceDE/>
        <w:autoSpaceDN/>
        <w:bidi w:val="0"/>
        <w:adjustRightInd/>
        <w:snapToGrid/>
        <w:spacing w:line="640" w:lineRule="exact"/>
        <w:ind w:left="0" w:leftChars="0" w:firstLine="0" w:firstLineChars="0"/>
        <w:textAlignment w:val="auto"/>
        <w:rPr>
          <w:rFonts w:hint="default"/>
          <w:color w:val="000000" w:themeColor="text1"/>
          <w:sz w:val="28"/>
          <w:szCs w:val="28"/>
          <w:u w:val="none"/>
          <w:lang w:val="en-US" w:eastAsia="zh-CN"/>
          <w14:textFill>
            <w14:solidFill>
              <w14:schemeClr w14:val="tx1"/>
            </w14:solidFill>
          </w14:textFill>
        </w:rPr>
      </w:pPr>
    </w:p>
    <w:p w14:paraId="477F8641">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default"/>
          <w:sz w:val="30"/>
          <w:szCs w:val="30"/>
          <w:lang w:val="en-US" w:eastAsia="zh-CN"/>
        </w:rPr>
      </w:pP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           </w:t>
      </w: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w:t>
      </w:r>
    </w:p>
    <w:p w14:paraId="7E4CB926">
      <w:pPr>
        <w:pStyle w:val="2"/>
      </w:pPr>
    </w:p>
    <w:sectPr>
      <w:footerReference r:id="rId4" w:type="default"/>
      <w:pgSz w:w="11906" w:h="16838"/>
      <w:pgMar w:top="1304"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KaiTi_GB2312">
    <w:altName w:val="楷体"/>
    <w:panose1 w:val="02010609060101010101"/>
    <w:charset w:val="86"/>
    <w:family w:val="modern"/>
    <w:pitch w:val="default"/>
    <w:sig w:usb0="00000000" w:usb1="00000000"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FangSong_GB2312">
    <w:altName w:val="仿宋"/>
    <w:panose1 w:val="02010609060101010101"/>
    <w:charset w:val="86"/>
    <w:family w:val="modern"/>
    <w:pitch w:val="default"/>
    <w:sig w:usb0="00000000" w:usb1="00000000"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260F9592">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KSOF8BCAC3A2">
    <w:panose1 w:val="02010609060101010101"/>
    <w:charset w:val="86"/>
    <w:family w:val="auto"/>
    <w:pitch w:val="default"/>
    <w:sig w:usb0="00000001" w:usb1="00000000" w:usb2="00000000" w:usb3="00000000" w:csb0="00040001" w:csb1="0000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348DD">
    <w:pPr>
      <w:pStyle w:val="5"/>
      <w:jc w:val="center"/>
    </w:pPr>
  </w:p>
  <w:p w14:paraId="038F4276">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FC657">
    <w:pPr>
      <w:pStyle w:val="5"/>
      <w:jc w:val="center"/>
    </w:pPr>
  </w:p>
  <w:p w14:paraId="70DE47B9">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906D05"/>
    <w:rsid w:val="7D6B5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列出段落1"/>
    <w:basedOn w:val="1"/>
    <w:autoRedefine/>
    <w:qFormat/>
    <w:uiPriority w:val="34"/>
    <w:pPr>
      <w:ind w:firstLine="420" w:firstLineChars="200"/>
    </w:pPr>
    <w:rPr>
      <w:rFonts w:ascii="Times New Roman" w:hAnsi="Times New Roman" w:cs="Times New Roman"/>
      <w:szCs w:val="21"/>
    </w:rPr>
  </w:style>
  <w:style w:type="paragraph" w:styleId="3">
    <w:name w:val="Body Text Indent"/>
    <w:basedOn w:val="1"/>
    <w:next w:val="4"/>
    <w:qFormat/>
    <w:uiPriority w:val="0"/>
    <w:pPr>
      <w:snapToGrid w:val="0"/>
      <w:spacing w:line="288" w:lineRule="auto"/>
      <w:ind w:left="1975" w:leftChars="20" w:hanging="1933" w:hangingChars="537"/>
    </w:pPr>
    <w:rPr>
      <w:rFonts w:eastAsia="黑体"/>
      <w:sz w:val="36"/>
    </w:rPr>
  </w:style>
  <w:style w:type="paragraph" w:customStyle="1" w:styleId="4">
    <w:name w:val="样式 正文文本缩进 + 首行缩进:  2 字符 行距: 1.5 倍行距"/>
    <w:basedOn w:val="3"/>
    <w:qFormat/>
    <w:uiPriority w:val="0"/>
    <w:pPr>
      <w:ind w:firstLine="560"/>
    </w:pPr>
    <w:rPr>
      <w:rFonts w:eastAsia="仿宋_GB2312"/>
    </w:rPr>
  </w:style>
  <w:style w:type="paragraph" w:styleId="5">
    <w:name w:val="footer"/>
    <w:basedOn w:val="1"/>
    <w:qFormat/>
    <w:uiPriority w:val="99"/>
    <w:pPr>
      <w:tabs>
        <w:tab w:val="center" w:pos="4153"/>
        <w:tab w:val="right" w:pos="8306"/>
      </w:tabs>
      <w:snapToGrid w:val="0"/>
      <w:jc w:val="left"/>
    </w:pPr>
    <w:rPr>
      <w:sz w:val="1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2026-04-29T06:02:46Z</dcterms:created>
  <dc:creator>Administrator</dc:creator>
  <cp:lastModifiedBy>A-Sa</cp:lastModifiedBy>
  <dcterms:modified xsi:type="dcterms:W3CDTF">2026-04-29T06:03:49Z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eyJoZGlkIjoiODIwYWE0OTZmM2UwMzU4NzA0Y2Y3NDk0MzJjZjUyZWQiLCJ1c2VySWQiOiI5Mzc5NjEzNTAifQ==</vt:lpwstr>
  </property>
  <property fmtid="{D5CDD505-2E9C-101B-9397-08002B2CF9AE}" pid="4" name="ICV">
    <vt:lpwstr>4C024F7A604A4EA5B38E94B565B1ACBD_12</vt:lpwstr>
  </property>
</Properties>
</file>