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版本号：0617-2624FZ229120260827001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李静训和她的时代”（西安站）展览项目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0617-2624FZ2291</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李静训和她的时代”（西安站）展览项目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0617-2624FZ2291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李静训和她的时代”（西安站）展览项目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采购包1（“李静训和她的时代”（西安站）展览）：展览位置于西安碑林博物馆新馆负二层临展厅，展陈面积约2000平方米，展览周期约6个月，按照展览主题进行合理规划、按要求施工、布撤展。 采购包2（“李静训和她的时代”（西安站）展览配套图录）：根据展陈内容完成配套图录的编辑及出版。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采购包1（“李静训和她的时代”（西安站）展览）：属于专门面向中小企业采购。</w:t>
      </w:r>
    </w:p>
    <w:p>
      <w:pPr>
        <w:pStyle w:val="null3"/>
      </w:pPr>
      <w:r>
        <w:rPr>
          <w:rFonts w:ascii="仿宋_GB2312" w:hAnsi="仿宋_GB2312" w:cs="仿宋_GB2312" w:eastAsia="仿宋_GB2312"/>
        </w:rPr>
        <w:t>采购包2（“李静训和她的时代”（西安站）展览配套图录）：属于专门面向小微企业采购。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3、供应商资质：1）具备工程设计综合甲级资质，或工程设计建筑行业（建筑工程）乙级及以上资质，或建筑装饰工程设计专项乙级及以上资质。 2）具有国家建设行政主管部门颁发的建筑装修装饰工程专业承包二级及以上资质，或建筑工程施工总承包三级及以上资质；且具备建筑施工企业安全生产许可证。 3)拟派设计负责人须具备在本单位注册的二级及以上（含二级）注册建筑师资格，或工程类、文博类、设计类专业中级及以上技术职称。 4)拟派施工负责人（总承包项目经理）具备建筑工程专业二级及以上注册建造师资格，并持有有效的安全生产考核合格证书（B证），未担任其他在施建设工程项目的项目经理。（总承包项目经理由施工负责人担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3、供应商资质：供应商须具备中华人民共和国图书出版许可证。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029-89624711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采购包1：1,582,232.48元</w:t>
            </w:r>
          </w:p>
          <w:p>
            <w:pPr>
              <w:pStyle w:val="null3"/>
            </w:pPr>
            <w:r>
              <w:rPr>
                <w:rFonts w:ascii="仿宋_GB2312" w:hAnsi="仿宋_GB2312" w:cs="仿宋_GB2312" w:eastAsia="仿宋_GB2312"/>
              </w:rPr>
              <w:t>采购包2：197,000.00元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以成交金额为基数，由成交人按照国家计委颁发的《招标代理服务收费管理暂行办法》（计价格〔2002〕1980号）的标准向采购代理机构一次付清采购代理服务费，不足5000.00元的按5000.00元计取。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磋商文件、磋商响应文件、合同文本、国内相应的标准、规范。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磋商文件、磋商响应文件、合同文本、国内相应的标准、规范。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1,582,232.48</w:t>
      </w:r>
    </w:p>
    <w:p>
      <w:pPr>
        <w:pStyle w:val="null3"/>
      </w:pPr>
      <w:r>
        <w:rPr>
          <w:rFonts w:ascii="仿宋_GB2312" w:hAnsi="仿宋_GB2312" w:cs="仿宋_GB2312" w:eastAsia="仿宋_GB2312"/>
        </w:rPr>
        <w:t>采购包最高限价（元）: 1,582,232.48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文物展览陈列工程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1,582,232.48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197,000.00</w:t>
      </w:r>
    </w:p>
    <w:p>
      <w:pPr>
        <w:pStyle w:val="null3"/>
      </w:pPr>
      <w:r>
        <w:rPr>
          <w:rFonts w:ascii="仿宋_GB2312" w:hAnsi="仿宋_GB2312" w:cs="仿宋_GB2312" w:eastAsia="仿宋_GB2312"/>
        </w:rPr>
        <w:t>采购包最高限价（元）: 197,000.00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配套图录编辑及出版</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标的名称：文物展览陈列工程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本项目位于西安市三学街15号西安碑林博物馆北区负二临展厅，展室面积2000平方米，文物展品约500件组。</w:t>
            </w:r>
            <w:r>
              <w:br/>
            </w:r>
            <w:r>
              <w:rPr>
                <w:rFonts w:ascii="仿宋_GB2312" w:hAnsi="仿宋_GB2312" w:cs="仿宋_GB2312" w:eastAsia="仿宋_GB2312"/>
              </w:rPr>
              <w:t xml:space="preserve"> 二、简要技术要求、用途：</w:t>
            </w:r>
            <w:r>
              <w:br/>
            </w:r>
            <w:r>
              <w:rPr>
                <w:rFonts w:ascii="仿宋_GB2312" w:hAnsi="仿宋_GB2312" w:cs="仿宋_GB2312" w:eastAsia="仿宋_GB2312"/>
              </w:rPr>
              <w:t xml:space="preserve"> 《李静训和她的时代》（西安站）展览设计与施工，要求按照采购人的《陈列大纲》、《展厅平面图》及设计要求、展柜及照明设计要求进行。</w:t>
            </w:r>
            <w:r>
              <w:br/>
            </w:r>
            <w:r>
              <w:rPr>
                <w:rFonts w:ascii="仿宋_GB2312" w:hAnsi="仿宋_GB2312" w:cs="仿宋_GB2312" w:eastAsia="仿宋_GB2312"/>
              </w:rPr>
              <w:t xml:space="preserve"> 三、工程范围：</w:t>
            </w:r>
            <w:r>
              <w:br/>
            </w:r>
            <w:r>
              <w:rPr>
                <w:rFonts w:ascii="仿宋_GB2312" w:hAnsi="仿宋_GB2312" w:cs="仿宋_GB2312" w:eastAsia="仿宋_GB2312"/>
              </w:rPr>
              <w:t xml:space="preserve"> 《李静训和她的时代》（西安站）展览设计与施工项目，要求按照采购人的《陈列大纲》、《展厅平面图》及设计要求、展柜及照明设计要求进行。具体包括但不限于：</w:t>
            </w:r>
            <w:r>
              <w:br/>
            </w:r>
            <w:r>
              <w:rPr>
                <w:rFonts w:ascii="仿宋_GB2312" w:hAnsi="仿宋_GB2312" w:cs="仿宋_GB2312" w:eastAsia="仿宋_GB2312"/>
              </w:rPr>
              <w:t xml:space="preserve"> A、总体设计，包括但不限于以下内容：展览总体设计，艺术品设计，多媒体设计、展具设计、展柜设计、照明设计，展厅环境装饰设计，海报设计，宣传册设计等。 </w:t>
            </w:r>
            <w:r>
              <w:br/>
            </w:r>
            <w:r>
              <w:rPr>
                <w:rFonts w:ascii="仿宋_GB2312" w:hAnsi="仿宋_GB2312" w:cs="仿宋_GB2312" w:eastAsia="仿宋_GB2312"/>
              </w:rPr>
              <w:t xml:space="preserve"> B、装饰施工，包括但不限于以下内容：原展厅环境提升，天花，墙面，地面，电气电路，弱电等装饰施工，艺术品制作，多媒体制作及设备的安装调试，展具制作；工业级投影仪的采购与安装，展厅环境装饰制作，海报、宣传册的设计制作，开幕式舞台搭建及相关物资，垃圾清运等。</w:t>
            </w:r>
            <w:r>
              <w:br/>
            </w:r>
            <w:r>
              <w:rPr>
                <w:rFonts w:ascii="仿宋_GB2312" w:hAnsi="仿宋_GB2312" w:cs="仿宋_GB2312" w:eastAsia="仿宋_GB2312"/>
              </w:rPr>
              <w:t xml:space="preserve"> 四、设计要求：</w:t>
            </w:r>
            <w:r>
              <w:br/>
            </w:r>
            <w:r>
              <w:rPr>
                <w:rFonts w:ascii="仿宋_GB2312" w:hAnsi="仿宋_GB2312" w:cs="仿宋_GB2312" w:eastAsia="仿宋_GB2312"/>
              </w:rPr>
              <w:t xml:space="preserve"> 大纲完善设计。需在采购人提供的陈列大纲基础上，吸收新成果，完善提升，并在响应文件中提交新的陈列大纲。</w:t>
            </w:r>
            <w:r>
              <w:br/>
            </w:r>
            <w:r>
              <w:rPr>
                <w:rFonts w:ascii="仿宋_GB2312" w:hAnsi="仿宋_GB2312" w:cs="仿宋_GB2312" w:eastAsia="仿宋_GB2312"/>
              </w:rPr>
              <w:t xml:space="preserve"> 形式设计。需在充分理解陈列大纲的基础上，结合以下要求进行设计。</w:t>
            </w:r>
            <w:r>
              <w:br/>
            </w:r>
            <w:r>
              <w:rPr>
                <w:rFonts w:ascii="仿宋_GB2312" w:hAnsi="仿宋_GB2312" w:cs="仿宋_GB2312" w:eastAsia="仿宋_GB2312"/>
              </w:rPr>
              <w:t xml:space="preserve"> 1、设计标准。形式设计理念新颖，合理吸收利用先进的科技和艺术成果，力争达到国内一流水平。</w:t>
            </w:r>
            <w:r>
              <w:br/>
            </w:r>
            <w:r>
              <w:rPr>
                <w:rFonts w:ascii="仿宋_GB2312" w:hAnsi="仿宋_GB2312" w:cs="仿宋_GB2312" w:eastAsia="仿宋_GB2312"/>
              </w:rPr>
              <w:t xml:space="preserve"> 2、设计风格。形式与内容协调而统一，雅俗共赏；艺术风格鲜明，既雄浑大气，又精妙雅致。</w:t>
            </w:r>
            <w:r>
              <w:br/>
            </w:r>
            <w:r>
              <w:rPr>
                <w:rFonts w:ascii="仿宋_GB2312" w:hAnsi="仿宋_GB2312" w:cs="仿宋_GB2312" w:eastAsia="仿宋_GB2312"/>
              </w:rPr>
              <w:t xml:space="preserve"> 3、空间规划、展线设计、展览分项设计。空间规划合理，有效利用建筑空间，合理安排展览内容与文物展品；展线设计合理流畅，突出重点，并适合观众参观习惯；平面、艺术品、多媒体等各个分项设计，紧密结合主题与内容，创意科学、新颖、独特，布设合理。</w:t>
            </w:r>
            <w:r>
              <w:br/>
            </w:r>
            <w:r>
              <w:rPr>
                <w:rFonts w:ascii="仿宋_GB2312" w:hAnsi="仿宋_GB2312" w:cs="仿宋_GB2312" w:eastAsia="仿宋_GB2312"/>
              </w:rPr>
              <w:t xml:space="preserve"> 4、展柜设计。符合文物保护与陈列展示要求，坚固美观，密闭性达标，开启方便，安全防火。柜内灯具、电源等基本硬件符合文物保护与陈列展示要求。</w:t>
            </w:r>
            <w:r>
              <w:br/>
            </w:r>
            <w:r>
              <w:rPr>
                <w:rFonts w:ascii="仿宋_GB2312" w:hAnsi="仿宋_GB2312" w:cs="仿宋_GB2312" w:eastAsia="仿宋_GB2312"/>
              </w:rPr>
              <w:t xml:space="preserve"> 5、照明设计。展厅为全封闭型，采用全人工照明。灯光设计理念新颖，科学合理，层次分明，重点出土。照明灯具符合国家标准和文物保护要求。</w:t>
            </w:r>
            <w:r>
              <w:br/>
            </w:r>
            <w:r>
              <w:rPr>
                <w:rFonts w:ascii="仿宋_GB2312" w:hAnsi="仿宋_GB2312" w:cs="仿宋_GB2312" w:eastAsia="仿宋_GB2312"/>
              </w:rPr>
              <w:t xml:space="preserve"> 五、采购人提供资料：</w:t>
            </w:r>
            <w:r>
              <w:br/>
            </w:r>
            <w:r>
              <w:rPr>
                <w:rFonts w:ascii="仿宋_GB2312" w:hAnsi="仿宋_GB2312" w:cs="仿宋_GB2312" w:eastAsia="仿宋_GB2312"/>
              </w:rPr>
              <w:t xml:space="preserve"> 陈列大纲（另附）、展厅平面图（详见附件）。</w:t>
            </w:r>
            <w:r>
              <w:br/>
            </w:r>
            <w:r>
              <w:rPr>
                <w:rFonts w:ascii="仿宋_GB2312" w:hAnsi="仿宋_GB2312" w:cs="仿宋_GB2312" w:eastAsia="仿宋_GB2312"/>
              </w:rPr>
              <w:t xml:space="preserve"> 六、中标供应商应在中标后根据采购人要求进一步深化设计，并提交装饰施工图设计文件、照明及展柜施工图及技术参数等。采购人不再为设计支付任何费用。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pPr>
            <w:r>
              <w:rPr>
                <w:rFonts w:ascii="仿宋_GB2312" w:hAnsi="仿宋_GB2312" w:cs="仿宋_GB2312" w:eastAsia="仿宋_GB2312"/>
                <w:sz w:val="20"/>
                <w:b/>
              </w:rPr>
              <w:t>商务要求</w:t>
            </w:r>
          </w:p>
          <w:p>
            <w:pPr>
              <w:pStyle w:val="null3"/>
              <w:ind w:firstLine="400"/>
            </w:pPr>
            <w:r>
              <w:rPr>
                <w:rFonts w:ascii="仿宋_GB2312" w:hAnsi="仿宋_GB2312" w:cs="仿宋_GB2312" w:eastAsia="仿宋_GB2312"/>
                <w:sz w:val="20"/>
              </w:rPr>
              <w:t>1、项目工期：</w:t>
            </w:r>
            <w:r>
              <w:rPr>
                <w:rFonts w:ascii="仿宋_GB2312" w:hAnsi="仿宋_GB2312" w:cs="仿宋_GB2312" w:eastAsia="仿宋_GB2312"/>
                <w:sz w:val="20"/>
              </w:rPr>
              <w:t>40</w:t>
            </w:r>
            <w:r>
              <w:rPr>
                <w:rFonts w:ascii="仿宋_GB2312" w:hAnsi="仿宋_GB2312" w:cs="仿宋_GB2312" w:eastAsia="仿宋_GB2312"/>
                <w:sz w:val="20"/>
              </w:rPr>
              <w:t>个日历天；</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工程</w:t>
            </w:r>
            <w:r>
              <w:rPr>
                <w:rFonts w:ascii="仿宋_GB2312" w:hAnsi="仿宋_GB2312" w:cs="仿宋_GB2312" w:eastAsia="仿宋_GB2312"/>
                <w:sz w:val="20"/>
              </w:rPr>
              <w:t>质量：达到国家规范</w:t>
            </w:r>
            <w:r>
              <w:rPr>
                <w:rFonts w:ascii="仿宋_GB2312" w:hAnsi="仿宋_GB2312" w:cs="仿宋_GB2312" w:eastAsia="仿宋_GB2312"/>
                <w:sz w:val="20"/>
              </w:rPr>
              <w:t>及行业规范</w:t>
            </w:r>
            <w:r>
              <w:rPr>
                <w:rFonts w:ascii="仿宋_GB2312" w:hAnsi="仿宋_GB2312" w:cs="仿宋_GB2312" w:eastAsia="仿宋_GB2312"/>
                <w:sz w:val="20"/>
              </w:rPr>
              <w:t>合格标准；</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、质保期：自项目验收合格之日起至本次展览全部完成撤展之日。</w:t>
            </w:r>
          </w:p>
          <w:p>
            <w:pPr>
              <w:pStyle w:val="null3"/>
              <w:ind w:firstLine="400"/>
            </w:pPr>
            <w:r>
              <w:rPr>
                <w:rFonts w:ascii="仿宋_GB2312" w:hAnsi="仿宋_GB2312" w:cs="仿宋_GB2312" w:eastAsia="仿宋_GB2312"/>
                <w:sz w:val="20"/>
              </w:rPr>
              <w:t>4.项目实施地点：西安市碑林区三学街15号西安碑林博物馆北区场馆负二层西临展厅。</w:t>
            </w:r>
          </w:p>
          <w:p>
            <w:pPr>
              <w:pStyle w:val="null3"/>
              <w:ind w:right="30" w:firstLine="400"/>
              <w:jc w:val="left"/>
            </w:pPr>
            <w:r>
              <w:rPr>
                <w:rFonts w:ascii="仿宋_GB2312" w:hAnsi="仿宋_GB2312" w:cs="仿宋_GB2312" w:eastAsia="仿宋_GB2312"/>
                <w:sz w:val="20"/>
              </w:rPr>
              <w:t>5</w:t>
            </w:r>
            <w:r>
              <w:rPr>
                <w:rFonts w:ascii="仿宋_GB2312" w:hAnsi="仿宋_GB2312" w:cs="仿宋_GB2312" w:eastAsia="仿宋_GB2312"/>
                <w:sz w:val="20"/>
              </w:rPr>
              <w:t>、付款方式：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1）合同签订后，</w:t>
            </w:r>
            <w:r>
              <w:rPr>
                <w:rFonts w:ascii="仿宋_GB2312" w:hAnsi="仿宋_GB2312" w:cs="仿宋_GB2312" w:eastAsia="仿宋_GB2312"/>
                <w:sz w:val="21"/>
              </w:rPr>
              <w:t>收到乙方开具的发票后</w:t>
            </w:r>
            <w:r>
              <w:rPr>
                <w:rFonts w:ascii="仿宋_GB2312" w:hAnsi="仿宋_GB2312" w:cs="仿宋_GB2312" w:eastAsia="仿宋_GB2312"/>
                <w:sz w:val="21"/>
              </w:rPr>
              <w:t>20个工作日内</w:t>
            </w:r>
            <w:r>
              <w:rPr>
                <w:rFonts w:ascii="仿宋_GB2312" w:hAnsi="仿宋_GB2312" w:cs="仿宋_GB2312" w:eastAsia="仿宋_GB2312"/>
                <w:sz w:val="20"/>
              </w:rPr>
              <w:t>支付合同价款的</w:t>
            </w:r>
            <w:r>
              <w:rPr>
                <w:rFonts w:ascii="仿宋_GB2312" w:hAnsi="仿宋_GB2312" w:cs="仿宋_GB2312" w:eastAsia="仿宋_GB2312"/>
                <w:sz w:val="20"/>
              </w:rPr>
              <w:t>60%作为首付款。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2）项目验收合格并由第三方审计单位决算后，付清合同价款40%的剩余款项。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标的名称：配套图录编辑及出版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1.书名：《李静训和她的时代》</w:t>
            </w:r>
          </w:p>
          <w:p>
            <w:pPr>
              <w:pStyle w:val="null3"/>
              <w:ind w:firstLine="400"/>
            </w:pPr>
            <w:r>
              <w:rPr>
                <w:rFonts w:ascii="仿宋_GB2312" w:hAnsi="仿宋_GB2312" w:cs="仿宋_GB2312" w:eastAsia="仿宋_GB2312"/>
                <w:sz w:val="20"/>
              </w:rPr>
              <w:t>开本：</w:t>
            </w:r>
            <w:r>
              <w:rPr>
                <w:rFonts w:ascii="仿宋_GB2312" w:hAnsi="仿宋_GB2312" w:cs="仿宋_GB2312" w:eastAsia="仿宋_GB2312"/>
                <w:sz w:val="20"/>
              </w:rPr>
              <w:t>235*305mm，小8开</w:t>
            </w:r>
          </w:p>
          <w:p>
            <w:pPr>
              <w:pStyle w:val="null3"/>
              <w:ind w:firstLine="400"/>
            </w:pPr>
            <w:r>
              <w:rPr>
                <w:rFonts w:ascii="仿宋_GB2312" w:hAnsi="仿宋_GB2312" w:cs="仿宋_GB2312" w:eastAsia="仿宋_GB2312"/>
                <w:sz w:val="20"/>
              </w:rPr>
              <w:t>2.字数：</w:t>
            </w:r>
            <w:r>
              <w:rPr>
                <w:rFonts w:ascii="仿宋_GB2312" w:hAnsi="仿宋_GB2312" w:cs="仿宋_GB2312" w:eastAsia="仿宋_GB2312"/>
                <w:sz w:val="20"/>
              </w:rPr>
              <w:t>10万字，500件文物</w:t>
            </w:r>
          </w:p>
          <w:p>
            <w:pPr>
              <w:pStyle w:val="null3"/>
              <w:ind w:firstLine="400"/>
            </w:pPr>
            <w:r>
              <w:rPr>
                <w:rFonts w:ascii="仿宋_GB2312" w:hAnsi="仿宋_GB2312" w:cs="仿宋_GB2312" w:eastAsia="仿宋_GB2312"/>
                <w:sz w:val="20"/>
              </w:rPr>
              <w:t>3.页码：</w:t>
            </w:r>
            <w:r>
              <w:rPr>
                <w:rFonts w:ascii="仿宋_GB2312" w:hAnsi="仿宋_GB2312" w:cs="仿宋_GB2312" w:eastAsia="仿宋_GB2312"/>
                <w:sz w:val="20"/>
              </w:rPr>
              <w:t>240码（含图片、线图、文字等）   30个印张</w:t>
            </w:r>
          </w:p>
          <w:p>
            <w:pPr>
              <w:pStyle w:val="null3"/>
              <w:ind w:firstLine="400"/>
            </w:pPr>
            <w:r>
              <w:rPr>
                <w:rFonts w:ascii="仿宋_GB2312" w:hAnsi="仿宋_GB2312" w:cs="仿宋_GB2312" w:eastAsia="仿宋_GB2312"/>
                <w:sz w:val="20"/>
              </w:rPr>
              <w:t>纸张：</w:t>
            </w:r>
            <w:r>
              <w:rPr>
                <w:rFonts w:ascii="仿宋_GB2312" w:hAnsi="仿宋_GB2312" w:cs="仿宋_GB2312" w:eastAsia="仿宋_GB2312"/>
                <w:sz w:val="20"/>
              </w:rPr>
              <w:t>135g极致浅米，四色印刷</w:t>
            </w:r>
          </w:p>
          <w:p>
            <w:pPr>
              <w:pStyle w:val="null3"/>
              <w:ind w:firstLine="400"/>
            </w:pPr>
            <w:r>
              <w:rPr>
                <w:rFonts w:ascii="仿宋_GB2312" w:hAnsi="仿宋_GB2312" w:cs="仿宋_GB2312" w:eastAsia="仿宋_GB2312"/>
                <w:sz w:val="20"/>
              </w:rPr>
              <w:t>4.封面：270 g特种纸，四色印刷，含烫印、压凹工艺，单面印刷后对裱</w:t>
            </w:r>
          </w:p>
          <w:p>
            <w:pPr>
              <w:pStyle w:val="null3"/>
              <w:ind w:firstLine="400"/>
            </w:pPr>
            <w:r>
              <w:rPr>
                <w:rFonts w:ascii="仿宋_GB2312" w:hAnsi="仿宋_GB2312" w:cs="仿宋_GB2312" w:eastAsia="仿宋_GB2312"/>
                <w:sz w:val="20"/>
              </w:rPr>
              <w:t>5.装订：通背装，塑封</w:t>
            </w:r>
          </w:p>
          <w:p>
            <w:pPr>
              <w:pStyle w:val="null3"/>
              <w:ind w:firstLine="400"/>
            </w:pPr>
            <w:r>
              <w:rPr>
                <w:rFonts w:ascii="仿宋_GB2312" w:hAnsi="仿宋_GB2312" w:cs="仿宋_GB2312" w:eastAsia="仿宋_GB2312"/>
                <w:sz w:val="20"/>
              </w:rPr>
              <w:t>环衬：</w:t>
            </w:r>
            <w:r>
              <w:rPr>
                <w:rFonts w:ascii="仿宋_GB2312" w:hAnsi="仿宋_GB2312" w:cs="仿宋_GB2312" w:eastAsia="仿宋_GB2312"/>
                <w:sz w:val="20"/>
              </w:rPr>
              <w:t>186g特种纸，前后双环衬</w:t>
            </w:r>
          </w:p>
          <w:p>
            <w:pPr>
              <w:pStyle w:val="null3"/>
              <w:ind w:firstLine="400"/>
            </w:pPr>
            <w:r>
              <w:rPr>
                <w:rFonts w:ascii="仿宋_GB2312" w:hAnsi="仿宋_GB2312" w:cs="仿宋_GB2312" w:eastAsia="仿宋_GB2312"/>
                <w:sz w:val="20"/>
              </w:rPr>
              <w:t>6.印数：1000册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sz w:val="20"/>
              </w:rPr>
              <w:t>商务要求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服务期</w:t>
            </w:r>
            <w:r>
              <w:rPr>
                <w:rFonts w:ascii="仿宋_GB2312" w:hAnsi="仿宋_GB2312" w:cs="仿宋_GB2312" w:eastAsia="仿宋_GB2312"/>
                <w:sz w:val="20"/>
              </w:rPr>
              <w:t>：</w:t>
            </w:r>
            <w:r>
              <w:rPr>
                <w:rFonts w:ascii="仿宋_GB2312" w:hAnsi="仿宋_GB2312" w:cs="仿宋_GB2312" w:eastAsia="仿宋_GB2312"/>
                <w:sz w:val="20"/>
              </w:rPr>
              <w:t>按合同签订时间为准</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、质量标准：达到国家验收规范合格标准；</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、质保期：自项目全部验收合格之日起至本次展览全部完成撤展之日。</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、付款方式</w:t>
            </w:r>
            <w:r>
              <w:rPr>
                <w:rFonts w:ascii="仿宋_GB2312" w:hAnsi="仿宋_GB2312" w:cs="仿宋_GB2312" w:eastAsia="仿宋_GB2312"/>
                <w:sz w:val="20"/>
              </w:rPr>
              <w:t>：合同签订后，</w:t>
            </w:r>
            <w:r>
              <w:rPr>
                <w:rFonts w:ascii="仿宋_GB2312" w:hAnsi="仿宋_GB2312" w:cs="仿宋_GB2312" w:eastAsia="仿宋_GB2312"/>
                <w:sz w:val="21"/>
              </w:rPr>
              <w:t>收到乙方开具的发票后</w:t>
            </w:r>
            <w:r>
              <w:rPr>
                <w:rFonts w:ascii="仿宋_GB2312" w:hAnsi="仿宋_GB2312" w:cs="仿宋_GB2312" w:eastAsia="仿宋_GB2312"/>
                <w:sz w:val="21"/>
              </w:rPr>
              <w:t>20个工作日内</w:t>
            </w:r>
            <w:r>
              <w:rPr>
                <w:rFonts w:ascii="仿宋_GB2312" w:hAnsi="仿宋_GB2312" w:cs="仿宋_GB2312" w:eastAsia="仿宋_GB2312"/>
                <w:sz w:val="20"/>
              </w:rPr>
              <w:t>支付合同价款的</w:t>
            </w:r>
            <w:r>
              <w:rPr>
                <w:rFonts w:ascii="仿宋_GB2312" w:hAnsi="仿宋_GB2312" w:cs="仿宋_GB2312" w:eastAsia="仿宋_GB2312"/>
                <w:sz w:val="20"/>
              </w:rPr>
              <w:t>80%，</w:t>
            </w:r>
            <w:r>
              <w:rPr>
                <w:rFonts w:ascii="仿宋_GB2312" w:hAnsi="仿宋_GB2312" w:cs="仿宋_GB2312" w:eastAsia="仿宋_GB2312"/>
                <w:sz w:val="20"/>
              </w:rPr>
              <w:t>验收合格后付清合同价款</w:t>
            </w:r>
            <w:r>
              <w:rPr>
                <w:rFonts w:ascii="仿宋_GB2312" w:hAnsi="仿宋_GB2312" w:cs="仿宋_GB2312" w:eastAsia="仿宋_GB2312"/>
                <w:sz w:val="20"/>
              </w:rPr>
              <w:t>20%的尾款</w:t>
            </w:r>
            <w:r>
              <w:rPr>
                <w:rFonts w:ascii="仿宋_GB2312" w:hAnsi="仿宋_GB2312" w:cs="仿宋_GB2312" w:eastAsia="仿宋_GB2312"/>
                <w:sz w:val="2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乙方为甲方交付的服务应符合招标(采购)文件所述的内容，如果没有提及适用标准，则应符合相应的国家标准。这些标准必须是有关机构发布的最新版本的标准。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监狱企业及残疾人企业视为小、微企业）。仅限符合《政府采购促进中小企业发展暂行办法》（财库〔2020〕46号）条件的中小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小微企业采购（监狱企业及残疾人企业视为小、微企业）。仅限符合《政府采购促进中小企业发展暂行办法》（财库〔2020〕46号）条件的小微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1）具备工程设计综合甲级资质，或工程设计建筑行业（建筑工程）乙级及以上资质，或建筑装饰工程设计专项乙级及以上资质。 2）具有国家建设行政主管部门颁发的建筑装修装饰工程专业承包二级及以上资质，或建筑工程施工总承包三级及以上资质；且具备建筑施工企业安全生产许可证。 3)拟派设计负责人须具备在本单位注册的二级及以上（含二级）注册建筑师资格，或工程类、文博类、设计类专业中级及以上技术职称。 4)拟派施工负责人（总承包项目经理）具备建筑工程专业二级及以上注册建造师资格，并持有有效的安全生产考核合格证书（B证），未担任其他在施建设工程项目的项目经理。（总承包项目经理由施工负责人担任）。</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供应商须具备中华人民共和国图书出版许可证。</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4.是否满足磋商文件的实质性要求。</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4.是否满足磋商文件的实质性要求。</w:t>
            </w:r>
          </w:p>
        </w:tc>
        <w:tc>
          <w:tcPr>
            <w:tcW w:type="dxa" w:w="1661"/>
          </w:tcPr>
          <w:p>
            <w:pPr>
              <w:pStyle w:val="null3"/>
            </w:pPr>
            <w:r>
              <w:rPr>
                <w:rFonts w:ascii="仿宋_GB2312" w:hAnsi="仿宋_GB2312" w:cs="仿宋_GB2312" w:eastAsia="仿宋_GB2312"/>
              </w:rPr>
              <w:t>响应文件封面 资格证明资料 中小企业声明函 残疾人福利性单位声明函 技术方案 技术服务合同条款及其他商务要求应答表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总体展陈设计方案</w:t>
            </w:r>
          </w:p>
        </w:tc>
        <w:tc>
          <w:tcPr>
            <w:tcW w:type="dxa" w:w="2492"/>
          </w:tcPr>
          <w:p>
            <w:pPr>
              <w:pStyle w:val="null3"/>
            </w:pPr>
            <w:r>
              <w:rPr>
                <w:rFonts w:ascii="仿宋_GB2312" w:hAnsi="仿宋_GB2312" w:cs="仿宋_GB2312" w:eastAsia="仿宋_GB2312"/>
              </w:rPr>
              <w:t>1、供应商针对本项目提供形式设计方案。内容包含：①设计标准；②设计风格；③空间规划、展线设计、展览分项设计；④展柜设计；⑤照明设计。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3、赋分标准：每一项评审内容满足每项评审标准的得5分，最多得25分。每一项内容相对每一项评审标准存在一处漏洞或缺陷扣0.1-3分，每项5分扣完为止。未提供相关评审内容的，该项得0分。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供应商针对本项目提供施工方案。内容包括：①施工主要工序阐述明细、全面、合理，②主要工种施工方法得当，③对项目的关键技术、工艺有明确、深入的表述，④对施工重点、难点有合理、经济、安全的解决方案，⑤具体的可行保证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3、赋分标准：每一项评审内容满足每项评审标准的得2分，最多得10分。每一项内容相对每一项评审标准存在一处漏洞或缺陷扣0.1-1.5分，每项2分扣完为止。未提供相关评审内容的，该项得0分。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供应商针对本项目提供质量保障措施。内容包括：①内容阐述明细、全面、合理，施工检测及工序交验方法得当，②对材料和构配件的质量控制有完善合理的管理制度，③对施工重点、难点步骤有可行的质量保证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3、赋分标准：每一项评审内容满足每项评审标准的得2分，最多得6分。每一项内容相对每一项评审标准存在一处漏洞或缺陷扣0.1-1.5分，每项2分扣完为止。未提供相关评审内容的，该项得0分。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1、供应商针对本项目提供施工部署与进度计划，内容包含①进度安排计划；②工期目标控制和保证措施；③材料供应措施；④成品、半成品保护监管措施。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3、赋分标准：每一项评审内容满足每项评审标准的得2分，最多得8分。每一项内容相对每一项评审标准存在一处漏洞或缺陷扣0.1-1.5分，每项2分扣完为止。未提供相关评审内容的，该项得0分。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安全文明施工保障措施</w:t>
            </w:r>
          </w:p>
        </w:tc>
        <w:tc>
          <w:tcPr>
            <w:tcW w:type="dxa" w:w="2492"/>
          </w:tcPr>
          <w:p>
            <w:pPr>
              <w:pStyle w:val="null3"/>
            </w:pPr>
            <w:r>
              <w:rPr>
                <w:rFonts w:ascii="仿宋_GB2312" w:hAnsi="仿宋_GB2312" w:cs="仿宋_GB2312" w:eastAsia="仿宋_GB2312"/>
              </w:rPr>
              <w:t>1、供应商针对本项目提供安全保障措施，内容包含：①安全生产管理制度；②安全组织机构；③隐患排查、整改制度；④应急机制；⑤文明及环境保护管理制度；⑥防尘降噪措施。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3、赋分标准：每一项评审内容满足每项评审标准的得1分，最多得6分。每一项内容相对每一项评审标准存在一处漏洞或缺陷扣0.1-0.5分，每项1分扣完为止。未提供相关评审内容的，该项得0分。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1、供应商针对本项目提供施工机械配置和材料投入计划，内容包含：①施工机械配置计划；②施工材料投入计划；③施工机械的维护保养和材料的贮存；④施工机械、材料的监督和检查。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3、赋分标准：每一项评审内容满足每项评审标准的得1.5分，最多得6分。每一项内容相对每一项评审标准存在一处漏洞或缺陷扣0.1-1分，每项1.5分扣完为止。未提供相关评审内容的，该项得0分。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的类似项目业绩，每提供一项得1分，满分3分。（合同内容应同时包含项目设计及施工，业绩证明材料需包含中标通知书、合同、验收报告、满意度调查表或表扬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1、供应商针对本项目提供拟派项目团队，内容包含：①人员配备数量及清单；②人员职责与分工明确；③人员专业性及工作经验。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3、赋分标准：每一项评审内容满足每项评审标准的得2分，最多得6分。每一项内容相对每一项评审标准存在一处漏洞或缺陷扣0.1-1.5分，每项2分扣完为止。未提供相关评审内容的，该项得0分。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1、结合本次展览主题，供应商出具针对本项目的总体服务方案，方案内容包括：①内容理解与整体策划；②图文编辑、撰稿与编校实施方案；③版式设计、装帧工艺方案。2、评审标准：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3、赋分标准：每一项评审内容满足每项评审标准的得6分，最多得18分。每一项内容相对每一项评审标准存在一处漏洞或缺陷扣0.1-4分，每项6分扣完为止。未提供相关评审内容的，该项得0分。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1、供应商针对本项目提供质量保证措施，内容需考虑结合项目实际，能够切实保证服务质量 1、评审内容:①质量管理目标；②质量管理职责与分工；③质量管理制度。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3、赋分标准：每一项评审内容满足每-项评审标准的得2分，最多得6分。每一项内容相对每一项评审标准存在一处漏洞或缺陷扣0.1-1.5分，每项2分扣完为止。未提供相关评审内容的，该项得0分。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1、供应商针对本项目提供进度计划及保障措施，需充分考虑项目实际，保证措施内容全面、具体、可行、科学合理，能够切实保障服务进度满足采购需求。 评审内容： ①进度计划及控制措施； ②各阶段任务分解及进度安排； ③关键节点控制。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3、赋分标准：每一项评审内容满足每-项评审标准的得2分，最多得6分。每一项内容相对每一项评审标准存在一处漏洞或缺陷扣0.1-1.5分，每项2分扣完为止。未提供相关评审内容的，该项得0分。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1、评审内容： 根据项目实际需求提供售后服务方案。内容包含：①图书勘误纠错机制②响应时间及售后服务便利措施③售后服务人员配置④图书勘误纠错机制及补救措施。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3、赋分标准：每一项评审内容满足每-项评审标准的得2.5分，最多得10分。每一项内容相对每一项评审标准存在一处漏洞或缺陷扣0.1-2分，每项2.5分扣完为止。未提供相关评审内容的，该项得0分。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拟派项目团队人员不少于5人，得基本分4分。团队中除项目负责人外每增加一人增加2分，最高加4分。 评审依据：以响应文件中加盖供应商公章的团队人员职称证书复印件为准。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满足第三章3.2.2服务要求的服务内容及要求，得18分，每有1项未标注“▲”或“★”指标负偏离或不满足扣0.5分，每有1项标注“▲”指标负偏离扣1分，10分扣完为止。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自2023年6月1日至今类似项目业绩，以供应商提供的合同或中标（成交）通知书复印件（或扫描件）为准（日期以合同签订时间或中标（成交）通知书时间为准），每提供一份得3分，满分12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