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9FCC6">
      <w:pPr>
        <w:spacing w:line="360" w:lineRule="atLeast"/>
        <w:jc w:val="center"/>
        <w:outlineLvl w:val="0"/>
        <w:rPr>
          <w:rFonts w:hint="eastAsia" w:ascii="宋体" w:hAnsi="宋体" w:cs="宋体"/>
          <w:b/>
          <w:bCs/>
          <w:color w:val="auto"/>
          <w:sz w:val="48"/>
          <w:szCs w:val="48"/>
          <w:highlight w:val="none"/>
          <w:lang w:eastAsia="zh-CN"/>
        </w:rPr>
      </w:pPr>
    </w:p>
    <w:p w14:paraId="189D9761">
      <w:pPr>
        <w:spacing w:line="360" w:lineRule="atLeast"/>
        <w:jc w:val="center"/>
        <w:outlineLvl w:val="0"/>
        <w:rPr>
          <w:rFonts w:hint="eastAsia" w:ascii="宋体" w:hAnsi="宋体" w:cs="宋体"/>
          <w:b/>
          <w:bCs/>
          <w:color w:val="auto"/>
          <w:sz w:val="48"/>
          <w:szCs w:val="48"/>
          <w:highlight w:val="none"/>
          <w:lang w:eastAsia="zh-CN"/>
        </w:rPr>
      </w:pPr>
    </w:p>
    <w:p w14:paraId="1B997EB5">
      <w:pPr>
        <w:spacing w:line="360" w:lineRule="atLeast"/>
        <w:jc w:val="center"/>
        <w:outlineLvl w:val="0"/>
        <w:rPr>
          <w:rFonts w:hint="eastAsia" w:ascii="宋体" w:hAnsi="宋体" w:cs="宋体"/>
          <w:b/>
          <w:bCs/>
          <w:color w:val="auto"/>
          <w:sz w:val="48"/>
          <w:szCs w:val="48"/>
          <w:highlight w:val="none"/>
          <w:lang w:eastAsia="zh-CN"/>
        </w:rPr>
      </w:pPr>
    </w:p>
    <w:p w14:paraId="67629709">
      <w:pPr>
        <w:spacing w:line="360" w:lineRule="atLeast"/>
        <w:jc w:val="center"/>
        <w:outlineLvl w:val="0"/>
        <w:rPr>
          <w:rFonts w:hint="eastAsia" w:ascii="宋体" w:hAnsi="宋体" w:eastAsia="宋体" w:cs="宋体"/>
          <w:b/>
          <w:color w:val="auto"/>
          <w:sz w:val="52"/>
          <w:szCs w:val="52"/>
          <w:highlight w:val="none"/>
          <w:lang w:eastAsia="zh-CN"/>
        </w:rPr>
      </w:pPr>
      <w:r>
        <w:rPr>
          <w:rFonts w:hint="eastAsia" w:hAnsi="宋体" w:cs="宋体"/>
          <w:b/>
          <w:bCs/>
          <w:color w:val="auto"/>
          <w:sz w:val="48"/>
          <w:szCs w:val="48"/>
          <w:highlight w:val="none"/>
          <w:lang w:eastAsia="zh-CN"/>
        </w:rPr>
        <w:t>202</w:t>
      </w:r>
      <w:r>
        <w:rPr>
          <w:rFonts w:hint="eastAsia" w:hAnsi="宋体" w:cs="宋体"/>
          <w:b/>
          <w:bCs/>
          <w:color w:val="auto"/>
          <w:sz w:val="48"/>
          <w:szCs w:val="48"/>
          <w:highlight w:val="none"/>
          <w:lang w:val="en-US" w:eastAsia="zh-CN"/>
        </w:rPr>
        <w:t>6</w:t>
      </w:r>
      <w:r>
        <w:rPr>
          <w:rFonts w:hint="eastAsia" w:hAnsi="宋体" w:cs="宋体"/>
          <w:b/>
          <w:bCs/>
          <w:color w:val="auto"/>
          <w:sz w:val="48"/>
          <w:szCs w:val="48"/>
          <w:highlight w:val="none"/>
          <w:lang w:eastAsia="zh-CN"/>
        </w:rPr>
        <w:t>年应急物资采购项目</w:t>
      </w:r>
    </w:p>
    <w:p w14:paraId="2F3E2F73">
      <w:pPr>
        <w:jc w:val="center"/>
        <w:rPr>
          <w:rFonts w:hint="eastAsia" w:ascii="宋体" w:hAnsi="宋体" w:eastAsia="宋体" w:cs="宋体"/>
          <w:sz w:val="30"/>
          <w:szCs w:val="30"/>
        </w:rPr>
      </w:pPr>
      <w:r>
        <w:rPr>
          <w:rFonts w:hint="eastAsia" w:ascii="宋体" w:hAnsi="宋体" w:eastAsia="宋体" w:cs="宋体"/>
          <w:sz w:val="30"/>
          <w:szCs w:val="30"/>
        </w:rPr>
        <w:t>(编号：)</w:t>
      </w:r>
    </w:p>
    <w:p w14:paraId="181BB5FE">
      <w:pPr>
        <w:jc w:val="center"/>
        <w:rPr>
          <w:rFonts w:hint="eastAsia" w:ascii="宋体" w:hAnsi="宋体" w:eastAsia="宋体" w:cs="宋体"/>
          <w:sz w:val="30"/>
          <w:szCs w:val="30"/>
        </w:rPr>
      </w:pPr>
    </w:p>
    <w:p w14:paraId="30B1AE51">
      <w:pPr>
        <w:spacing w:line="360" w:lineRule="atLeast"/>
        <w:jc w:val="center"/>
        <w:outlineLvl w:val="0"/>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合同</w:t>
      </w:r>
    </w:p>
    <w:p w14:paraId="04D4D368">
      <w:pPr>
        <w:jc w:val="center"/>
        <w:rPr>
          <w:rFonts w:hint="eastAsia" w:ascii="宋体" w:hAnsi="宋体" w:eastAsia="宋体" w:cs="宋体"/>
          <w:b/>
          <w:bCs/>
          <w:sz w:val="2"/>
          <w:szCs w:val="24"/>
          <w:highlight w:val="none"/>
        </w:rPr>
      </w:pPr>
      <w:r>
        <w:rPr>
          <w:rFonts w:hint="eastAsia" w:ascii="宋体" w:hAnsi="宋体" w:eastAsia="宋体" w:cs="宋体"/>
          <w:b/>
          <w:bCs/>
          <w:sz w:val="28"/>
          <w:szCs w:val="24"/>
          <w:highlight w:val="none"/>
        </w:rPr>
        <w:t>（示范文本）</w:t>
      </w:r>
    </w:p>
    <w:p w14:paraId="4B97A35D">
      <w:pPr>
        <w:jc w:val="center"/>
        <w:rPr>
          <w:rFonts w:hint="eastAsia" w:ascii="宋体" w:hAnsi="宋体" w:eastAsia="宋体" w:cs="宋体"/>
          <w:sz w:val="30"/>
          <w:szCs w:val="30"/>
        </w:rPr>
      </w:pPr>
    </w:p>
    <w:p w14:paraId="4BBBCB28">
      <w:pPr>
        <w:jc w:val="center"/>
        <w:rPr>
          <w:rFonts w:hint="eastAsia" w:ascii="宋体" w:hAnsi="宋体" w:eastAsia="宋体" w:cs="宋体"/>
          <w:sz w:val="30"/>
          <w:szCs w:val="30"/>
        </w:rPr>
      </w:pPr>
    </w:p>
    <w:p w14:paraId="0520B988">
      <w:pPr>
        <w:jc w:val="center"/>
        <w:rPr>
          <w:rFonts w:hint="eastAsia" w:ascii="宋体" w:hAnsi="宋体" w:eastAsia="宋体" w:cs="宋体"/>
          <w:sz w:val="30"/>
          <w:szCs w:val="30"/>
        </w:rPr>
      </w:pPr>
    </w:p>
    <w:p w14:paraId="4A8C0405">
      <w:pPr>
        <w:jc w:val="center"/>
        <w:rPr>
          <w:rFonts w:hint="eastAsia" w:ascii="宋体" w:hAnsi="宋体" w:eastAsia="宋体" w:cs="宋体"/>
          <w:sz w:val="30"/>
          <w:szCs w:val="30"/>
        </w:rPr>
      </w:pPr>
    </w:p>
    <w:p w14:paraId="1B631F94">
      <w:pPr>
        <w:jc w:val="center"/>
        <w:rPr>
          <w:rFonts w:hint="eastAsia" w:ascii="宋体" w:hAnsi="宋体" w:eastAsia="宋体" w:cs="宋体"/>
          <w:sz w:val="30"/>
          <w:szCs w:val="30"/>
        </w:rPr>
      </w:pPr>
    </w:p>
    <w:p w14:paraId="6F4F719C">
      <w:pPr>
        <w:jc w:val="center"/>
        <w:rPr>
          <w:rFonts w:hint="eastAsia" w:ascii="宋体" w:hAnsi="宋体" w:eastAsia="宋体" w:cs="宋体"/>
          <w:sz w:val="30"/>
          <w:szCs w:val="30"/>
        </w:rPr>
      </w:pPr>
    </w:p>
    <w:p w14:paraId="78DF43AE">
      <w:pPr>
        <w:ind w:firstLine="2080" w:firstLineChars="650"/>
        <w:rPr>
          <w:rFonts w:hint="eastAsia" w:ascii="宋体" w:hAnsi="宋体" w:eastAsia="宋体" w:cs="宋体"/>
          <w:sz w:val="32"/>
          <w:szCs w:val="32"/>
        </w:rPr>
      </w:pPr>
      <w:r>
        <w:rPr>
          <w:rFonts w:hint="eastAsia" w:ascii="宋体" w:hAnsi="宋体" w:eastAsia="宋体" w:cs="宋体"/>
          <w:sz w:val="32"/>
          <w:szCs w:val="32"/>
        </w:rPr>
        <w:t>甲  方：</w:t>
      </w:r>
      <w:r>
        <w:rPr>
          <w:rFonts w:hint="eastAsia" w:hAnsi="宋体" w:cs="宋体"/>
          <w:b/>
          <w:color w:val="auto"/>
          <w:sz w:val="32"/>
          <w:szCs w:val="32"/>
          <w:highlight w:val="none"/>
          <w:lang w:eastAsia="zh-CN"/>
        </w:rPr>
        <w:t>蓝田县应急管理局</w:t>
      </w:r>
    </w:p>
    <w:p w14:paraId="338C06F0">
      <w:pPr>
        <w:tabs>
          <w:tab w:val="left" w:pos="480"/>
        </w:tabs>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         乙  方： </w:t>
      </w:r>
    </w:p>
    <w:p w14:paraId="53B70991">
      <w:pPr>
        <w:rPr>
          <w:rFonts w:hint="eastAsia" w:ascii="宋体" w:hAnsi="宋体" w:eastAsia="宋体" w:cs="宋体"/>
          <w:sz w:val="32"/>
          <w:szCs w:val="32"/>
        </w:rPr>
      </w:pPr>
      <w:r>
        <w:rPr>
          <w:rFonts w:hint="eastAsia" w:ascii="宋体" w:hAnsi="宋体" w:eastAsia="宋体" w:cs="宋体"/>
          <w:sz w:val="32"/>
          <w:szCs w:val="32"/>
        </w:rPr>
        <w:t xml:space="preserve">             </w:t>
      </w:r>
    </w:p>
    <w:p w14:paraId="11A3C0BC">
      <w:pPr>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hAnsi="宋体" w:cs="宋体"/>
          <w:sz w:val="32"/>
          <w:szCs w:val="32"/>
          <w:lang w:val="en-US" w:eastAsia="zh-CN"/>
        </w:rPr>
        <w:t>6</w:t>
      </w:r>
      <w:bookmarkStart w:id="66" w:name="_GoBack"/>
      <w:bookmarkEnd w:id="66"/>
      <w:r>
        <w:rPr>
          <w:rFonts w:hint="eastAsia" w:hAnsi="宋体" w:cs="宋体"/>
          <w:sz w:val="32"/>
          <w:szCs w:val="32"/>
          <w:lang w:val="en-US" w:eastAsia="zh-CN"/>
        </w:rPr>
        <w:t xml:space="preserve"> </w:t>
      </w:r>
      <w:r>
        <w:rPr>
          <w:rFonts w:hint="eastAsia" w:ascii="宋体" w:hAnsi="宋体" w:eastAsia="宋体" w:cs="宋体"/>
          <w:sz w:val="32"/>
          <w:szCs w:val="32"/>
        </w:rPr>
        <w:t>年 月</w:t>
      </w:r>
    </w:p>
    <w:p w14:paraId="0F37A484">
      <w:pPr>
        <w:jc w:val="center"/>
        <w:rPr>
          <w:rFonts w:hint="eastAsia" w:ascii="宋体" w:hAnsi="宋体" w:eastAsia="宋体" w:cs="宋体"/>
          <w:sz w:val="32"/>
          <w:szCs w:val="32"/>
        </w:rPr>
      </w:pPr>
      <w:r>
        <w:rPr>
          <w:rFonts w:hint="eastAsia" w:ascii="宋体" w:hAnsi="宋体" w:eastAsia="宋体" w:cs="宋体"/>
          <w:sz w:val="32"/>
          <w:szCs w:val="32"/>
        </w:rPr>
        <w:t>中国  西安</w:t>
      </w:r>
    </w:p>
    <w:p w14:paraId="6AA11F2F">
      <w:pPr>
        <w:pStyle w:val="3"/>
        <w:rPr>
          <w:rFonts w:hint="eastAsia" w:ascii="宋体" w:hAnsi="宋体" w:eastAsia="宋体" w:cs="宋体"/>
          <w:sz w:val="28"/>
          <w:szCs w:val="24"/>
          <w:highlight w:val="none"/>
        </w:rPr>
      </w:pPr>
    </w:p>
    <w:p w14:paraId="276D5831">
      <w:pPr>
        <w:pStyle w:val="3"/>
        <w:rPr>
          <w:rFonts w:hint="eastAsia" w:ascii="宋体" w:hAnsi="宋体" w:eastAsia="宋体" w:cs="宋体"/>
          <w:sz w:val="28"/>
          <w:szCs w:val="24"/>
          <w:highlight w:val="none"/>
        </w:rPr>
      </w:pPr>
    </w:p>
    <w:p w14:paraId="15840166">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rPr>
      </w:pPr>
    </w:p>
    <w:p w14:paraId="0E4599FB">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u w:val="single"/>
        </w:rPr>
      </w:pPr>
      <w:r>
        <w:rPr>
          <w:rFonts w:hint="eastAsia" w:ascii="仿宋" w:hAnsi="仿宋" w:eastAsia="仿宋" w:cs="仿宋"/>
          <w:szCs w:val="24"/>
          <w:highlight w:val="none"/>
        </w:rPr>
        <w:t>采购人（甲方）：</w:t>
      </w:r>
      <w:r>
        <w:rPr>
          <w:rFonts w:hint="eastAsia" w:ascii="仿宋" w:hAnsi="仿宋" w:eastAsia="仿宋" w:cs="仿宋"/>
          <w:szCs w:val="24"/>
          <w:highlight w:val="none"/>
          <w:u w:val="single"/>
        </w:rPr>
        <w:t xml:space="preserve">                          </w:t>
      </w:r>
    </w:p>
    <w:p w14:paraId="2BEC5555">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rPr>
      </w:pPr>
      <w:r>
        <w:rPr>
          <w:rFonts w:hint="eastAsia" w:ascii="仿宋" w:hAnsi="仿宋" w:eastAsia="仿宋" w:cs="仿宋"/>
          <w:szCs w:val="24"/>
          <w:highlight w:val="none"/>
        </w:rPr>
        <w:t>成交供应商（乙方）：</w:t>
      </w:r>
      <w:r>
        <w:rPr>
          <w:rFonts w:hint="eastAsia" w:ascii="仿宋" w:hAnsi="仿宋" w:eastAsia="仿宋" w:cs="仿宋"/>
          <w:szCs w:val="24"/>
          <w:highlight w:val="none"/>
          <w:u w:val="single"/>
        </w:rPr>
        <w:t xml:space="preserve">                      </w:t>
      </w:r>
    </w:p>
    <w:p w14:paraId="26CDB851">
      <w:pPr>
        <w:pStyle w:val="6"/>
        <w:pageBreakBefore w:val="0"/>
        <w:kinsoku/>
        <w:wordWrap/>
        <w:overflowPunct/>
        <w:topLinePunct w:val="0"/>
        <w:autoSpaceDE/>
        <w:autoSpaceDN/>
        <w:bidi w:val="0"/>
        <w:adjustRightInd/>
        <w:spacing w:before="156" w:beforeLines="50"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根据《中华人民共和国民法典》和甲方</w:t>
      </w:r>
      <w:r>
        <w:rPr>
          <w:rFonts w:hint="eastAsia" w:ascii="仿宋" w:hAnsi="仿宋" w:eastAsia="仿宋" w:cs="仿宋"/>
          <w:i/>
          <w:iCs/>
          <w:szCs w:val="24"/>
          <w:highlight w:val="none"/>
          <w:u w:val="single"/>
        </w:rPr>
        <w:t xml:space="preserve">     </w:t>
      </w:r>
      <w:r>
        <w:rPr>
          <w:rFonts w:hint="eastAsia" w:ascii="仿宋" w:hAnsi="仿宋" w:eastAsia="仿宋" w:cs="仿宋"/>
          <w:i/>
          <w:iCs/>
          <w:szCs w:val="24"/>
          <w:highlight w:val="none"/>
          <w:u w:val="single"/>
          <w:lang w:val="en-US" w:eastAsia="zh-CN"/>
        </w:rPr>
        <w:t xml:space="preserve">    </w:t>
      </w:r>
      <w:r>
        <w:rPr>
          <w:rFonts w:hint="eastAsia" w:ascii="仿宋" w:hAnsi="仿宋" w:eastAsia="仿宋" w:cs="仿宋"/>
          <w:i/>
          <w:iCs/>
          <w:szCs w:val="24"/>
          <w:highlight w:val="none"/>
          <w:u w:val="single"/>
        </w:rPr>
        <w:t xml:space="preserve"> </w:t>
      </w:r>
      <w:r>
        <w:rPr>
          <w:rFonts w:hint="eastAsia" w:ascii="仿宋" w:hAnsi="仿宋" w:eastAsia="仿宋" w:cs="仿宋"/>
          <w:i w:val="0"/>
          <w:iCs w:val="0"/>
          <w:szCs w:val="24"/>
          <w:highlight w:val="none"/>
          <w:u w:val="single"/>
        </w:rPr>
        <w:t>（</w:t>
      </w:r>
      <w:r>
        <w:rPr>
          <w:rFonts w:hint="eastAsia" w:ascii="仿宋" w:hAnsi="仿宋" w:eastAsia="仿宋" w:cs="仿宋"/>
          <w:i/>
          <w:iCs/>
          <w:szCs w:val="24"/>
          <w:highlight w:val="none"/>
          <w:u w:val="single"/>
        </w:rPr>
        <w:t>采购项目名称</w:t>
      </w:r>
      <w:r>
        <w:rPr>
          <w:rFonts w:hint="eastAsia" w:ascii="仿宋" w:hAnsi="仿宋" w:eastAsia="仿宋" w:cs="仿宋"/>
          <w:szCs w:val="24"/>
          <w:highlight w:val="none"/>
          <w:u w:val="single"/>
          <w:lang w:eastAsia="zh-CN"/>
        </w:rPr>
        <w:t>、</w:t>
      </w:r>
      <w:r>
        <w:rPr>
          <w:rFonts w:hint="eastAsia" w:ascii="仿宋" w:hAnsi="仿宋" w:eastAsia="仿宋" w:cs="仿宋"/>
          <w:i/>
          <w:iCs/>
          <w:szCs w:val="24"/>
          <w:highlight w:val="none"/>
          <w:u w:val="single"/>
        </w:rPr>
        <w:t>采购项目编号</w:t>
      </w:r>
      <w:r>
        <w:rPr>
          <w:rFonts w:hint="eastAsia" w:ascii="仿宋" w:hAnsi="仿宋" w:eastAsia="仿宋" w:cs="仿宋"/>
          <w:szCs w:val="24"/>
          <w:highlight w:val="none"/>
        </w:rPr>
        <w:t>）的</w:t>
      </w:r>
      <w:r>
        <w:rPr>
          <w:rFonts w:hint="eastAsia" w:ascii="仿宋" w:hAnsi="仿宋" w:eastAsia="仿宋" w:cs="仿宋"/>
          <w:szCs w:val="24"/>
          <w:highlight w:val="none"/>
          <w:lang w:val="en-US" w:eastAsia="zh-CN"/>
        </w:rPr>
        <w:t>竞争性谈判</w:t>
      </w:r>
      <w:r>
        <w:rPr>
          <w:rFonts w:hint="eastAsia" w:ascii="仿宋" w:hAnsi="仿宋" w:eastAsia="仿宋" w:cs="仿宋"/>
          <w:szCs w:val="24"/>
          <w:highlight w:val="none"/>
        </w:rPr>
        <w:t>文件、</w:t>
      </w:r>
      <w:r>
        <w:rPr>
          <w:rFonts w:hint="eastAsia" w:ascii="仿宋" w:hAnsi="仿宋" w:eastAsia="仿宋" w:cs="仿宋"/>
          <w:szCs w:val="24"/>
          <w:highlight w:val="none"/>
          <w:lang w:val="en-US" w:eastAsia="zh-CN"/>
        </w:rPr>
        <w:t>响应</w:t>
      </w:r>
      <w:r>
        <w:rPr>
          <w:rFonts w:hint="eastAsia" w:ascii="仿宋" w:hAnsi="仿宋" w:eastAsia="仿宋" w:cs="仿宋"/>
          <w:szCs w:val="24"/>
          <w:highlight w:val="none"/>
        </w:rPr>
        <w:t>文件等有关规定，为确保甲方采购项目的顺利实施，甲、乙双方在平等自愿原则下签订本合同，并共同遵守如下条款：</w:t>
      </w:r>
    </w:p>
    <w:p w14:paraId="5C1D117A">
      <w:pPr>
        <w:pStyle w:val="6"/>
        <w:pageBreakBefore w:val="0"/>
        <w:kinsoku/>
        <w:wordWrap/>
        <w:overflowPunct/>
        <w:topLinePunct w:val="0"/>
        <w:autoSpaceDE/>
        <w:autoSpaceDN/>
        <w:bidi w:val="0"/>
        <w:adjustRightInd/>
        <w:spacing w:before="156" w:before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第一条 合同标的及数量</w:t>
      </w:r>
    </w:p>
    <w:p w14:paraId="2696016A">
      <w:pPr>
        <w:pStyle w:val="6"/>
        <w:pageBreakBefore w:val="0"/>
        <w:widowControl/>
        <w:kinsoku/>
        <w:wordWrap/>
        <w:overflowPunct/>
        <w:topLinePunct w:val="0"/>
        <w:autoSpaceDE/>
        <w:autoSpaceDN/>
        <w:bidi w:val="0"/>
        <w:adjustRightInd/>
        <w:spacing w:line="500" w:lineRule="exact"/>
        <w:ind w:firstLine="480"/>
        <w:rPr>
          <w:rFonts w:hint="eastAsia" w:ascii="仿宋" w:hAnsi="仿宋" w:eastAsia="仿宋" w:cs="仿宋"/>
          <w:b/>
          <w:szCs w:val="24"/>
          <w:highlight w:val="none"/>
        </w:rPr>
      </w:pPr>
      <w:r>
        <w:rPr>
          <w:rFonts w:hint="eastAsia" w:ascii="仿宋" w:hAnsi="仿宋" w:eastAsia="仿宋" w:cs="仿宋"/>
          <w:szCs w:val="24"/>
          <w:highlight w:val="none"/>
        </w:rPr>
        <w:t>乙方向甲方提供下列货物（产品）：</w:t>
      </w:r>
    </w:p>
    <w:p w14:paraId="115398A2">
      <w:pPr>
        <w:pStyle w:val="2"/>
        <w:pageBreakBefore w:val="0"/>
        <w:widowControl/>
        <w:kinsoku/>
        <w:wordWrap/>
        <w:overflowPunct/>
        <w:topLinePunct w:val="0"/>
        <w:autoSpaceDE/>
        <w:autoSpaceDN/>
        <w:bidi w:val="0"/>
        <w:adjustRightInd/>
        <w:spacing w:line="500" w:lineRule="exact"/>
        <w:ind w:firstLine="482"/>
        <w:jc w:val="center"/>
        <w:rPr>
          <w:rFonts w:hint="eastAsia" w:ascii="仿宋" w:hAnsi="仿宋" w:eastAsia="仿宋" w:cs="仿宋"/>
          <w:b/>
          <w:sz w:val="24"/>
          <w:highlight w:val="none"/>
        </w:rPr>
      </w:pPr>
      <w:r>
        <w:rPr>
          <w:rFonts w:hint="eastAsia" w:ascii="仿宋" w:hAnsi="仿宋" w:eastAsia="仿宋" w:cs="仿宋"/>
          <w:b/>
          <w:sz w:val="24"/>
          <w:highlight w:val="none"/>
        </w:rPr>
        <w:t>供货一览表</w:t>
      </w:r>
    </w:p>
    <w:tbl>
      <w:tblPr>
        <w:tblStyle w:val="4"/>
        <w:tblpPr w:leftFromText="180" w:rightFromText="180" w:vertAnchor="text" w:horzAnchor="margin" w:tblpXSpec="center" w:tblpY="30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040"/>
        <w:gridCol w:w="1040"/>
        <w:gridCol w:w="1146"/>
        <w:gridCol w:w="619"/>
        <w:gridCol w:w="1041"/>
        <w:gridCol w:w="622"/>
        <w:gridCol w:w="1250"/>
        <w:gridCol w:w="1148"/>
      </w:tblGrid>
      <w:tr w14:paraId="00FC05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362" w:type="pct"/>
            <w:tcBorders>
              <w:top w:val="single" w:color="auto" w:sz="12" w:space="0"/>
              <w:left w:val="single" w:color="auto" w:sz="12" w:space="0"/>
              <w:bottom w:val="single" w:color="auto" w:sz="4" w:space="0"/>
              <w:right w:val="single" w:color="auto" w:sz="4" w:space="0"/>
            </w:tcBorders>
            <w:noWrap/>
            <w:vAlign w:val="center"/>
          </w:tcPr>
          <w:p w14:paraId="03C3B827">
            <w:pPr>
              <w:bidi w:val="0"/>
              <w:jc w:val="center"/>
              <w:rPr>
                <w:rFonts w:hint="eastAsia" w:ascii="仿宋" w:hAnsi="仿宋" w:eastAsia="仿宋" w:cs="仿宋"/>
                <w:sz w:val="24"/>
                <w:szCs w:val="24"/>
                <w:lang w:val="en-US" w:eastAsia="zh-CN"/>
              </w:rPr>
            </w:pPr>
            <w:bookmarkStart w:id="0" w:name="_Toc731"/>
            <w:bookmarkStart w:id="1" w:name="_Toc11029"/>
            <w:bookmarkStart w:id="2" w:name="_Toc12862"/>
            <w:bookmarkStart w:id="3" w:name="_Toc8098"/>
            <w:bookmarkStart w:id="4" w:name="_Toc30936"/>
            <w:r>
              <w:rPr>
                <w:rFonts w:hint="eastAsia" w:ascii="仿宋" w:hAnsi="仿宋" w:eastAsia="仿宋" w:cs="仿宋"/>
                <w:sz w:val="24"/>
                <w:szCs w:val="24"/>
                <w:lang w:val="en-US" w:eastAsia="zh-CN"/>
              </w:rPr>
              <w:t>序号</w:t>
            </w:r>
            <w:bookmarkEnd w:id="0"/>
            <w:bookmarkEnd w:id="1"/>
            <w:bookmarkEnd w:id="2"/>
            <w:bookmarkEnd w:id="3"/>
            <w:bookmarkEnd w:id="4"/>
          </w:p>
        </w:tc>
        <w:tc>
          <w:tcPr>
            <w:tcW w:w="610" w:type="pct"/>
            <w:tcBorders>
              <w:top w:val="single" w:color="auto" w:sz="12" w:space="0"/>
              <w:left w:val="single" w:color="auto" w:sz="4" w:space="0"/>
              <w:bottom w:val="single" w:color="auto" w:sz="4" w:space="0"/>
              <w:right w:val="single" w:color="auto" w:sz="4" w:space="0"/>
            </w:tcBorders>
            <w:noWrap/>
            <w:vAlign w:val="center"/>
          </w:tcPr>
          <w:p w14:paraId="74D7A1F8">
            <w:pPr>
              <w:bidi w:val="0"/>
              <w:jc w:val="center"/>
              <w:rPr>
                <w:rFonts w:hint="eastAsia" w:ascii="仿宋" w:hAnsi="仿宋" w:eastAsia="仿宋" w:cs="仿宋"/>
                <w:sz w:val="24"/>
                <w:szCs w:val="24"/>
                <w:lang w:val="en-US" w:eastAsia="zh-CN"/>
              </w:rPr>
            </w:pPr>
            <w:bookmarkStart w:id="5" w:name="_Toc12848"/>
            <w:bookmarkStart w:id="6" w:name="_Toc14606"/>
            <w:bookmarkStart w:id="7" w:name="_Toc18138"/>
            <w:bookmarkStart w:id="8" w:name="_Toc11846"/>
            <w:bookmarkStart w:id="9" w:name="_Toc10937"/>
            <w:r>
              <w:rPr>
                <w:rFonts w:hint="eastAsia" w:ascii="仿宋" w:hAnsi="仿宋" w:eastAsia="仿宋" w:cs="仿宋"/>
                <w:sz w:val="24"/>
                <w:szCs w:val="24"/>
                <w:lang w:val="en-US" w:eastAsia="zh-CN"/>
              </w:rPr>
              <w:t>货物</w:t>
            </w:r>
          </w:p>
          <w:p w14:paraId="44D09627">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5F2AFC51">
            <w:pPr>
              <w:bidi w:val="0"/>
              <w:jc w:val="center"/>
              <w:rPr>
                <w:rFonts w:hint="eastAsia" w:ascii="仿宋" w:hAnsi="仿宋" w:eastAsia="仿宋" w:cs="仿宋"/>
                <w:sz w:val="24"/>
                <w:szCs w:val="24"/>
                <w:lang w:val="en-US" w:eastAsia="zh-CN"/>
              </w:rPr>
            </w:pPr>
            <w:bookmarkStart w:id="10" w:name="_Toc32341"/>
            <w:bookmarkStart w:id="11" w:name="_Toc11018"/>
            <w:bookmarkStart w:id="12" w:name="_Toc10792"/>
            <w:bookmarkStart w:id="13" w:name="_Toc30052"/>
            <w:bookmarkStart w:id="14" w:name="_Toc24749"/>
            <w:r>
              <w:rPr>
                <w:rFonts w:hint="eastAsia" w:ascii="仿宋" w:hAnsi="仿宋" w:eastAsia="仿宋" w:cs="仿宋"/>
                <w:sz w:val="24"/>
                <w:szCs w:val="24"/>
                <w:lang w:val="en-US" w:eastAsia="zh-CN"/>
              </w:rPr>
              <w:t>品目</w:t>
            </w:r>
          </w:p>
          <w:p w14:paraId="6B32571E">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269BB95B">
            <w:pPr>
              <w:bidi w:val="0"/>
              <w:jc w:val="center"/>
              <w:rPr>
                <w:rFonts w:hint="eastAsia" w:ascii="仿宋" w:hAnsi="仿宋" w:eastAsia="仿宋" w:cs="仿宋"/>
                <w:sz w:val="24"/>
                <w:szCs w:val="24"/>
                <w:lang w:val="en-US" w:eastAsia="zh-CN"/>
              </w:rPr>
            </w:pPr>
            <w:bookmarkStart w:id="15" w:name="_Toc31993"/>
            <w:bookmarkStart w:id="16" w:name="_Toc30994"/>
            <w:bookmarkStart w:id="17" w:name="_Toc18279"/>
            <w:bookmarkStart w:id="18" w:name="_Toc2505"/>
            <w:bookmarkStart w:id="19" w:name="_Toc23775"/>
            <w:r>
              <w:rPr>
                <w:rFonts w:hint="eastAsia" w:ascii="仿宋" w:hAnsi="仿宋" w:eastAsia="仿宋" w:cs="仿宋"/>
                <w:sz w:val="24"/>
                <w:szCs w:val="24"/>
                <w:lang w:val="en-US" w:eastAsia="zh-CN"/>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0D5008B1">
            <w:pPr>
              <w:bidi w:val="0"/>
              <w:jc w:val="center"/>
              <w:rPr>
                <w:rFonts w:hint="eastAsia" w:ascii="仿宋" w:hAnsi="仿宋" w:eastAsia="仿宋" w:cs="仿宋"/>
                <w:sz w:val="24"/>
                <w:szCs w:val="24"/>
                <w:lang w:val="en-US" w:eastAsia="zh-CN"/>
              </w:rPr>
            </w:pPr>
            <w:bookmarkStart w:id="20" w:name="_Toc8038"/>
            <w:bookmarkStart w:id="21" w:name="_Toc28515"/>
            <w:bookmarkStart w:id="22" w:name="_Toc19146"/>
            <w:bookmarkStart w:id="23" w:name="_Toc20736"/>
            <w:bookmarkStart w:id="24" w:name="_Toc16809"/>
            <w:r>
              <w:rPr>
                <w:rFonts w:hint="eastAsia" w:ascii="仿宋" w:hAnsi="仿宋" w:eastAsia="仿宋" w:cs="仿宋"/>
                <w:sz w:val="24"/>
                <w:szCs w:val="24"/>
                <w:lang w:val="en-US" w:eastAsia="zh-CN"/>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231D0512">
            <w:pPr>
              <w:bidi w:val="0"/>
              <w:jc w:val="center"/>
              <w:rPr>
                <w:rFonts w:hint="eastAsia" w:ascii="仿宋" w:hAnsi="仿宋" w:eastAsia="仿宋" w:cs="仿宋"/>
                <w:sz w:val="24"/>
                <w:szCs w:val="24"/>
                <w:lang w:val="en-US" w:eastAsia="zh-CN"/>
              </w:rPr>
            </w:pPr>
            <w:bookmarkStart w:id="25" w:name="_Toc8453"/>
            <w:bookmarkStart w:id="26" w:name="_Toc21245"/>
            <w:bookmarkStart w:id="27" w:name="_Toc12530"/>
            <w:bookmarkStart w:id="28" w:name="_Toc9385"/>
            <w:bookmarkStart w:id="29" w:name="_Toc13868"/>
            <w:r>
              <w:rPr>
                <w:rFonts w:hint="eastAsia" w:ascii="仿宋" w:hAnsi="仿宋" w:eastAsia="仿宋" w:cs="仿宋"/>
                <w:sz w:val="24"/>
                <w:szCs w:val="24"/>
                <w:lang w:val="en-US" w:eastAsia="zh-CN"/>
              </w:rPr>
              <w:t>计量</w:t>
            </w:r>
          </w:p>
          <w:p w14:paraId="406C3616">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w:t>
            </w:r>
            <w:bookmarkEnd w:id="25"/>
            <w:bookmarkEnd w:id="26"/>
            <w:bookmarkEnd w:id="27"/>
            <w:bookmarkEnd w:id="28"/>
            <w:bookmarkEnd w:id="29"/>
          </w:p>
        </w:tc>
        <w:tc>
          <w:tcPr>
            <w:tcW w:w="363" w:type="pct"/>
            <w:tcBorders>
              <w:top w:val="single" w:color="auto" w:sz="12" w:space="0"/>
              <w:left w:val="single" w:color="auto" w:sz="4" w:space="0"/>
              <w:bottom w:val="single" w:color="auto" w:sz="4" w:space="0"/>
              <w:right w:val="single" w:color="auto" w:sz="4" w:space="0"/>
            </w:tcBorders>
            <w:noWrap/>
            <w:vAlign w:val="center"/>
          </w:tcPr>
          <w:p w14:paraId="4EF388BE">
            <w:pPr>
              <w:bidi w:val="0"/>
              <w:jc w:val="center"/>
              <w:rPr>
                <w:rFonts w:hint="eastAsia" w:ascii="仿宋" w:hAnsi="仿宋" w:eastAsia="仿宋" w:cs="仿宋"/>
                <w:sz w:val="24"/>
                <w:szCs w:val="24"/>
                <w:lang w:val="en-US" w:eastAsia="zh-CN"/>
              </w:rPr>
            </w:pPr>
            <w:bookmarkStart w:id="30" w:name="_Toc31770"/>
            <w:bookmarkStart w:id="31" w:name="_Toc13771"/>
            <w:bookmarkStart w:id="32" w:name="_Toc25464"/>
            <w:bookmarkStart w:id="33" w:name="_Toc26700"/>
            <w:bookmarkStart w:id="34" w:name="_Toc2753"/>
            <w:r>
              <w:rPr>
                <w:rFonts w:hint="eastAsia" w:ascii="仿宋" w:hAnsi="仿宋" w:eastAsia="仿宋" w:cs="仿宋"/>
                <w:sz w:val="24"/>
                <w:szCs w:val="24"/>
                <w:lang w:val="en-US" w:eastAsia="zh-CN"/>
              </w:rPr>
              <w:t>数量</w:t>
            </w:r>
            <w:bookmarkEnd w:id="30"/>
            <w:bookmarkEnd w:id="31"/>
            <w:bookmarkEnd w:id="32"/>
            <w:bookmarkEnd w:id="33"/>
            <w:bookmarkEnd w:id="34"/>
          </w:p>
        </w:tc>
        <w:tc>
          <w:tcPr>
            <w:tcW w:w="733" w:type="pct"/>
            <w:tcBorders>
              <w:top w:val="single" w:color="auto" w:sz="12" w:space="0"/>
              <w:left w:val="single" w:color="auto" w:sz="4" w:space="0"/>
              <w:bottom w:val="single" w:color="auto" w:sz="4" w:space="0"/>
              <w:right w:val="single" w:color="auto" w:sz="4" w:space="0"/>
            </w:tcBorders>
            <w:noWrap/>
            <w:vAlign w:val="center"/>
          </w:tcPr>
          <w:p w14:paraId="5C428EF7">
            <w:pPr>
              <w:bidi w:val="0"/>
              <w:jc w:val="center"/>
              <w:rPr>
                <w:rFonts w:hint="eastAsia" w:ascii="仿宋" w:hAnsi="仿宋" w:eastAsia="仿宋" w:cs="仿宋"/>
                <w:sz w:val="24"/>
                <w:szCs w:val="24"/>
                <w:lang w:val="en-US" w:eastAsia="zh-CN"/>
              </w:rPr>
            </w:pPr>
            <w:bookmarkStart w:id="35" w:name="_Toc18214"/>
            <w:bookmarkStart w:id="36" w:name="_Toc13068"/>
            <w:bookmarkStart w:id="37" w:name="_Toc1099"/>
            <w:bookmarkStart w:id="38" w:name="_Toc8363"/>
            <w:bookmarkStart w:id="39" w:name="_Toc12281"/>
            <w:r>
              <w:rPr>
                <w:rFonts w:hint="eastAsia" w:ascii="仿宋" w:hAnsi="仿宋" w:eastAsia="仿宋" w:cs="仿宋"/>
                <w:sz w:val="24"/>
                <w:szCs w:val="24"/>
                <w:lang w:val="en-US" w:eastAsia="zh-CN"/>
              </w:rPr>
              <w:t>单价（元）</w:t>
            </w:r>
            <w:bookmarkEnd w:id="35"/>
            <w:bookmarkEnd w:id="36"/>
            <w:bookmarkEnd w:id="37"/>
            <w:bookmarkEnd w:id="38"/>
            <w:bookmarkEnd w:id="39"/>
          </w:p>
        </w:tc>
        <w:tc>
          <w:tcPr>
            <w:tcW w:w="672" w:type="pct"/>
            <w:tcBorders>
              <w:top w:val="single" w:color="auto" w:sz="12" w:space="0"/>
              <w:left w:val="single" w:color="auto" w:sz="4" w:space="0"/>
              <w:bottom w:val="single" w:color="auto" w:sz="4" w:space="0"/>
              <w:right w:val="single" w:color="auto" w:sz="12" w:space="0"/>
            </w:tcBorders>
            <w:noWrap/>
            <w:vAlign w:val="center"/>
          </w:tcPr>
          <w:p w14:paraId="396D908D">
            <w:pPr>
              <w:bidi w:val="0"/>
              <w:jc w:val="center"/>
              <w:rPr>
                <w:rFonts w:hint="eastAsia" w:ascii="仿宋" w:hAnsi="仿宋" w:eastAsia="仿宋" w:cs="仿宋"/>
                <w:sz w:val="24"/>
                <w:szCs w:val="24"/>
                <w:lang w:val="en-US" w:eastAsia="zh-CN"/>
              </w:rPr>
            </w:pPr>
            <w:bookmarkStart w:id="40" w:name="_Toc3069"/>
            <w:bookmarkStart w:id="41" w:name="_Toc16235"/>
            <w:bookmarkStart w:id="42" w:name="_Toc30167"/>
            <w:bookmarkStart w:id="43" w:name="_Toc32252"/>
            <w:bookmarkStart w:id="44" w:name="_Toc23208"/>
            <w:r>
              <w:rPr>
                <w:rFonts w:hint="eastAsia" w:ascii="仿宋" w:hAnsi="仿宋" w:eastAsia="仿宋" w:cs="仿宋"/>
                <w:sz w:val="24"/>
                <w:szCs w:val="24"/>
                <w:lang w:val="en-US" w:eastAsia="zh-CN"/>
              </w:rPr>
              <w:t>金额 (元)</w:t>
            </w:r>
            <w:bookmarkEnd w:id="40"/>
            <w:bookmarkEnd w:id="41"/>
            <w:bookmarkEnd w:id="42"/>
            <w:bookmarkEnd w:id="43"/>
            <w:bookmarkEnd w:id="44"/>
          </w:p>
        </w:tc>
      </w:tr>
      <w:tr w14:paraId="2BC322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6B2574F3">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D98A7B4">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1ACF9C83">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7EBD113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443E8ED6">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01537DEB">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54C5C80D">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6A67E157">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33FAE49D">
            <w:pPr>
              <w:bidi w:val="0"/>
              <w:jc w:val="center"/>
              <w:rPr>
                <w:rFonts w:hint="eastAsia" w:ascii="仿宋" w:hAnsi="仿宋" w:eastAsia="仿宋" w:cs="仿宋"/>
                <w:sz w:val="24"/>
                <w:szCs w:val="24"/>
              </w:rPr>
            </w:pPr>
          </w:p>
        </w:tc>
      </w:tr>
      <w:tr w14:paraId="3109B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6E6E9204">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E2B094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D9347DF">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10A2405C">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D7D8315">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5F98E49">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93F0150">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62126283">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2593C6FD">
            <w:pPr>
              <w:bidi w:val="0"/>
              <w:jc w:val="center"/>
              <w:rPr>
                <w:rFonts w:hint="eastAsia" w:ascii="仿宋" w:hAnsi="仿宋" w:eastAsia="仿宋" w:cs="仿宋"/>
                <w:sz w:val="24"/>
                <w:szCs w:val="24"/>
              </w:rPr>
            </w:pPr>
          </w:p>
        </w:tc>
      </w:tr>
      <w:tr w14:paraId="44614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3B0A8087">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0825B1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30DCD17A">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373C134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9EE342D">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6AD5B0E8">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75C66AEA">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45952D92">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38B0BF0A">
            <w:pPr>
              <w:bidi w:val="0"/>
              <w:jc w:val="center"/>
              <w:rPr>
                <w:rFonts w:hint="eastAsia" w:ascii="仿宋" w:hAnsi="仿宋" w:eastAsia="仿宋" w:cs="仿宋"/>
                <w:sz w:val="24"/>
                <w:szCs w:val="24"/>
              </w:rPr>
            </w:pPr>
          </w:p>
        </w:tc>
      </w:tr>
      <w:tr w14:paraId="21CCD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2DC6C3D6">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D94EAB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1FDA0FB9">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15E689F7">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3C30948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5003F31D">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61059536">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5936EA26">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5CCD24EA">
            <w:pPr>
              <w:bidi w:val="0"/>
              <w:jc w:val="center"/>
              <w:rPr>
                <w:rFonts w:hint="eastAsia" w:ascii="仿宋" w:hAnsi="仿宋" w:eastAsia="仿宋" w:cs="仿宋"/>
                <w:sz w:val="24"/>
                <w:szCs w:val="24"/>
              </w:rPr>
            </w:pPr>
          </w:p>
        </w:tc>
      </w:tr>
      <w:tr w14:paraId="7493B9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0EFB6B88">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01CA41C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D7B7135">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2E8D1392">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5BA3BCC1">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572DC02C">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01744344">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46DCE46E">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6E623AA8">
            <w:pPr>
              <w:bidi w:val="0"/>
              <w:jc w:val="center"/>
              <w:rPr>
                <w:rFonts w:hint="eastAsia" w:ascii="仿宋" w:hAnsi="仿宋" w:eastAsia="仿宋" w:cs="仿宋"/>
                <w:sz w:val="24"/>
                <w:szCs w:val="24"/>
              </w:rPr>
            </w:pPr>
          </w:p>
        </w:tc>
      </w:tr>
      <w:tr w14:paraId="4C7E5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5D338F6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3E95C4C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50AFF6A">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46200F7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735448E1">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71ACD86">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4FB855C3">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205158E1">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01E7B891">
            <w:pPr>
              <w:bidi w:val="0"/>
              <w:jc w:val="center"/>
              <w:rPr>
                <w:rFonts w:hint="eastAsia" w:ascii="仿宋" w:hAnsi="仿宋" w:eastAsia="仿宋" w:cs="仿宋"/>
                <w:sz w:val="24"/>
                <w:szCs w:val="24"/>
              </w:rPr>
            </w:pPr>
          </w:p>
        </w:tc>
      </w:tr>
      <w:tr w14:paraId="5872F2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62" w:type="pct"/>
            <w:tcBorders>
              <w:top w:val="single" w:color="auto" w:sz="4" w:space="0"/>
              <w:left w:val="single" w:color="auto" w:sz="12" w:space="0"/>
              <w:bottom w:val="single" w:color="auto" w:sz="12" w:space="0"/>
              <w:right w:val="single" w:color="auto" w:sz="4" w:space="0"/>
            </w:tcBorders>
            <w:noWrap/>
            <w:vAlign w:val="center"/>
          </w:tcPr>
          <w:p w14:paraId="7683CC53">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12" w:space="0"/>
              <w:right w:val="single" w:color="auto" w:sz="4" w:space="0"/>
            </w:tcBorders>
            <w:noWrap/>
            <w:vAlign w:val="center"/>
          </w:tcPr>
          <w:p w14:paraId="29355F2F">
            <w:pPr>
              <w:bidi w:val="0"/>
              <w:jc w:val="center"/>
              <w:rPr>
                <w:rFonts w:hint="eastAsia" w:ascii="仿宋" w:hAnsi="仿宋" w:eastAsia="仿宋" w:cs="仿宋"/>
                <w:sz w:val="24"/>
                <w:szCs w:val="24"/>
                <w:lang w:val="en-US" w:eastAsia="zh-CN"/>
              </w:rPr>
            </w:pPr>
            <w:bookmarkStart w:id="45" w:name="_Toc32106"/>
            <w:bookmarkStart w:id="46" w:name="_Toc21829"/>
            <w:bookmarkStart w:id="47" w:name="_Toc19124"/>
            <w:bookmarkStart w:id="48" w:name="_Toc29310"/>
            <w:bookmarkStart w:id="49" w:name="_Toc19191"/>
            <w:r>
              <w:rPr>
                <w:rFonts w:hint="eastAsia" w:ascii="仿宋" w:hAnsi="仿宋" w:eastAsia="仿宋" w:cs="仿宋"/>
                <w:sz w:val="24"/>
                <w:szCs w:val="24"/>
                <w:lang w:val="en-US" w:eastAsia="zh-CN"/>
              </w:rPr>
              <w:t>合计</w:t>
            </w:r>
            <w:bookmarkEnd w:id="45"/>
            <w:bookmarkEnd w:id="46"/>
            <w:bookmarkEnd w:id="47"/>
            <w:bookmarkEnd w:id="48"/>
            <w:bookmarkEnd w:id="49"/>
          </w:p>
        </w:tc>
        <w:tc>
          <w:tcPr>
            <w:tcW w:w="2620" w:type="pct"/>
            <w:gridSpan w:val="5"/>
            <w:tcBorders>
              <w:top w:val="single" w:color="auto" w:sz="4" w:space="0"/>
              <w:left w:val="single" w:color="auto" w:sz="4" w:space="0"/>
              <w:bottom w:val="single" w:color="auto" w:sz="12" w:space="0"/>
              <w:right w:val="single" w:color="auto" w:sz="4" w:space="0"/>
            </w:tcBorders>
            <w:noWrap/>
            <w:vAlign w:val="center"/>
          </w:tcPr>
          <w:p w14:paraId="1439977F">
            <w:pPr>
              <w:bidi w:val="0"/>
              <w:jc w:val="center"/>
              <w:rPr>
                <w:rFonts w:hint="eastAsia" w:ascii="仿宋" w:hAnsi="仿宋" w:eastAsia="仿宋" w:cs="仿宋"/>
                <w:sz w:val="24"/>
                <w:szCs w:val="24"/>
                <w:lang w:val="en-US" w:eastAsia="zh-CN"/>
              </w:rPr>
            </w:pPr>
            <w:bookmarkStart w:id="50" w:name="_Toc4152"/>
            <w:bookmarkStart w:id="51" w:name="_Toc2960"/>
            <w:bookmarkStart w:id="52" w:name="_Toc25331"/>
            <w:bookmarkStart w:id="53" w:name="_Toc14595"/>
            <w:bookmarkStart w:id="54" w:name="_Toc17082"/>
            <w:r>
              <w:rPr>
                <w:rFonts w:hint="eastAsia" w:ascii="仿宋" w:hAnsi="仿宋" w:eastAsia="仿宋" w:cs="仿宋"/>
                <w:sz w:val="24"/>
                <w:szCs w:val="24"/>
                <w:lang w:val="en-US" w:eastAsia="zh-CN"/>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46DDD719">
            <w:pPr>
              <w:bidi w:val="0"/>
              <w:jc w:val="center"/>
              <w:rPr>
                <w:rFonts w:hint="eastAsia" w:ascii="仿宋" w:hAnsi="仿宋" w:eastAsia="仿宋" w:cs="仿宋"/>
                <w:sz w:val="24"/>
                <w:szCs w:val="24"/>
                <w:lang w:val="en-US" w:eastAsia="zh-CN"/>
              </w:rPr>
            </w:pPr>
            <w:bookmarkStart w:id="55" w:name="_Toc29773"/>
            <w:bookmarkStart w:id="56" w:name="_Toc7999"/>
            <w:bookmarkStart w:id="57" w:name="_Toc10954"/>
            <w:bookmarkStart w:id="58" w:name="_Toc28580"/>
            <w:bookmarkStart w:id="59" w:name="_Toc13206"/>
            <w:r>
              <w:rPr>
                <w:rFonts w:hint="eastAsia" w:ascii="仿宋" w:hAnsi="仿宋" w:eastAsia="仿宋" w:cs="仿宋"/>
                <w:sz w:val="24"/>
                <w:szCs w:val="24"/>
                <w:lang w:val="en-US" w:eastAsia="zh-CN"/>
              </w:rPr>
              <w:t>¥</w:t>
            </w:r>
            <w:bookmarkEnd w:id="55"/>
            <w:bookmarkEnd w:id="56"/>
            <w:bookmarkEnd w:id="57"/>
            <w:bookmarkEnd w:id="58"/>
            <w:bookmarkEnd w:id="59"/>
          </w:p>
        </w:tc>
      </w:tr>
    </w:tbl>
    <w:p w14:paraId="0C4A248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highlight w:val="none"/>
        </w:rPr>
      </w:pPr>
      <w:bookmarkStart w:id="60" w:name="_Toc25260"/>
      <w:r>
        <w:rPr>
          <w:rFonts w:hint="eastAsia" w:ascii="仿宋" w:hAnsi="仿宋" w:eastAsia="仿宋" w:cs="仿宋"/>
          <w:b/>
          <w:bCs/>
          <w:highlight w:val="none"/>
        </w:rPr>
        <w:t>第二条 合同价款</w:t>
      </w:r>
      <w:bookmarkEnd w:id="60"/>
    </w:p>
    <w:p w14:paraId="30CF1A6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1" w:name="_Toc12829"/>
      <w:r>
        <w:rPr>
          <w:rFonts w:hint="eastAsia" w:ascii="仿宋" w:hAnsi="仿宋" w:eastAsia="仿宋" w:cs="仿宋"/>
          <w:highlight w:val="none"/>
        </w:rPr>
        <w:t>1、合同总价</w:t>
      </w:r>
      <w:r>
        <w:rPr>
          <w:rFonts w:hint="eastAsia" w:ascii="仿宋" w:hAnsi="仿宋" w:eastAsia="仿宋" w:cs="仿宋"/>
          <w:highlight w:val="none"/>
          <w:lang w:eastAsia="zh-CN"/>
        </w:rPr>
        <w:t>：</w:t>
      </w:r>
      <w:r>
        <w:rPr>
          <w:rFonts w:hint="eastAsia" w:ascii="仿宋" w:hAnsi="仿宋" w:eastAsia="仿宋" w:cs="仿宋"/>
          <w:highlight w:val="none"/>
        </w:rPr>
        <w:t>人民币（大写）</w:t>
      </w:r>
      <w:r>
        <w:rPr>
          <w:rFonts w:hint="eastAsia" w:ascii="仿宋" w:hAnsi="仿宋" w:eastAsia="仿宋" w:cs="仿宋"/>
          <w:highlight w:val="none"/>
          <w:u w:val="single"/>
        </w:rPr>
        <w:t xml:space="preserve">           </w:t>
      </w:r>
      <w:r>
        <w:rPr>
          <w:rFonts w:hint="eastAsia" w:ascii="仿宋" w:hAnsi="仿宋" w:eastAsia="仿宋" w:cs="仿宋"/>
          <w:highlight w:val="none"/>
        </w:rPr>
        <w:t>元，（</w:t>
      </w:r>
      <w:r>
        <w:rPr>
          <w:rFonts w:hint="eastAsia" w:ascii="宋体" w:hAnsi="宋体" w:eastAsia="宋体" w:cs="宋体"/>
          <w:b w:val="0"/>
          <w:sz w:val="21"/>
          <w:szCs w:val="21"/>
        </w:rPr>
        <w:t>¥</w:t>
      </w:r>
      <w:r>
        <w:rPr>
          <w:rFonts w:hint="eastAsia" w:ascii="宋体" w:hAnsi="宋体" w:eastAsia="宋体"/>
          <w:b w:val="0"/>
          <w:sz w:val="21"/>
          <w:szCs w:val="21"/>
          <w:u w:val="single"/>
        </w:rPr>
        <w:t xml:space="preserve">           </w:t>
      </w:r>
      <w:r>
        <w:rPr>
          <w:rFonts w:hint="eastAsia" w:ascii="仿宋" w:hAnsi="仿宋" w:eastAsia="仿宋" w:cs="仿宋"/>
          <w:highlight w:val="none"/>
        </w:rPr>
        <w:t>）。</w:t>
      </w:r>
      <w:bookmarkEnd w:id="61"/>
    </w:p>
    <w:p w14:paraId="29152C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2" w:name="_Toc29915"/>
      <w:r>
        <w:rPr>
          <w:rFonts w:hint="eastAsia" w:ascii="仿宋" w:hAnsi="仿宋" w:eastAsia="仿宋" w:cs="仿宋"/>
          <w:highlight w:val="none"/>
        </w:rPr>
        <w:t>2、本合同总价是</w:t>
      </w:r>
      <w:bookmarkEnd w:id="62"/>
      <w:r>
        <w:rPr>
          <w:rFonts w:hint="eastAsia" w:ascii="仿宋" w:hAnsi="仿宋" w:eastAsia="仿宋" w:cs="仿宋"/>
          <w:szCs w:val="24"/>
          <w:highlight w:val="none"/>
        </w:rPr>
        <w:t>供应商为完成本次</w:t>
      </w:r>
      <w:r>
        <w:rPr>
          <w:rFonts w:hint="eastAsia" w:ascii="仿宋" w:hAnsi="仿宋" w:eastAsia="仿宋" w:cs="仿宋"/>
          <w:szCs w:val="24"/>
          <w:highlight w:val="none"/>
          <w:lang w:eastAsia="zh-CN"/>
        </w:rPr>
        <w:t>谈判</w:t>
      </w:r>
      <w:r>
        <w:rPr>
          <w:rFonts w:hint="eastAsia" w:ascii="仿宋" w:hAnsi="仿宋" w:eastAsia="仿宋" w:cs="仿宋"/>
          <w:szCs w:val="24"/>
          <w:highlight w:val="none"/>
        </w:rPr>
        <w:t>所要求的货物、服务且验收合格的所有费用，包括但不限于产品(设备)费、材料、安装调试费、运杂费（含保险）、仓储保管费、检测费、劳务、风险、利润、规费、税金、验收、</w:t>
      </w:r>
      <w:r>
        <w:rPr>
          <w:rFonts w:hint="eastAsia" w:ascii="仿宋" w:hAnsi="仿宋" w:eastAsia="仿宋" w:cs="仿宋"/>
          <w:szCs w:val="24"/>
          <w:highlight w:val="none"/>
          <w:lang w:val="en-US" w:eastAsia="zh-CN"/>
        </w:rPr>
        <w:t>售后、</w:t>
      </w:r>
      <w:r>
        <w:rPr>
          <w:rFonts w:hint="eastAsia" w:ascii="仿宋" w:hAnsi="仿宋" w:eastAsia="仿宋" w:cs="仿宋"/>
          <w:szCs w:val="24"/>
          <w:highlight w:val="none"/>
        </w:rPr>
        <w:t>政策性文件规定的各项应有费用等其他一切相关费用。供应商所报的价格应考虑到可能发生的所有与完成本次</w:t>
      </w:r>
      <w:r>
        <w:rPr>
          <w:rFonts w:hint="eastAsia" w:ascii="仿宋" w:hAnsi="仿宋" w:eastAsia="仿宋" w:cs="仿宋"/>
          <w:szCs w:val="24"/>
          <w:highlight w:val="none"/>
          <w:lang w:eastAsia="zh-CN"/>
        </w:rPr>
        <w:t>谈判</w:t>
      </w:r>
      <w:r>
        <w:rPr>
          <w:rFonts w:hint="eastAsia" w:ascii="仿宋" w:hAnsi="仿宋" w:eastAsia="仿宋" w:cs="仿宋"/>
          <w:szCs w:val="24"/>
          <w:highlight w:val="none"/>
        </w:rPr>
        <w:t>相关货物、服务及履行合同义务有关的一切费用</w:t>
      </w:r>
      <w:r>
        <w:rPr>
          <w:rFonts w:hint="eastAsia" w:ascii="仿宋" w:hAnsi="仿宋" w:eastAsia="仿宋" w:cs="仿宋"/>
          <w:highlight w:val="none"/>
        </w:rPr>
        <w:t>。</w:t>
      </w:r>
    </w:p>
    <w:p w14:paraId="6A0BB5C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3" w:name="_Toc22881"/>
      <w:r>
        <w:rPr>
          <w:rFonts w:hint="eastAsia" w:ascii="仿宋" w:hAnsi="仿宋" w:eastAsia="仿宋" w:cs="仿宋"/>
          <w:highlight w:val="none"/>
        </w:rPr>
        <w:t>3、本合同总价还包含乙方应当提供的伴随服务和售后服务费用。</w:t>
      </w:r>
      <w:bookmarkEnd w:id="63"/>
    </w:p>
    <w:p w14:paraId="27366A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4" w:name="_Toc9657"/>
      <w:r>
        <w:rPr>
          <w:rFonts w:hint="eastAsia" w:ascii="仿宋" w:hAnsi="仿宋" w:eastAsia="仿宋" w:cs="仿宋"/>
          <w:highlight w:val="none"/>
        </w:rPr>
        <w:t>4、本合同执行期间合同总价不变，甲方无须另向乙方支付本合同规定之外的其他任何费用。</w:t>
      </w:r>
      <w:bookmarkEnd w:id="64"/>
    </w:p>
    <w:p w14:paraId="69FB62E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highlight w:val="none"/>
        </w:rPr>
      </w:pPr>
      <w:r>
        <w:rPr>
          <w:rFonts w:hint="eastAsia" w:ascii="仿宋" w:hAnsi="仿宋" w:eastAsia="仿宋" w:cs="仿宋"/>
          <w:b/>
          <w:bCs/>
          <w:highlight w:val="none"/>
        </w:rPr>
        <w:t>第三</w:t>
      </w:r>
      <w:r>
        <w:rPr>
          <w:rFonts w:hint="eastAsia" w:ascii="仿宋" w:hAnsi="仿宋" w:eastAsia="仿宋" w:cs="仿宋"/>
          <w:b/>
          <w:bCs/>
          <w:color w:val="auto"/>
          <w:highlight w:val="none"/>
        </w:rPr>
        <w:t>条</w:t>
      </w:r>
      <w:r>
        <w:rPr>
          <w:rFonts w:hint="eastAsia" w:ascii="仿宋" w:hAnsi="仿宋" w:eastAsia="仿宋" w:cs="仿宋"/>
          <w:b/>
          <w:bCs/>
          <w:color w:val="auto"/>
          <w:highlight w:val="none"/>
          <w:lang w:val="en-US" w:eastAsia="zh-CN"/>
        </w:rPr>
        <w:t xml:space="preserve"> </w:t>
      </w:r>
      <w:r>
        <w:rPr>
          <w:rFonts w:hint="eastAsia" w:ascii="仿宋" w:hAnsi="仿宋" w:eastAsia="仿宋" w:cs="仿宋"/>
          <w:b/>
          <w:bCs/>
          <w:color w:val="auto"/>
          <w:highlight w:val="none"/>
        </w:rPr>
        <w:t>款项结算</w:t>
      </w:r>
    </w:p>
    <w:p w14:paraId="0443494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highlight w:val="none"/>
        </w:rPr>
      </w:pPr>
      <w:bookmarkStart w:id="65" w:name="_Toc10542"/>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w:t>
      </w:r>
      <w:bookmarkEnd w:id="65"/>
    </w:p>
    <w:p w14:paraId="78AE70A7">
      <w:pPr>
        <w:pStyle w:val="3"/>
        <w:pageBreakBefore w:val="0"/>
        <w:kinsoku/>
        <w:wordWrap/>
        <w:overflowPunct/>
        <w:topLinePunct w:val="0"/>
        <w:autoSpaceDE/>
        <w:autoSpaceDN/>
        <w:bidi w:val="0"/>
        <w:adjustRightInd/>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权利保证</w:t>
      </w:r>
    </w:p>
    <w:p w14:paraId="5B91081B">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1、乙方保证对其出售的货物享有合法的权利。</w:t>
      </w:r>
    </w:p>
    <w:p w14:paraId="6E2771C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2、乙方保证对其出售的货物上不存在任何未曾向甲方透露的担保物权，如抵押权、质押权、留置权。</w:t>
      </w:r>
    </w:p>
    <w:p w14:paraId="32D618ED">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3、乙方保证对其出售的货物或其任何一部分没有侵犯第三方的专利权、版权、商标权或其他权利。</w:t>
      </w:r>
    </w:p>
    <w:p w14:paraId="4633A258">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4、如甲方在使用该货物构成上述侵权的，则由乙方承担全部责任。</w:t>
      </w:r>
    </w:p>
    <w:p w14:paraId="2325CF21">
      <w:pPr>
        <w:pStyle w:val="3"/>
        <w:pageBreakBefore w:val="0"/>
        <w:kinsoku/>
        <w:wordWrap/>
        <w:overflowPunct/>
        <w:topLinePunct w:val="0"/>
        <w:autoSpaceDE/>
        <w:autoSpaceDN/>
        <w:bidi w:val="0"/>
        <w:adjustRightInd/>
        <w:spacing w:line="50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第五条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交货时间与地点</w:t>
      </w:r>
    </w:p>
    <w:p w14:paraId="417F59B9">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乙方在合同签订生效之日起，按甲方指定时间、地点交货。</w:t>
      </w:r>
    </w:p>
    <w:p w14:paraId="432534F5">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1、交货安装期：</w:t>
      </w:r>
      <w:r>
        <w:rPr>
          <w:rFonts w:hint="eastAsia" w:ascii="仿宋" w:hAnsi="仿宋" w:eastAsia="仿宋" w:cs="仿宋"/>
          <w:color w:val="auto"/>
          <w:kern w:val="0"/>
          <w:sz w:val="24"/>
          <w:szCs w:val="24"/>
          <w:highlight w:val="none"/>
        </w:rPr>
        <w:t>合同签订生效之日起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个日历日供货安装调试</w:t>
      </w:r>
      <w:r>
        <w:rPr>
          <w:rFonts w:hint="eastAsia" w:ascii="仿宋" w:hAnsi="仿宋" w:eastAsia="仿宋" w:cs="仿宋"/>
          <w:color w:val="auto"/>
          <w:kern w:val="0"/>
          <w:sz w:val="24"/>
          <w:szCs w:val="24"/>
          <w:highlight w:val="none"/>
          <w:lang w:val="en-US" w:eastAsia="zh-CN"/>
        </w:rPr>
        <w:t>完毕，验收合格，投入使用</w:t>
      </w:r>
      <w:r>
        <w:rPr>
          <w:rFonts w:hint="eastAsia" w:ascii="仿宋" w:hAnsi="仿宋" w:eastAsia="仿宋" w:cs="仿宋"/>
          <w:color w:val="auto"/>
          <w:kern w:val="0"/>
          <w:sz w:val="24"/>
          <w:szCs w:val="24"/>
          <w:highlight w:val="none"/>
        </w:rPr>
        <w:t>。</w:t>
      </w:r>
    </w:p>
    <w:p w14:paraId="1EA2A146">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2、交货地点：甲方指定地点</w:t>
      </w:r>
    </w:p>
    <w:p w14:paraId="35386F5F">
      <w:pPr>
        <w:pStyle w:val="6"/>
        <w:pageBreakBefore w:val="0"/>
        <w:kinsoku/>
        <w:wordWrap/>
        <w:overflowPunct/>
        <w:topLinePunct w:val="0"/>
        <w:autoSpaceDE/>
        <w:autoSpaceDN/>
        <w:bidi w:val="0"/>
        <w:adjustRightInd/>
        <w:spacing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 xml:space="preserve">第六条 包装要求与运输方式  </w:t>
      </w:r>
    </w:p>
    <w:p w14:paraId="7E83B9EE">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1、除合同另有规定外，乙方提供的全部货物均应按标准保护措施进行包装，该包装应适应于远距离运输、防潮、防震、防锈和防野蛮装卸，以确保货物安全运抵指定地点。</w:t>
      </w:r>
    </w:p>
    <w:p w14:paraId="7C978E37">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2、每一包装单元应附详细的装箱单和质量合格证。</w:t>
      </w:r>
    </w:p>
    <w:p w14:paraId="3F65B07A">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3、货物（产品）运输方式</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w:t>
      </w:r>
    </w:p>
    <w:p w14:paraId="3D445888">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4、乙方负责货物（产品）运输，货物运输的合理损耗及计算方法。</w:t>
      </w:r>
    </w:p>
    <w:p w14:paraId="0FAF34FE">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第七条 质量保证</w:t>
      </w:r>
    </w:p>
    <w:p w14:paraId="482FD13F">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1、乙方须提供全新的、未使用过的合格正品货物（含零部件、配件等），完全符合合同规定的质量、规格和性能的要求。</w:t>
      </w:r>
    </w:p>
    <w:p w14:paraId="5D50A8B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2、乙方提供的节能和环保产品必须是列入政府采购清单的产品。</w:t>
      </w:r>
    </w:p>
    <w:p w14:paraId="3603325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3、质量标准按照最新颁布的国家标准、行业标准或制造商企业标准确定，上述标准不一致的，以严格标准为准。</w:t>
      </w:r>
    </w:p>
    <w:p w14:paraId="2AEC163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4、乙方所提供货物还应符合国家和陕西省有关安全、环保、节能之规定，“3C”认证的货物（产品）应加贴“3C”认证标志。</w:t>
      </w:r>
    </w:p>
    <w:p w14:paraId="62BD4D94">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5、货物制造质量出现问题，乙方应负责三包（包修、包换、包退），费用由乙方负担，甲方有权到乙方生产场地检查货物质量和生产进度。</w:t>
      </w:r>
    </w:p>
    <w:p w14:paraId="4AB2546A">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第八条 货物验收</w:t>
      </w:r>
    </w:p>
    <w:p w14:paraId="06205575">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0180F921">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2、乙方保证合同所有设备是全新的（包括零部件），其规格参数及配件不低于（符合）本项目谈判文件和响应文件的要求。</w:t>
      </w:r>
    </w:p>
    <w:p w14:paraId="06D6539A">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65568CEE">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4、设备采购从通过最终验收之日起进入保修期，提供原厂保修升级。</w:t>
      </w:r>
    </w:p>
    <w:p w14:paraId="058DEF72">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第九条 售后服务</w:t>
      </w:r>
    </w:p>
    <w:p w14:paraId="10D63792">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w:t>
      </w:r>
      <w:r>
        <w:rPr>
          <w:rFonts w:hint="eastAsia" w:ascii="仿宋" w:hAnsi="仿宋" w:eastAsia="仿宋" w:cs="仿宋"/>
          <w:szCs w:val="24"/>
          <w:highlight w:val="none"/>
          <w:lang w:val="en-US" w:eastAsia="zh-CN"/>
        </w:rPr>
        <w:t>乙方</w:t>
      </w:r>
      <w:r>
        <w:rPr>
          <w:rFonts w:hint="eastAsia" w:ascii="仿宋" w:hAnsi="仿宋" w:eastAsia="仿宋" w:cs="仿宋"/>
          <w:szCs w:val="24"/>
          <w:highlight w:val="none"/>
        </w:rPr>
        <w:t xml:space="preserve">派专人提供售后服务，并每月定期对所提供的软硬件设备、材料等进行巡检，做好巡检记录；                  </w:t>
      </w:r>
    </w:p>
    <w:p w14:paraId="1D52B8A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2、货物（产品）的现场安装、调试和启动监督；</w:t>
      </w:r>
    </w:p>
    <w:p w14:paraId="12D6964F">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3、就货物的安装、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2F62BF9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4、质保期自采购人在货物质量验收单（终验）上签字之日起计算，质保费用计入总价；</w:t>
      </w:r>
    </w:p>
    <w:p w14:paraId="7A5D59C0">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72777CC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6、服务响应时限：7*24小时服务，提供售后服务电话（应具有：固定电话、移动电话、传真）；</w:t>
      </w:r>
    </w:p>
    <w:p w14:paraId="5AB4D202">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7、成交供应商在接到采购人通知后维修工作时间不大于24小时，更换工作时间不大于72小时。</w:t>
      </w:r>
    </w:p>
    <w:p w14:paraId="7B4F612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8、在质保期内其保修期应相应延长。</w:t>
      </w:r>
    </w:p>
    <w:p w14:paraId="26208AA4">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9、所有货物服务方式均为成交供应商上门服务，即由成交供应商派员到货物使用现场维修，由此产生的一切费用均由成交供应商承担；</w:t>
      </w:r>
    </w:p>
    <w:p w14:paraId="2691774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10、质保期结束后的货物维修、维护由双方协商再定。</w:t>
      </w:r>
    </w:p>
    <w:p w14:paraId="3287B0EE">
      <w:pPr>
        <w:pStyle w:val="6"/>
        <w:pageBreakBefore w:val="0"/>
        <w:kinsoku/>
        <w:wordWrap/>
        <w:overflowPunct/>
        <w:topLinePunct w:val="0"/>
        <w:autoSpaceDE/>
        <w:autoSpaceDN/>
        <w:bidi w:val="0"/>
        <w:adjustRightInd/>
        <w:spacing w:after="156" w:afterLines="50"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第十条</w:t>
      </w:r>
      <w:r>
        <w:rPr>
          <w:rFonts w:hint="eastAsia" w:ascii="仿宋" w:hAnsi="仿宋" w:eastAsia="仿宋" w:cs="仿宋"/>
          <w:b/>
          <w:szCs w:val="24"/>
          <w:highlight w:val="none"/>
          <w:lang w:val="en-US" w:eastAsia="zh-CN"/>
        </w:rPr>
        <w:t xml:space="preserve"> </w:t>
      </w:r>
      <w:r>
        <w:rPr>
          <w:rFonts w:hint="eastAsia" w:ascii="仿宋" w:hAnsi="仿宋" w:eastAsia="仿宋" w:cs="仿宋"/>
          <w:b/>
          <w:szCs w:val="24"/>
          <w:highlight w:val="none"/>
        </w:rPr>
        <w:t>违约责任</w:t>
      </w:r>
    </w:p>
    <w:p w14:paraId="04FF234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1、甲方违约责任</w:t>
      </w:r>
    </w:p>
    <w:p w14:paraId="068215CE">
      <w:pPr>
        <w:pStyle w:val="6"/>
        <w:pageBreakBefore w:val="0"/>
        <w:kinsoku/>
        <w:wordWrap/>
        <w:overflowPunct/>
        <w:topLinePunct w:val="0"/>
        <w:autoSpaceDE/>
        <w:autoSpaceDN/>
        <w:bidi w:val="0"/>
        <w:adjustRightInd/>
        <w:spacing w:line="500" w:lineRule="exact"/>
        <w:ind w:firstLine="290" w:firstLineChars="121"/>
        <w:rPr>
          <w:rFonts w:hint="eastAsia" w:ascii="仿宋" w:hAnsi="仿宋" w:eastAsia="仿宋" w:cs="仿宋"/>
          <w:szCs w:val="24"/>
          <w:highlight w:val="none"/>
        </w:rPr>
      </w:pPr>
      <w:r>
        <w:rPr>
          <w:rFonts w:hint="eastAsia" w:ascii="仿宋" w:hAnsi="仿宋" w:eastAsia="仿宋" w:cs="仿宋"/>
          <w:szCs w:val="24"/>
          <w:highlight w:val="none"/>
        </w:rPr>
        <w:t>（1）甲方无正当理由拒收货物的，甲方应偿付合同总价3 %的违约金；</w:t>
      </w:r>
    </w:p>
    <w:p w14:paraId="3800DE7F">
      <w:pPr>
        <w:pStyle w:val="6"/>
        <w:pageBreakBefore w:val="0"/>
        <w:kinsoku/>
        <w:wordWrap/>
        <w:overflowPunct/>
        <w:topLinePunct w:val="0"/>
        <w:autoSpaceDE/>
        <w:autoSpaceDN/>
        <w:bidi w:val="0"/>
        <w:adjustRightInd/>
        <w:spacing w:line="500" w:lineRule="exact"/>
        <w:ind w:firstLine="290" w:firstLineChars="121"/>
        <w:rPr>
          <w:rFonts w:hint="eastAsia" w:ascii="仿宋" w:hAnsi="仿宋" w:eastAsia="仿宋" w:cs="仿宋"/>
          <w:szCs w:val="24"/>
          <w:highlight w:val="none"/>
        </w:rPr>
      </w:pPr>
      <w:r>
        <w:rPr>
          <w:rFonts w:hint="eastAsia" w:ascii="仿宋" w:hAnsi="仿宋" w:eastAsia="仿宋" w:cs="仿宋"/>
          <w:szCs w:val="24"/>
          <w:highlight w:val="none"/>
        </w:rPr>
        <w:t>（2）甲方逾期支付货款的，除应及时付足货款外，应向乙方每天支付欠款总额1‰的滞纳金；但累计滞纳金总额不超过欠款总额的1%。</w:t>
      </w:r>
    </w:p>
    <w:p w14:paraId="7FA47F5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2、乙方违约责任</w:t>
      </w:r>
    </w:p>
    <w:p w14:paraId="5E21C01E">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（1）如乙方不能交付货物，乙方应向甲方支付合同总价5％的违约金；</w:t>
      </w:r>
    </w:p>
    <w:p w14:paraId="2F221D41">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（2）乙方逾期交付货物的，每逾期1天，乙方向甲方偿付逾期交货部分货款总额的3‰的滞纳金。如乙方逾期交货达15天，甲方有权解除合同，解除合同的通知自到达乙方时生效；</w:t>
      </w:r>
    </w:p>
    <w:p w14:paraId="4353000F">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（3）乙方所交付的货物品种、型号、规格不符合合同规定的，甲方有权拒收。甲方拒收的，乙方应向甲方支付货款总额5%的违约金；</w:t>
      </w:r>
    </w:p>
    <w:p w14:paraId="5A30F823">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08062483">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275890E6">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（6）乙方未按本合同约定履行自身应尽义务的，应向甲方承担违约责任，按合同总价款的5 %向甲方支付违约金；该违约金的支付不影响乙方应承担的其他违约责任；</w:t>
      </w:r>
    </w:p>
    <w:p w14:paraId="78CC158A">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（7）乙方未按本合同的规定和“服务承诺”提供伴随服务/售后服务的，应按合同总价款的5%向甲方承担违约责任；</w:t>
      </w:r>
    </w:p>
    <w:p w14:paraId="21620E0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3EEAB36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（9）乙方偿付的违约金不足以弥补甲方损失的，还应按甲方损失尚未弥补的部分，支付赔偿金给甲方。</w:t>
      </w:r>
    </w:p>
    <w:p w14:paraId="0C35C950">
      <w:pPr>
        <w:pageBreakBefore w:val="0"/>
        <w:kinsoku/>
        <w:wordWrap/>
        <w:overflowPunct/>
        <w:topLinePunct w:val="0"/>
        <w:autoSpaceDE/>
        <w:autoSpaceDN/>
        <w:bidi w:val="0"/>
        <w:adjustRightInd/>
        <w:spacing w:before="156" w:beforeLines="50" w:after="156" w:afterLines="50" w:line="500" w:lineRule="exact"/>
        <w:rPr>
          <w:rFonts w:hint="eastAsia" w:ascii="仿宋" w:hAnsi="仿宋" w:eastAsia="仿宋" w:cs="仿宋"/>
          <w:szCs w:val="24"/>
          <w:highlight w:val="none"/>
        </w:rPr>
      </w:pPr>
      <w:r>
        <w:rPr>
          <w:rFonts w:hint="eastAsia" w:ascii="仿宋" w:hAnsi="仿宋" w:eastAsia="仿宋" w:cs="仿宋"/>
          <w:b/>
          <w:szCs w:val="24"/>
          <w:highlight w:val="none"/>
        </w:rPr>
        <w:t>第十一条 合同的变更和终止</w:t>
      </w:r>
    </w:p>
    <w:p w14:paraId="53916567">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b/>
          <w:szCs w:val="24"/>
          <w:highlight w:val="none"/>
        </w:rPr>
      </w:pPr>
      <w:r>
        <w:rPr>
          <w:rFonts w:hint="eastAsia" w:ascii="仿宋" w:hAnsi="仿宋" w:eastAsia="仿宋" w:cs="仿宋"/>
          <w:szCs w:val="24"/>
          <w:highlight w:val="none"/>
        </w:rPr>
        <w:t>除《中华人民共和国政府采购法》第49条、第50条第二款规定的情形外，本合同一经签订，甲乙双方不得擅自变更、中止或终止合同。</w:t>
      </w:r>
    </w:p>
    <w:p w14:paraId="6B668969">
      <w:pPr>
        <w:pageBreakBefore w:val="0"/>
        <w:kinsoku/>
        <w:wordWrap/>
        <w:overflowPunct/>
        <w:topLinePunct w:val="0"/>
        <w:autoSpaceDE/>
        <w:autoSpaceDN/>
        <w:bidi w:val="0"/>
        <w:adjustRightInd/>
        <w:spacing w:before="156" w:beforeLines="50" w:after="156" w:afterLines="50" w:line="500" w:lineRule="exact"/>
        <w:rPr>
          <w:rFonts w:hint="eastAsia" w:ascii="仿宋" w:hAnsi="仿宋" w:eastAsia="仿宋" w:cs="仿宋"/>
          <w:b/>
          <w:szCs w:val="24"/>
          <w:highlight w:val="none"/>
        </w:rPr>
      </w:pPr>
      <w:r>
        <w:rPr>
          <w:rFonts w:hint="eastAsia" w:ascii="仿宋" w:hAnsi="仿宋" w:eastAsia="仿宋" w:cs="仿宋"/>
          <w:b/>
          <w:szCs w:val="24"/>
          <w:highlight w:val="none"/>
        </w:rPr>
        <w:t>第十二条 争议的解决</w:t>
      </w:r>
    </w:p>
    <w:p w14:paraId="785D98EA">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1、因货物的质量问题发生争议，由质量技术监督部门或其指定的质量鉴定机构进行质量鉴定。货物符合标准的，鉴定费由甲方承担；货物不符合质量标准的，鉴定费由乙方承担。</w:t>
      </w:r>
    </w:p>
    <w:p w14:paraId="66974BBC">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2、因履行本合同引</w:t>
      </w:r>
      <w:r>
        <w:rPr>
          <w:rFonts w:hint="eastAsia" w:ascii="仿宋" w:hAnsi="仿宋" w:eastAsia="仿宋" w:cs="仿宋"/>
          <w:color w:val="auto"/>
          <w:szCs w:val="24"/>
          <w:highlight w:val="none"/>
        </w:rPr>
        <w:t>起的或与本合同有关的争议，甲、乙双方应首先通过友好协商解决，如果协商不成，则采取以下第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2</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种方</w:t>
      </w:r>
      <w:r>
        <w:rPr>
          <w:rFonts w:hint="eastAsia" w:ascii="仿宋" w:hAnsi="仿宋" w:eastAsia="仿宋" w:cs="仿宋"/>
          <w:szCs w:val="24"/>
          <w:highlight w:val="none"/>
        </w:rPr>
        <w:t>式解决争议：</w:t>
      </w:r>
    </w:p>
    <w:p w14:paraId="569EA32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（1）向甲方所在地有管辖权的人民法院提起诉讼；</w:t>
      </w:r>
    </w:p>
    <w:p w14:paraId="3D1D44CE">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（2）向</w:t>
      </w:r>
      <w:r>
        <w:rPr>
          <w:rFonts w:hint="eastAsia" w:ascii="仿宋" w:hAnsi="仿宋" w:eastAsia="仿宋" w:cs="仿宋"/>
          <w:szCs w:val="24"/>
          <w:highlight w:val="none"/>
          <w:u w:val="single"/>
        </w:rPr>
        <w:t>西安</w:t>
      </w:r>
      <w:r>
        <w:rPr>
          <w:rFonts w:hint="eastAsia" w:ascii="仿宋" w:hAnsi="仿宋" w:eastAsia="仿宋" w:cs="仿宋"/>
          <w:szCs w:val="24"/>
          <w:highlight w:val="none"/>
          <w:u w:val="single"/>
          <w:lang w:eastAsia="zh-CN"/>
        </w:rPr>
        <w:t>市</w:t>
      </w:r>
      <w:r>
        <w:rPr>
          <w:rFonts w:hint="eastAsia" w:ascii="仿宋" w:hAnsi="仿宋" w:eastAsia="仿宋" w:cs="仿宋"/>
          <w:szCs w:val="24"/>
          <w:highlight w:val="none"/>
        </w:rPr>
        <w:t>仲裁委员会按其仲裁规则申请仲裁。</w:t>
      </w:r>
    </w:p>
    <w:p w14:paraId="24A34346">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color w:val="auto"/>
          <w:szCs w:val="24"/>
          <w:highlight w:val="none"/>
        </w:rPr>
        <w:t>3．在仲</w:t>
      </w:r>
      <w:r>
        <w:rPr>
          <w:rFonts w:hint="eastAsia" w:ascii="仿宋" w:hAnsi="仿宋" w:eastAsia="仿宋" w:cs="仿宋"/>
          <w:szCs w:val="24"/>
          <w:highlight w:val="none"/>
        </w:rPr>
        <w:t>裁期间，本合同应继续履行。</w:t>
      </w:r>
    </w:p>
    <w:p w14:paraId="59A3D7CE">
      <w:pPr>
        <w:pageBreakBefore w:val="0"/>
        <w:kinsoku/>
        <w:wordWrap/>
        <w:overflowPunct/>
        <w:topLinePunct w:val="0"/>
        <w:autoSpaceDE/>
        <w:autoSpaceDN/>
        <w:bidi w:val="0"/>
        <w:adjustRightInd/>
        <w:snapToGrid w:val="0"/>
        <w:spacing w:before="156" w:beforeLines="50" w:after="156" w:afterLines="50" w:line="500" w:lineRule="exact"/>
        <w:textAlignment w:val="baseline"/>
        <w:rPr>
          <w:rFonts w:hint="eastAsia" w:ascii="仿宋" w:hAnsi="仿宋" w:eastAsia="仿宋" w:cs="仿宋"/>
          <w:b/>
          <w:szCs w:val="24"/>
          <w:highlight w:val="none"/>
        </w:rPr>
      </w:pPr>
      <w:r>
        <w:rPr>
          <w:rFonts w:hint="eastAsia" w:ascii="仿宋" w:hAnsi="仿宋" w:eastAsia="仿宋" w:cs="仿宋"/>
          <w:b/>
          <w:szCs w:val="24"/>
          <w:highlight w:val="none"/>
        </w:rPr>
        <w:t>第十三条 合同生效及其他</w:t>
      </w:r>
    </w:p>
    <w:p w14:paraId="5DD02610">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1、如有未尽事宜，由双方依法订立补充合同。</w:t>
      </w:r>
    </w:p>
    <w:p w14:paraId="2D825D2D">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2、本合同自签订之日起生效。</w:t>
      </w:r>
    </w:p>
    <w:p w14:paraId="0B991ACE">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3、本合同一式</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份，具有同等法律效力，甲乙双方各执</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份，一份报送政府采购监督管理部门备案。</w:t>
      </w:r>
    </w:p>
    <w:p w14:paraId="7751ECD3">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 xml:space="preserve">甲方：   （盖章）              </w:t>
      </w:r>
      <w:r>
        <w:rPr>
          <w:rFonts w:hint="eastAsia" w:ascii="仿宋" w:hAnsi="仿宋" w:eastAsia="仿宋" w:cs="仿宋"/>
          <w:szCs w:val="24"/>
          <w:highlight w:val="none"/>
        </w:rPr>
        <w:tab/>
      </w:r>
      <w:r>
        <w:rPr>
          <w:rFonts w:hint="eastAsia" w:ascii="仿宋" w:hAnsi="仿宋" w:eastAsia="仿宋" w:cs="仿宋"/>
          <w:szCs w:val="24"/>
          <w:highlight w:val="none"/>
        </w:rPr>
        <w:t xml:space="preserve"> 乙方：   （盖章）</w:t>
      </w:r>
    </w:p>
    <w:p w14:paraId="70A254A6">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法定代表人/授权代表：               法定代表人/授权代表：</w:t>
      </w:r>
    </w:p>
    <w:p w14:paraId="648666ED">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地    址：                          地    址：</w:t>
      </w:r>
    </w:p>
    <w:p w14:paraId="5CA16C5D">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开户银行：                          开户银行：</w:t>
      </w:r>
    </w:p>
    <w:p w14:paraId="108F553B">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账    号：                          账    号：</w:t>
      </w:r>
    </w:p>
    <w:p w14:paraId="73E90581">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电    话：                          电    话：</w:t>
      </w:r>
    </w:p>
    <w:p w14:paraId="5E5FFE2B">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传    真：                          传    真：</w:t>
      </w:r>
    </w:p>
    <w:p w14:paraId="6E8006FF">
      <w:pPr>
        <w:pageBreakBefore w:val="0"/>
        <w:kinsoku/>
        <w:wordWrap/>
        <w:overflowPunct/>
        <w:topLinePunct w:val="0"/>
        <w:autoSpaceDE/>
        <w:autoSpaceDN/>
        <w:bidi w:val="0"/>
        <w:adjustRightInd/>
        <w:spacing w:before="156" w:beforeLines="50" w:after="156" w:afterLines="50" w:line="500" w:lineRule="exact"/>
        <w:ind w:firstLine="480" w:firstLineChars="200"/>
        <w:rPr>
          <w:rFonts w:ascii="仿宋_GB2312" w:hAnsi="仿宋_GB2312" w:eastAsia="仿宋_GB2312" w:cs="仿宋_GB2312"/>
          <w:sz w:val="32"/>
          <w:szCs w:val="32"/>
          <w:highlight w:val="none"/>
        </w:rPr>
      </w:pPr>
      <w:r>
        <w:rPr>
          <w:rFonts w:hint="eastAsia" w:ascii="仿宋" w:hAnsi="仿宋" w:eastAsia="仿宋" w:cs="仿宋"/>
          <w:szCs w:val="24"/>
          <w:highlight w:val="none"/>
        </w:rPr>
        <w:t>签约日期：    年  月  日            签约日期：    年  月  日</w:t>
      </w:r>
    </w:p>
    <w:p w14:paraId="35B50BA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4380C"/>
    <w:rsid w:val="074E4A2F"/>
    <w:rsid w:val="0FEE5277"/>
    <w:rsid w:val="19F400EC"/>
    <w:rsid w:val="1A6A7BF0"/>
    <w:rsid w:val="1A7D5B75"/>
    <w:rsid w:val="332E5320"/>
    <w:rsid w:val="34945B3E"/>
    <w:rsid w:val="5B941FF9"/>
    <w:rsid w:val="6E0C3E5E"/>
    <w:rsid w:val="71075D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customStyle="1" w:styleId="6">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3189</Words>
  <Characters>3212</Characters>
  <Lines>0</Lines>
  <Paragraphs>0</Paragraphs>
  <TotalTime>15</TotalTime>
  <ScaleCrop>false</ScaleCrop>
  <LinksUpToDate>false</LinksUpToDate>
  <CharactersWithSpaces>3626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2025-06-05T06:25:00Z</dcterms:created>
  <dc:creator>Administrator</dc:creator>
  <cp:lastModifiedBy>王江霞</cp:lastModifiedBy>
  <dcterms:modified xsi:type="dcterms:W3CDTF">2026-06-04T07:33:38Z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eyJoZGlkIjoiYWRiMGUwZTc3MmEzMzI3YzdmZTNiOTI5MzdjMDExNzIiLCJ1c2VySWQiOiIxNDU1Njc3MTQ5In0=</vt:lpwstr>
  </property>
  <property fmtid="{D5CDD505-2E9C-101B-9397-08002B2CF9AE}" pid="4" name="ICV">
    <vt:lpwstr>DF33A28B3F29400EA7BAAC1AB7F2CBCE_13</vt:lpwstr>
  </property>
</Properties>
</file>