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版本号：HXGJXM2026-ZC-GK102320260515001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自平衡式结构反力智能测试系统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HXGJXM2026-ZC-GK1023</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自平衡式结构反力智能测试系统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HXGJXM2026-ZC-GK1023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自平衡式结构反力智能测试系统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自平衡式结构反力智能测试系统。具体详见招标文件第三章相关要求。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采购包1（自平衡式结构反力智能测试系统）：属于专门面向中小企业采购。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书：法定代表人授权书（附法定代表人、被授权人身份证复印件及被授权人投标截止日前一年内在本单位已缴存的至少一个月的社会保险参保缴费证明)；法定代表人直接参加投标，须提供法定代表人身份证明。</w:t>
      </w:r>
    </w:p>
    <w:p>
      <w:pPr>
        <w:pStyle w:val="null3"/>
      </w:pPr>
      <w:r>
        <w:rPr>
          <w:rFonts w:ascii="仿宋_GB2312" w:hAnsi="仿宋_GB2312" w:cs="仿宋_GB2312" w:eastAsia="仿宋_GB2312"/>
        </w:rPr>
        <w:t>2、信用记录：供应商未被“信用中国”网站（www.creditchina.gov.cn）列入失信被执行人和重大税收违法失信主体，未被中国政府采购网（www.ccgp.gov.cn）列入政府采购严重违法失信行为记录名单。（以开标现场代理机构在“信用中国”网站和“中国政府采购网”查询结果为准）。</w:t>
      </w:r>
    </w:p>
    <w:p>
      <w:pPr>
        <w:pStyle w:val="null3"/>
      </w:pPr>
      <w:r>
        <w:rPr>
          <w:rFonts w:ascii="仿宋_GB2312" w:hAnsi="仿宋_GB2312" w:cs="仿宋_GB2312" w:eastAsia="仿宋_GB2312"/>
        </w:rPr>
        <w:t>3、投标保证金：投标保证金缴纳凭证或担保机构出具的保函。</w:t>
      </w:r>
    </w:p>
    <w:p>
      <w:pPr>
        <w:pStyle w:val="null3"/>
      </w:pPr>
      <w:r>
        <w:rPr>
          <w:rFonts w:ascii="仿宋_GB2312" w:hAnsi="仿宋_GB2312" w:cs="仿宋_GB2312" w:eastAsia="仿宋_GB2312"/>
        </w:rPr>
        <w:t>4、非联合体：本项目不允许联合体投标。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涂老师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029-61125883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西安市莲湖区二环南路西段202号九座花园16楼1605</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张宝育、康敏茹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029-88899970-808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开户名称：华夏国际项目管理（西安）有限公司</w:t>
            </w:r>
          </w:p>
          <w:p>
            <w:pPr>
              <w:pStyle w:val="null3"/>
            </w:pPr>
            <w:r>
              <w:rPr>
                <w:rFonts w:ascii="仿宋_GB2312" w:hAnsi="仿宋_GB2312" w:cs="仿宋_GB2312" w:eastAsia="仿宋_GB2312"/>
              </w:rPr>
              <w:t>开户银行：工行西安城南科技支行</w:t>
            </w:r>
          </w:p>
          <w:p>
            <w:pPr>
              <w:pStyle w:val="null3"/>
            </w:pPr>
            <w:r>
              <w:rPr>
                <w:rFonts w:ascii="仿宋_GB2312" w:hAnsi="仿宋_GB2312" w:cs="仿宋_GB2312" w:eastAsia="仿宋_GB2312"/>
              </w:rPr>
              <w:t>银行账号：3700024819200130193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说明：履约保证金金额为合同总价的5% 。在签订政府采购合同前，中标供应商向采购人缴纳履约保证金，最终验收合格后采购人无息退还。注：转账时备注项目名称。</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预算在80万元（含）以上400万元（不含）以下，参照《招标代理服务收费暂行办法》（计价格[2002]1980号）文件及（发改办价格[2011]534号）规定收费标准下浮20%向中标人收取。成交单位在领取成交通知书前，须向采购代理机构一次性支付代理服务费。 代理服务费账号： 开户名称：华夏国际项目管理（西安）有限公司第一分公司 银行账号：78620188000199459 开户行：中国光大银行股份有限公司西安科技六路支行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一、中标供应商货物经过双方检验认可后，签署验收报告，产品保修期自验收合格之日起算，由中标供应商提供产品保修文件。 二、当满足以下条件时，采购人才向中标供应商签发货物验收报告： 1、中标供应商已按照合同规定提供了全部产品及完整的技术资料。 2、货物符合招标文件和投标文件技术规格要求，性能满足要求。 3、货物具备产品合格证。 三、其他要求： 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采购人提供验收构件进行满量程载荷测试，关键参数与合同技术参数值对比，性能要求满足合同要求。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联系人：张宝育、康敏茹</w:t>
      </w:r>
    </w:p>
    <w:p>
      <w:pPr>
        <w:pStyle w:val="null3"/>
      </w:pPr>
      <w:r>
        <w:rPr>
          <w:rFonts w:ascii="仿宋_GB2312" w:hAnsi="仿宋_GB2312" w:cs="仿宋_GB2312" w:eastAsia="仿宋_GB2312"/>
        </w:rPr>
        <w:t>联系电话：029-88899970-808</w:t>
      </w:r>
    </w:p>
    <w:p>
      <w:pPr>
        <w:pStyle w:val="null3"/>
      </w:pPr>
      <w:r>
        <w:rPr>
          <w:rFonts w:ascii="仿宋_GB2312" w:hAnsi="仿宋_GB2312" w:cs="仿宋_GB2312" w:eastAsia="仿宋_GB2312"/>
        </w:rPr>
        <w:t>地址：西安市莲湖区二环南路西段202号九座花园16楼1605</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自平衡式结构反力智能测试系统，具体详见技术要求。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1,280,000.00</w:t>
      </w:r>
    </w:p>
    <w:p>
      <w:pPr>
        <w:pStyle w:val="null3"/>
      </w:pPr>
      <w:r>
        <w:rPr>
          <w:rFonts w:ascii="仿宋_GB2312" w:hAnsi="仿宋_GB2312" w:cs="仿宋_GB2312" w:eastAsia="仿宋_GB2312"/>
        </w:rPr>
        <w:t>采购包最高限价（元）: 1,280,000.00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自平衡式结构反力智能测试系统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1,280,000.00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标的名称：自平衡式结构反力智能测试系统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color w:val="000000"/>
              </w:rPr>
              <w:t>一、主机框架</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自平衡式结构反力智能测试系统框架内部尺寸：长</w:t>
            </w:r>
            <w:r>
              <w:rPr>
                <w:rFonts w:ascii="仿宋_GB2312" w:hAnsi="仿宋_GB2312" w:cs="仿宋_GB2312" w:eastAsia="仿宋_GB2312"/>
                <w:sz w:val="21"/>
                <w:color w:val="000000"/>
              </w:rPr>
              <w:t>≥5000mm，高≥5000mm;</w:t>
            </w:r>
          </w:p>
          <w:p>
            <w:pPr>
              <w:pStyle w:val="null3"/>
              <w:ind w:left="210"/>
            </w:pPr>
            <w:r>
              <w:rPr>
                <w:rFonts w:ascii="仿宋_GB2312" w:hAnsi="仿宋_GB2312" w:cs="仿宋_GB2312" w:eastAsia="仿宋_GB2312"/>
                <w:sz w:val="21"/>
                <w:color w:val="000000"/>
              </w:rPr>
              <w:t>垂向承载</w:t>
            </w:r>
            <w:r>
              <w:rPr>
                <w:rFonts w:ascii="仿宋_GB2312" w:hAnsi="仿宋_GB2312" w:cs="仿宋_GB2312" w:eastAsia="仿宋_GB2312"/>
                <w:sz w:val="21"/>
                <w:color w:val="000000"/>
              </w:rPr>
              <w:t>≥200吨，水平承载≥100吨，极限载荷下横梁竖向变形小于1/1500L，L为梁跨度。</w:t>
            </w:r>
          </w:p>
          <w:p>
            <w:pPr>
              <w:pStyle w:val="null3"/>
            </w:pPr>
            <w:r>
              <w:rPr>
                <w:rFonts w:ascii="仿宋_GB2312" w:hAnsi="仿宋_GB2312" w:cs="仿宋_GB2312" w:eastAsia="仿宋_GB2312"/>
                <w:sz w:val="21"/>
                <w:color w:val="000000"/>
              </w:rPr>
              <w:t>▲2、带有液压升降功能。</w:t>
            </w:r>
            <w:r>
              <w:rPr>
                <w:rFonts w:ascii="仿宋_GB2312" w:hAnsi="仿宋_GB2312" w:cs="仿宋_GB2312" w:eastAsia="仿宋_GB2312"/>
                <w:sz w:val="21"/>
                <w:b/>
                <w:color w:val="000000"/>
              </w:rPr>
              <w:t>（投标人需提供详细的升降方案三维图。）</w:t>
            </w:r>
          </w:p>
          <w:p>
            <w:pPr>
              <w:pStyle w:val="null3"/>
              <w:ind w:left="435"/>
            </w:pPr>
            <w:r>
              <w:rPr>
                <w:rFonts w:ascii="仿宋_GB2312" w:hAnsi="仿宋_GB2312" w:cs="仿宋_GB2312" w:eastAsia="仿宋_GB2312"/>
                <w:sz w:val="21"/>
                <w:color w:val="000000"/>
              </w:rPr>
              <w:t>▲3、提供该系统能进行2种十字节点滞回试验的三维示意图供采购人参考，以备后期采购人进行功能扩展。</w:t>
            </w:r>
          </w:p>
          <w:p>
            <w:pPr>
              <w:pStyle w:val="null3"/>
              <w:ind w:left="435"/>
            </w:pPr>
            <w:r>
              <w:rPr>
                <w:rFonts w:ascii="仿宋_GB2312" w:hAnsi="仿宋_GB2312" w:cs="仿宋_GB2312" w:eastAsia="仿宋_GB2312"/>
                <w:sz w:val="21"/>
                <w:color w:val="000000"/>
              </w:rPr>
              <w:t>★4、提供有加载框架有限元分析计</w:t>
            </w:r>
            <w:r>
              <w:rPr>
                <w:rFonts w:ascii="仿宋_GB2312" w:hAnsi="仿宋_GB2312" w:cs="仿宋_GB2312" w:eastAsia="仿宋_GB2312"/>
                <w:sz w:val="21"/>
                <w:color w:val="000000"/>
              </w:rPr>
              <w:t>算（至少包括极限承载、固有频率）。满足作动器的加载频率使用要求和横梁竖向变形。</w:t>
            </w:r>
          </w:p>
          <w:p>
            <w:pPr>
              <w:pStyle w:val="null3"/>
              <w:ind w:left="435"/>
            </w:pPr>
            <w:r>
              <w:rPr>
                <w:rFonts w:ascii="仿宋_GB2312" w:hAnsi="仿宋_GB2312" w:cs="仿宋_GB2312" w:eastAsia="仿宋_GB2312"/>
                <w:sz w:val="21"/>
                <w:color w:val="000000"/>
              </w:rPr>
              <w:t>5、配有水平滑动装置，可实现≥2000kN垂向压力和≥1000kN拉力；行程±300mm；采用线性滑轨滑块组合形式，直线导轨；摩擦系数≤0.01；可沿横梁全长任意移动。</w:t>
            </w:r>
          </w:p>
          <w:p>
            <w:pPr>
              <w:pStyle w:val="null3"/>
              <w:ind w:left="435"/>
            </w:pPr>
            <w:r>
              <w:rPr>
                <w:rFonts w:ascii="仿宋_GB2312" w:hAnsi="仿宋_GB2312" w:cs="仿宋_GB2312" w:eastAsia="仿宋_GB2312"/>
                <w:sz w:val="21"/>
                <w:color w:val="000000"/>
              </w:rPr>
              <w:t>6、配备墙、柱式构件加载辅具，用于完成轴向恒压加载和水平向低周反复加载；配有柱式构件底部固定装置：1000mm拉杆4根，格构件2件，机械千斤顶2只，前后固定小梁2件；柱式构件顶部固定装置：前后挡板及拉杆。</w:t>
            </w:r>
          </w:p>
          <w:p>
            <w:pPr>
              <w:pStyle w:val="null3"/>
            </w:pPr>
            <w:r>
              <w:rPr>
                <w:rFonts w:ascii="仿宋_GB2312" w:hAnsi="仿宋_GB2312" w:cs="仿宋_GB2312" w:eastAsia="仿宋_GB2312"/>
                <w:sz w:val="21"/>
              </w:rPr>
              <w:t>7、简支梁辅具：配有固定端铰支座和滑动端铰支座一套；支墩尺寸≥400mm*400mm*800mm；分配梁≥1500mm，承载力≥2000kN。</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color w:val="000000"/>
              </w:rPr>
              <w:t>二、垂向电液伺服作动器</w:t>
            </w:r>
          </w:p>
          <w:p>
            <w:pPr>
              <w:pStyle w:val="null3"/>
              <w:ind w:left="435"/>
            </w:pPr>
            <w:r>
              <w:rPr>
                <w:rFonts w:ascii="仿宋_GB2312" w:hAnsi="仿宋_GB2312" w:cs="仿宋_GB2312" w:eastAsia="仿宋_GB2312"/>
                <w:sz w:val="21"/>
                <w:color w:val="000000"/>
              </w:rPr>
              <w:t>8、最大试验推力：</w:t>
            </w:r>
            <w:r>
              <w:rPr>
                <w:rFonts w:ascii="仿宋_GB2312" w:hAnsi="仿宋_GB2312" w:cs="仿宋_GB2312" w:eastAsia="仿宋_GB2312"/>
                <w:sz w:val="21"/>
                <w:color w:val="000000"/>
              </w:rPr>
              <w:t>≥</w:t>
            </w:r>
            <w:r>
              <w:rPr>
                <w:rFonts w:ascii="仿宋_GB2312" w:hAnsi="仿宋_GB2312" w:cs="仿宋_GB2312" w:eastAsia="仿宋_GB2312"/>
                <w:sz w:val="21"/>
                <w:color w:val="000000"/>
              </w:rPr>
              <w:t>2000kN；最大试验拉力：</w:t>
            </w:r>
            <w:r>
              <w:rPr>
                <w:rFonts w:ascii="仿宋_GB2312" w:hAnsi="仿宋_GB2312" w:cs="仿宋_GB2312" w:eastAsia="仿宋_GB2312"/>
                <w:sz w:val="21"/>
                <w:color w:val="000000"/>
              </w:rPr>
              <w:t>≥</w:t>
            </w:r>
            <w:r>
              <w:rPr>
                <w:rFonts w:ascii="仿宋_GB2312" w:hAnsi="仿宋_GB2312" w:cs="仿宋_GB2312" w:eastAsia="仿宋_GB2312"/>
                <w:sz w:val="21"/>
                <w:color w:val="000000"/>
              </w:rPr>
              <w:t>1000kN。</w:t>
            </w:r>
          </w:p>
          <w:p>
            <w:pPr>
              <w:pStyle w:val="null3"/>
              <w:ind w:left="435"/>
            </w:pPr>
            <w:r>
              <w:rPr>
                <w:rFonts w:ascii="仿宋_GB2312" w:hAnsi="仿宋_GB2312" w:cs="仿宋_GB2312" w:eastAsia="仿宋_GB2312"/>
                <w:sz w:val="21"/>
                <w:color w:val="000000"/>
              </w:rPr>
              <w:t>9、作动器行程：</w:t>
            </w:r>
            <w:r>
              <w:rPr>
                <w:rFonts w:ascii="仿宋_GB2312" w:hAnsi="仿宋_GB2312" w:cs="仿宋_GB2312" w:eastAsia="仿宋_GB2312"/>
                <w:sz w:val="21"/>
                <w:color w:val="000000"/>
              </w:rPr>
              <w:t>≥</w:t>
            </w:r>
            <w:r>
              <w:rPr>
                <w:rFonts w:ascii="仿宋_GB2312" w:hAnsi="仿宋_GB2312" w:cs="仿宋_GB2312" w:eastAsia="仿宋_GB2312"/>
                <w:sz w:val="21"/>
                <w:color w:val="000000"/>
              </w:rPr>
              <w:t>200mm。</w:t>
            </w:r>
          </w:p>
          <w:p>
            <w:pPr>
              <w:pStyle w:val="null3"/>
              <w:ind w:left="435"/>
            </w:pPr>
            <w:r>
              <w:rPr>
                <w:rFonts w:ascii="仿宋_GB2312" w:hAnsi="仿宋_GB2312" w:cs="仿宋_GB2312" w:eastAsia="仿宋_GB2312"/>
                <w:sz w:val="21"/>
                <w:color w:val="000000"/>
              </w:rPr>
              <w:t>10、结构形式：单出杆双作用。</w:t>
            </w:r>
          </w:p>
          <w:p>
            <w:pPr>
              <w:pStyle w:val="null3"/>
              <w:ind w:left="435"/>
            </w:pPr>
            <w:r>
              <w:rPr>
                <w:rFonts w:ascii="仿宋_GB2312" w:hAnsi="仿宋_GB2312" w:cs="仿宋_GB2312" w:eastAsia="仿宋_GB2312"/>
                <w:sz w:val="21"/>
                <w:color w:val="000000"/>
              </w:rPr>
              <w:t>11、作动器连接方式：前端球头+后端法兰，球头旋转角度：360°，倾斜角度：±7°。</w:t>
            </w:r>
          </w:p>
          <w:p>
            <w:pPr>
              <w:pStyle w:val="null3"/>
              <w:ind w:left="435"/>
            </w:pPr>
            <w:r>
              <w:rPr>
                <w:rFonts w:ascii="仿宋_GB2312" w:hAnsi="仿宋_GB2312" w:cs="仿宋_GB2312" w:eastAsia="仿宋_GB2312"/>
                <w:sz w:val="21"/>
                <w:color w:val="000000"/>
              </w:rPr>
              <w:t>12、力值精度为示值的±1%以内（4%-100%量程范围内）。</w:t>
            </w:r>
          </w:p>
          <w:p>
            <w:pPr>
              <w:pStyle w:val="null3"/>
              <w:ind w:left="435"/>
            </w:pPr>
            <w:r>
              <w:rPr>
                <w:rFonts w:ascii="仿宋_GB2312" w:hAnsi="仿宋_GB2312" w:cs="仿宋_GB2312" w:eastAsia="仿宋_GB2312"/>
                <w:sz w:val="21"/>
                <w:color w:val="000000"/>
              </w:rPr>
              <w:t>13、测力方式：油压传感器。</w:t>
            </w:r>
          </w:p>
          <w:p>
            <w:pPr>
              <w:pStyle w:val="null3"/>
              <w:ind w:left="435"/>
            </w:pPr>
            <w:r>
              <w:rPr>
                <w:rFonts w:ascii="仿宋_GB2312" w:hAnsi="仿宋_GB2312" w:cs="仿宋_GB2312" w:eastAsia="仿宋_GB2312"/>
                <w:sz w:val="21"/>
                <w:color w:val="000000"/>
              </w:rPr>
              <w:t>14、位移精度为0.1%FS，位移分辨率：0.01mm。</w:t>
            </w:r>
          </w:p>
          <w:p>
            <w:pPr>
              <w:pStyle w:val="null3"/>
              <w:ind w:left="435"/>
            </w:pPr>
            <w:r>
              <w:rPr>
                <w:rFonts w:ascii="仿宋_GB2312" w:hAnsi="仿宋_GB2312" w:cs="仿宋_GB2312" w:eastAsia="仿宋_GB2312"/>
                <w:sz w:val="21"/>
                <w:color w:val="000000"/>
              </w:rPr>
              <w:t>15、伺服阀:最大工作压力≥35 MPa；阶跃响应≤20ms ；分辨率＜0.1% ；滞环＜0.2%；零漂＜1.5%；零位泄漏量≤1.2L/min。</w:t>
            </w:r>
          </w:p>
          <w:p>
            <w:pPr>
              <w:pStyle w:val="null3"/>
              <w:ind w:left="435"/>
            </w:pPr>
            <w:r>
              <w:rPr>
                <w:rFonts w:ascii="仿宋_GB2312" w:hAnsi="仿宋_GB2312" w:cs="仿宋_GB2312" w:eastAsia="仿宋_GB2312"/>
                <w:sz w:val="21"/>
              </w:rPr>
              <w:t>16、</w:t>
            </w:r>
            <w:r>
              <w:rPr>
                <w:rFonts w:ascii="仿宋_GB2312" w:hAnsi="仿宋_GB2312" w:cs="仿宋_GB2312" w:eastAsia="仿宋_GB2312"/>
                <w:sz w:val="21"/>
              </w:rPr>
              <w:t>配置控制电缆及接头，具有屏蔽好，抗干扰能力强，结实耐用，易安装拆卸等特点。</w:t>
            </w:r>
          </w:p>
          <w:p>
            <w:pPr>
              <w:pStyle w:val="null3"/>
              <w:ind w:left="435"/>
            </w:pPr>
            <w:r>
              <w:rPr>
                <w:rFonts w:ascii="仿宋_GB2312" w:hAnsi="仿宋_GB2312" w:cs="仿宋_GB2312" w:eastAsia="仿宋_GB2312"/>
                <w:sz w:val="21"/>
              </w:rPr>
              <w:t>17、</w:t>
            </w:r>
            <w:r>
              <w:rPr>
                <w:rFonts w:ascii="仿宋_GB2312" w:hAnsi="仿宋_GB2312" w:cs="仿宋_GB2312" w:eastAsia="仿宋_GB2312"/>
                <w:sz w:val="21"/>
              </w:rPr>
              <w:t>配置液压软管及接头，具有密闭抗压性好易安装等特点。</w:t>
            </w:r>
          </w:p>
          <w:p>
            <w:pPr>
              <w:pStyle w:val="null3"/>
            </w:pP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最高工作频率不低于</w:t>
            </w:r>
            <w:r>
              <w:rPr>
                <w:rFonts w:ascii="仿宋_GB2312" w:hAnsi="仿宋_GB2312" w:cs="仿宋_GB2312" w:eastAsia="仿宋_GB2312"/>
                <w:sz w:val="21"/>
              </w:rPr>
              <w:t>10Hz。</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left="435"/>
            </w:pPr>
            <w:r>
              <w:rPr>
                <w:rFonts w:ascii="仿宋_GB2312" w:hAnsi="仿宋_GB2312" w:cs="仿宋_GB2312" w:eastAsia="仿宋_GB2312"/>
                <w:sz w:val="21"/>
                <w:b/>
                <w:color w:val="000000"/>
              </w:rPr>
              <w:t>三、水平向电液伺服作动器</w:t>
            </w:r>
          </w:p>
          <w:p>
            <w:pPr>
              <w:pStyle w:val="null3"/>
              <w:ind w:left="435"/>
            </w:pPr>
            <w:r>
              <w:rPr>
                <w:rFonts w:ascii="仿宋_GB2312" w:hAnsi="仿宋_GB2312" w:cs="仿宋_GB2312" w:eastAsia="仿宋_GB2312"/>
                <w:sz w:val="21"/>
              </w:rPr>
              <w:t>19、</w:t>
            </w:r>
            <w:r>
              <w:rPr>
                <w:rFonts w:ascii="仿宋_GB2312" w:hAnsi="仿宋_GB2312" w:cs="仿宋_GB2312" w:eastAsia="仿宋_GB2312"/>
                <w:sz w:val="22"/>
              </w:rPr>
              <w:t>最大试验推力：</w:t>
            </w:r>
            <w:r>
              <w:rPr>
                <w:rFonts w:ascii="仿宋_GB2312" w:hAnsi="仿宋_GB2312" w:cs="仿宋_GB2312" w:eastAsia="仿宋_GB2312"/>
                <w:sz w:val="22"/>
              </w:rPr>
              <w:t>≥</w:t>
            </w:r>
            <w:r>
              <w:rPr>
                <w:rFonts w:ascii="仿宋_GB2312" w:hAnsi="仿宋_GB2312" w:cs="仿宋_GB2312" w:eastAsia="仿宋_GB2312"/>
                <w:sz w:val="22"/>
              </w:rPr>
              <w:t>1000kN；最大试验拉力：</w:t>
            </w:r>
            <w:r>
              <w:rPr>
                <w:rFonts w:ascii="仿宋_GB2312" w:hAnsi="仿宋_GB2312" w:cs="仿宋_GB2312" w:eastAsia="仿宋_GB2312"/>
                <w:sz w:val="22"/>
              </w:rPr>
              <w:t>≥</w:t>
            </w:r>
            <w:r>
              <w:rPr>
                <w:rFonts w:ascii="仿宋_GB2312" w:hAnsi="仿宋_GB2312" w:cs="仿宋_GB2312" w:eastAsia="仿宋_GB2312"/>
                <w:sz w:val="22"/>
              </w:rPr>
              <w:t>1000kN</w:t>
            </w:r>
            <w:r>
              <w:rPr>
                <w:rFonts w:ascii="仿宋_GB2312" w:hAnsi="仿宋_GB2312" w:cs="仿宋_GB2312" w:eastAsia="仿宋_GB2312"/>
                <w:sz w:val="21"/>
              </w:rPr>
              <w:t>。</w:t>
            </w:r>
          </w:p>
          <w:p>
            <w:pPr>
              <w:pStyle w:val="null3"/>
              <w:ind w:left="435"/>
            </w:pPr>
            <w:r>
              <w:rPr>
                <w:rFonts w:ascii="仿宋_GB2312" w:hAnsi="仿宋_GB2312" w:cs="仿宋_GB2312" w:eastAsia="仿宋_GB2312"/>
                <w:sz w:val="21"/>
              </w:rPr>
              <w:t>20、</w:t>
            </w:r>
            <w:r>
              <w:rPr>
                <w:rFonts w:ascii="仿宋_GB2312" w:hAnsi="仿宋_GB2312" w:cs="仿宋_GB2312" w:eastAsia="仿宋_GB2312"/>
                <w:sz w:val="21"/>
              </w:rPr>
              <w:t>行程：</w:t>
            </w:r>
            <w:r>
              <w:rPr>
                <w:rFonts w:ascii="仿宋_GB2312" w:hAnsi="仿宋_GB2312" w:cs="仿宋_GB2312" w:eastAsia="仿宋_GB2312"/>
                <w:sz w:val="21"/>
              </w:rPr>
              <w:t>≥500mm。</w:t>
            </w:r>
          </w:p>
          <w:p>
            <w:pPr>
              <w:pStyle w:val="null3"/>
              <w:ind w:left="435"/>
            </w:pPr>
            <w:r>
              <w:rPr>
                <w:rFonts w:ascii="仿宋_GB2312" w:hAnsi="仿宋_GB2312" w:cs="仿宋_GB2312" w:eastAsia="仿宋_GB2312"/>
                <w:sz w:val="21"/>
              </w:rPr>
              <w:t>21、</w:t>
            </w:r>
            <w:r>
              <w:rPr>
                <w:rFonts w:ascii="仿宋_GB2312" w:hAnsi="仿宋_GB2312" w:cs="仿宋_GB2312" w:eastAsia="仿宋_GB2312"/>
                <w:sz w:val="21"/>
              </w:rPr>
              <w:t>结构形式：单出杆双作用。</w:t>
            </w:r>
          </w:p>
          <w:p>
            <w:pPr>
              <w:pStyle w:val="null3"/>
              <w:ind w:left="435"/>
            </w:pPr>
            <w:r>
              <w:rPr>
                <w:rFonts w:ascii="仿宋_GB2312" w:hAnsi="仿宋_GB2312" w:cs="仿宋_GB2312" w:eastAsia="仿宋_GB2312"/>
                <w:sz w:val="21"/>
              </w:rPr>
              <w:t>22、</w:t>
            </w:r>
            <w:r>
              <w:rPr>
                <w:rFonts w:ascii="仿宋_GB2312" w:hAnsi="仿宋_GB2312" w:cs="仿宋_GB2312" w:eastAsia="仿宋_GB2312"/>
                <w:sz w:val="21"/>
              </w:rPr>
              <w:t>连接方式：前端球铰</w:t>
            </w:r>
            <w:r>
              <w:rPr>
                <w:rFonts w:ascii="仿宋_GB2312" w:hAnsi="仿宋_GB2312" w:cs="仿宋_GB2312" w:eastAsia="仿宋_GB2312"/>
                <w:sz w:val="21"/>
              </w:rPr>
              <w:t>+后端球铰。</w:t>
            </w:r>
          </w:p>
          <w:p>
            <w:pPr>
              <w:pStyle w:val="null3"/>
              <w:ind w:left="435"/>
            </w:pPr>
            <w:r>
              <w:rPr>
                <w:rFonts w:ascii="仿宋_GB2312" w:hAnsi="仿宋_GB2312" w:cs="仿宋_GB2312" w:eastAsia="仿宋_GB2312"/>
                <w:sz w:val="21"/>
              </w:rPr>
              <w:t>23、</w:t>
            </w:r>
            <w:r>
              <w:rPr>
                <w:rFonts w:ascii="仿宋_GB2312" w:hAnsi="仿宋_GB2312" w:cs="仿宋_GB2312" w:eastAsia="仿宋_GB2312"/>
                <w:sz w:val="21"/>
              </w:rPr>
              <w:t>球铰旋转角度：</w:t>
            </w:r>
            <w:r>
              <w:rPr>
                <w:rFonts w:ascii="仿宋_GB2312" w:hAnsi="仿宋_GB2312" w:cs="仿宋_GB2312" w:eastAsia="仿宋_GB2312"/>
                <w:sz w:val="21"/>
              </w:rPr>
              <w:t>±90°，倾斜角度：±7°。</w:t>
            </w:r>
          </w:p>
          <w:p>
            <w:pPr>
              <w:pStyle w:val="null3"/>
            </w:pPr>
            <w:r>
              <w:rPr>
                <w:rFonts w:ascii="仿宋_GB2312" w:hAnsi="仿宋_GB2312" w:cs="仿宋_GB2312" w:eastAsia="仿宋_GB2312"/>
                <w:sz w:val="21"/>
              </w:rPr>
              <w:t>24、</w:t>
            </w:r>
            <w:r>
              <w:rPr>
                <w:rFonts w:ascii="仿宋_GB2312" w:hAnsi="仿宋_GB2312" w:cs="仿宋_GB2312" w:eastAsia="仿宋_GB2312"/>
                <w:sz w:val="21"/>
              </w:rPr>
              <w:t>力值精度为示值的</w:t>
            </w:r>
            <w:r>
              <w:rPr>
                <w:rFonts w:ascii="仿宋_GB2312" w:hAnsi="仿宋_GB2312" w:cs="仿宋_GB2312" w:eastAsia="仿宋_GB2312"/>
                <w:sz w:val="21"/>
              </w:rPr>
              <w:t>±1%以内（2%-100%量程范围内）。</w:t>
            </w:r>
          </w:p>
          <w:p>
            <w:pPr>
              <w:pStyle w:val="null3"/>
              <w:ind w:left="435"/>
            </w:pPr>
            <w:r>
              <w:rPr>
                <w:rFonts w:ascii="仿宋_GB2312" w:hAnsi="仿宋_GB2312" w:cs="仿宋_GB2312" w:eastAsia="仿宋_GB2312"/>
                <w:sz w:val="21"/>
              </w:rPr>
              <w:t>25、</w:t>
            </w:r>
            <w:r>
              <w:rPr>
                <w:rFonts w:ascii="仿宋_GB2312" w:hAnsi="仿宋_GB2312" w:cs="仿宋_GB2312" w:eastAsia="仿宋_GB2312"/>
                <w:sz w:val="21"/>
              </w:rPr>
              <w:t>位移精度为</w:t>
            </w:r>
            <w:r>
              <w:rPr>
                <w:rFonts w:ascii="仿宋_GB2312" w:hAnsi="仿宋_GB2312" w:cs="仿宋_GB2312" w:eastAsia="仿宋_GB2312"/>
                <w:sz w:val="21"/>
              </w:rPr>
              <w:t>0.1%FS，位移分辨率：0.001mm。</w:t>
            </w:r>
          </w:p>
          <w:p>
            <w:pPr>
              <w:pStyle w:val="null3"/>
              <w:ind w:left="435"/>
            </w:pPr>
            <w:r>
              <w:rPr>
                <w:rFonts w:ascii="仿宋_GB2312" w:hAnsi="仿宋_GB2312" w:cs="仿宋_GB2312" w:eastAsia="仿宋_GB2312"/>
                <w:sz w:val="21"/>
              </w:rPr>
              <w:t>26、</w:t>
            </w:r>
            <w:r>
              <w:rPr>
                <w:rFonts w:ascii="仿宋_GB2312" w:hAnsi="仿宋_GB2312" w:cs="仿宋_GB2312" w:eastAsia="仿宋_GB2312"/>
                <w:sz w:val="21"/>
              </w:rPr>
              <w:t>配内置式磁致伸缩位移传感器，分辨率不低于</w:t>
            </w:r>
            <w:r>
              <w:rPr>
                <w:rFonts w:ascii="仿宋_GB2312" w:hAnsi="仿宋_GB2312" w:cs="仿宋_GB2312" w:eastAsia="仿宋_GB2312"/>
                <w:sz w:val="21"/>
              </w:rPr>
              <w:t>1um，SSI数字量接口，信号滞后≤4um，防护等级不低于IP67，带电缆插头，承压≥35MPa，有过压和短路保护。</w:t>
            </w:r>
          </w:p>
          <w:p>
            <w:pPr>
              <w:pStyle w:val="null3"/>
              <w:ind w:left="435"/>
            </w:pPr>
            <w:r>
              <w:rPr>
                <w:rFonts w:ascii="仿宋_GB2312" w:hAnsi="仿宋_GB2312" w:cs="仿宋_GB2312" w:eastAsia="仿宋_GB2312"/>
                <w:sz w:val="21"/>
              </w:rPr>
              <w:t>27、</w:t>
            </w:r>
            <w:r>
              <w:rPr>
                <w:rFonts w:ascii="仿宋_GB2312" w:hAnsi="仿宋_GB2312" w:cs="仿宋_GB2312" w:eastAsia="仿宋_GB2312"/>
                <w:sz w:val="21"/>
              </w:rPr>
              <w:t>伺服阀：最大工作压力</w:t>
            </w:r>
            <w:r>
              <w:rPr>
                <w:rFonts w:ascii="仿宋_GB2312" w:hAnsi="仿宋_GB2312" w:cs="仿宋_GB2312" w:eastAsia="仿宋_GB2312"/>
                <w:sz w:val="21"/>
              </w:rPr>
              <w:t>≥35 MPa；阶跃响应≤20ms ；分辨率＜0.1% ；滞环＜0.2%；零漂＜1.5%；零位泄漏量≤1.2L/min。</w:t>
            </w:r>
          </w:p>
          <w:p>
            <w:pPr>
              <w:pStyle w:val="null3"/>
              <w:ind w:left="435"/>
            </w:pPr>
            <w:r>
              <w:rPr>
                <w:rFonts w:ascii="仿宋_GB2312" w:hAnsi="仿宋_GB2312" w:cs="仿宋_GB2312" w:eastAsia="仿宋_GB2312"/>
                <w:sz w:val="21"/>
              </w:rPr>
              <w:t>28、</w:t>
            </w:r>
            <w:r>
              <w:rPr>
                <w:rFonts w:ascii="仿宋_GB2312" w:hAnsi="仿宋_GB2312" w:cs="仿宋_GB2312" w:eastAsia="仿宋_GB2312"/>
                <w:sz w:val="21"/>
              </w:rPr>
              <w:t>配置控制电缆及接头，具有屏蔽好，抗干扰能力强，结实耐用，易</w:t>
            </w:r>
            <w:r>
              <w:rPr>
                <w:rFonts w:ascii="仿宋_GB2312" w:hAnsi="仿宋_GB2312" w:cs="仿宋_GB2312" w:eastAsia="仿宋_GB2312"/>
                <w:sz w:val="21"/>
              </w:rPr>
              <w:t>安装拆卸等特点。</w:t>
            </w:r>
          </w:p>
          <w:p>
            <w:pPr>
              <w:pStyle w:val="null3"/>
              <w:ind w:left="435"/>
            </w:pPr>
            <w:r>
              <w:rPr>
                <w:rFonts w:ascii="仿宋_GB2312" w:hAnsi="仿宋_GB2312" w:cs="仿宋_GB2312" w:eastAsia="仿宋_GB2312"/>
                <w:sz w:val="21"/>
              </w:rPr>
              <w:t>29、</w:t>
            </w:r>
            <w:r>
              <w:rPr>
                <w:rFonts w:ascii="仿宋_GB2312" w:hAnsi="仿宋_GB2312" w:cs="仿宋_GB2312" w:eastAsia="仿宋_GB2312"/>
                <w:sz w:val="21"/>
              </w:rPr>
              <w:t>配置液压软管及接头，具有密闭抗压性好易安装等特点。</w:t>
            </w:r>
          </w:p>
          <w:p>
            <w:pPr>
              <w:pStyle w:val="null3"/>
            </w:pP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最高工作频率不低于</w:t>
            </w:r>
            <w:r>
              <w:rPr>
                <w:rFonts w:ascii="仿宋_GB2312" w:hAnsi="仿宋_GB2312" w:cs="仿宋_GB2312" w:eastAsia="仿宋_GB2312"/>
                <w:sz w:val="21"/>
              </w:rPr>
              <w:t>10Hz。</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left="435"/>
            </w:pPr>
            <w:r>
              <w:rPr>
                <w:rFonts w:ascii="仿宋_GB2312" w:hAnsi="仿宋_GB2312" w:cs="仿宋_GB2312" w:eastAsia="仿宋_GB2312"/>
                <w:sz w:val="21"/>
                <w:b/>
              </w:rPr>
              <w:t>四、油源</w:t>
            </w:r>
          </w:p>
          <w:p>
            <w:pPr>
              <w:pStyle w:val="null3"/>
              <w:ind w:left="435"/>
            </w:pPr>
            <w:r>
              <w:rPr>
                <w:rFonts w:ascii="仿宋_GB2312" w:hAnsi="仿宋_GB2312" w:cs="仿宋_GB2312" w:eastAsia="仿宋_GB2312"/>
                <w:sz w:val="21"/>
              </w:rPr>
              <w:t>31、</w:t>
            </w:r>
            <w:r>
              <w:rPr>
                <w:rFonts w:ascii="仿宋_GB2312" w:hAnsi="仿宋_GB2312" w:cs="仿宋_GB2312" w:eastAsia="仿宋_GB2312"/>
                <w:sz w:val="21"/>
              </w:rPr>
              <w:t>系统的额定压力为不小于</w:t>
            </w:r>
            <w:r>
              <w:rPr>
                <w:rFonts w:ascii="仿宋_GB2312" w:hAnsi="仿宋_GB2312" w:cs="仿宋_GB2312" w:eastAsia="仿宋_GB2312"/>
                <w:sz w:val="21"/>
              </w:rPr>
              <w:t>21MPa。</w:t>
            </w:r>
          </w:p>
          <w:p>
            <w:pPr>
              <w:pStyle w:val="null3"/>
              <w:ind w:left="435"/>
            </w:pPr>
            <w:r>
              <w:rPr>
                <w:rFonts w:ascii="仿宋_GB2312" w:hAnsi="仿宋_GB2312" w:cs="仿宋_GB2312" w:eastAsia="仿宋_GB2312"/>
                <w:sz w:val="21"/>
              </w:rPr>
              <w:t>32、</w:t>
            </w:r>
            <w:r>
              <w:rPr>
                <w:rFonts w:ascii="仿宋_GB2312" w:hAnsi="仿宋_GB2312" w:cs="仿宋_GB2312" w:eastAsia="仿宋_GB2312"/>
                <w:sz w:val="21"/>
              </w:rPr>
              <w:t>高压滤油器的过滤精度为</w:t>
            </w:r>
            <w:r>
              <w:rPr>
                <w:rFonts w:ascii="仿宋_GB2312" w:hAnsi="仿宋_GB2312" w:cs="仿宋_GB2312" w:eastAsia="仿宋_GB2312"/>
                <w:sz w:val="21"/>
              </w:rPr>
              <w:t>5μm。</w:t>
            </w:r>
          </w:p>
          <w:p>
            <w:pPr>
              <w:pStyle w:val="null3"/>
              <w:ind w:left="435"/>
            </w:pPr>
            <w:r>
              <w:rPr>
                <w:rFonts w:ascii="仿宋_GB2312" w:hAnsi="仿宋_GB2312" w:cs="仿宋_GB2312" w:eastAsia="仿宋_GB2312"/>
                <w:sz w:val="21"/>
              </w:rPr>
              <w:t>33、</w:t>
            </w:r>
            <w:r>
              <w:rPr>
                <w:rFonts w:ascii="仿宋_GB2312" w:hAnsi="仿宋_GB2312" w:cs="仿宋_GB2312" w:eastAsia="仿宋_GB2312"/>
                <w:sz w:val="21"/>
              </w:rPr>
              <w:t>油箱、管路及油路各接口处无液压油渗漏。</w:t>
            </w:r>
          </w:p>
          <w:p>
            <w:pPr>
              <w:pStyle w:val="null3"/>
              <w:ind w:left="435"/>
            </w:pPr>
            <w:r>
              <w:rPr>
                <w:rFonts w:ascii="仿宋_GB2312" w:hAnsi="仿宋_GB2312" w:cs="仿宋_GB2312" w:eastAsia="仿宋_GB2312"/>
                <w:sz w:val="21"/>
              </w:rPr>
              <w:t>34、</w:t>
            </w:r>
            <w:r>
              <w:rPr>
                <w:rFonts w:ascii="仿宋_GB2312" w:hAnsi="仿宋_GB2312" w:cs="仿宋_GB2312" w:eastAsia="仿宋_GB2312"/>
                <w:sz w:val="21"/>
              </w:rPr>
              <w:t>配有油泵电机组所必需的进回油管路、调压阀组和相应液压附件及全套电气系统。</w:t>
            </w:r>
          </w:p>
          <w:p>
            <w:pPr>
              <w:pStyle w:val="null3"/>
              <w:ind w:left="435"/>
            </w:pPr>
            <w:r>
              <w:rPr>
                <w:rFonts w:ascii="仿宋_GB2312" w:hAnsi="仿宋_GB2312" w:cs="仿宋_GB2312" w:eastAsia="仿宋_GB2312"/>
                <w:sz w:val="21"/>
              </w:rPr>
              <w:t>35、</w:t>
            </w:r>
            <w:r>
              <w:rPr>
                <w:rFonts w:ascii="仿宋_GB2312" w:hAnsi="仿宋_GB2312" w:cs="仿宋_GB2312" w:eastAsia="仿宋_GB2312"/>
                <w:sz w:val="21"/>
              </w:rPr>
              <w:t>带有智能油源控制系统，可以显示所有油源参数，同</w:t>
            </w:r>
            <w:r>
              <w:rPr>
                <w:rFonts w:ascii="仿宋_GB2312" w:hAnsi="仿宋_GB2312" w:cs="仿宋_GB2312" w:eastAsia="仿宋_GB2312"/>
                <w:sz w:val="21"/>
              </w:rPr>
              <w:t>时与系统主控制器通过网络实现远程操作。</w:t>
            </w:r>
          </w:p>
          <w:p>
            <w:pPr>
              <w:pStyle w:val="null3"/>
              <w:ind w:left="435"/>
            </w:pPr>
            <w:r>
              <w:rPr>
                <w:rFonts w:ascii="仿宋_GB2312" w:hAnsi="仿宋_GB2312" w:cs="仿宋_GB2312" w:eastAsia="仿宋_GB2312"/>
                <w:sz w:val="21"/>
              </w:rPr>
              <w:t>36、</w:t>
            </w:r>
            <w:r>
              <w:rPr>
                <w:rFonts w:ascii="仿宋_GB2312" w:hAnsi="仿宋_GB2312" w:cs="仿宋_GB2312" w:eastAsia="仿宋_GB2312"/>
                <w:sz w:val="21"/>
              </w:rPr>
              <w:t>具有温度过限、滤油器堵塞、液位过低等自动停机或报警功能；</w:t>
            </w:r>
          </w:p>
          <w:p>
            <w:pPr>
              <w:pStyle w:val="null3"/>
              <w:ind w:left="435"/>
            </w:pPr>
            <w:r>
              <w:rPr>
                <w:rFonts w:ascii="仿宋_GB2312" w:hAnsi="仿宋_GB2312" w:cs="仿宋_GB2312" w:eastAsia="仿宋_GB2312"/>
                <w:sz w:val="21"/>
              </w:rPr>
              <w:t>▲</w:t>
            </w:r>
            <w:r>
              <w:rPr>
                <w:rFonts w:ascii="仿宋_GB2312" w:hAnsi="仿宋_GB2312" w:cs="仿宋_GB2312" w:eastAsia="仿宋_GB2312"/>
                <w:sz w:val="21"/>
              </w:rPr>
              <w:t>37、</w:t>
            </w:r>
            <w:r>
              <w:rPr>
                <w:rFonts w:ascii="仿宋_GB2312" w:hAnsi="仿宋_GB2312" w:cs="仿宋_GB2312" w:eastAsia="仿宋_GB2312"/>
                <w:sz w:val="21"/>
              </w:rPr>
              <w:t>作动器可同时带载连续工作大于</w:t>
            </w:r>
            <w:r>
              <w:rPr>
                <w:rFonts w:ascii="仿宋_GB2312" w:hAnsi="仿宋_GB2312" w:cs="仿宋_GB2312" w:eastAsia="仿宋_GB2312"/>
                <w:sz w:val="21"/>
              </w:rPr>
              <w:t>8小时，现场噪音小于65分贝。</w:t>
            </w:r>
            <w:r>
              <w:rPr>
                <w:rFonts w:ascii="仿宋_GB2312" w:hAnsi="仿宋_GB2312" w:cs="仿宋_GB2312" w:eastAsia="仿宋_GB2312"/>
                <w:sz w:val="21"/>
                <w:b/>
              </w:rPr>
              <w:t>（投标文件中提供第三方出具的检测报告。）</w:t>
            </w:r>
          </w:p>
          <w:p>
            <w:pPr>
              <w:pStyle w:val="null3"/>
            </w:pPr>
            <w:r>
              <w:rPr>
                <w:rFonts w:ascii="仿宋_GB2312" w:hAnsi="仿宋_GB2312" w:cs="仿宋_GB2312" w:eastAsia="仿宋_GB2312"/>
                <w:sz w:val="21"/>
              </w:rPr>
              <w:t>38、</w:t>
            </w:r>
            <w:r>
              <w:rPr>
                <w:rFonts w:ascii="仿宋_GB2312" w:hAnsi="仿宋_GB2312" w:cs="仿宋_GB2312" w:eastAsia="仿宋_GB2312"/>
                <w:sz w:val="21"/>
              </w:rPr>
              <w:t>分油器：一输入二输出，输出流量不小于</w:t>
            </w:r>
            <w:r>
              <w:rPr>
                <w:rFonts w:ascii="仿宋_GB2312" w:hAnsi="仿宋_GB2312" w:cs="仿宋_GB2312" w:eastAsia="仿宋_GB2312"/>
                <w:sz w:val="21"/>
              </w:rPr>
              <w:t>30L/min；每个输出通道带有各类控制阀及安全阀；可远程控制和自动开启、关闭供油路，每个输出通道油路相互独立。</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left="435"/>
            </w:pPr>
            <w:r>
              <w:rPr>
                <w:rFonts w:ascii="仿宋_GB2312" w:hAnsi="仿宋_GB2312" w:cs="仿宋_GB2312" w:eastAsia="仿宋_GB2312"/>
                <w:sz w:val="21"/>
                <w:b/>
              </w:rPr>
              <w:t>五、控制器</w:t>
            </w:r>
          </w:p>
          <w:p>
            <w:pPr>
              <w:pStyle w:val="null3"/>
              <w:ind w:left="435"/>
            </w:pPr>
            <w:r>
              <w:rPr>
                <w:rFonts w:ascii="仿宋_GB2312" w:hAnsi="仿宋_GB2312" w:cs="仿宋_GB2312" w:eastAsia="仿宋_GB2312"/>
                <w:sz w:val="21"/>
              </w:rPr>
              <w:t>▲</w:t>
            </w:r>
            <w:r>
              <w:rPr>
                <w:rFonts w:ascii="仿宋_GB2312" w:hAnsi="仿宋_GB2312" w:cs="仿宋_GB2312" w:eastAsia="仿宋_GB2312"/>
                <w:sz w:val="21"/>
              </w:rPr>
              <w:t>39、</w:t>
            </w:r>
            <w:r>
              <w:rPr>
                <w:rFonts w:ascii="仿宋_GB2312" w:hAnsi="仿宋_GB2312" w:cs="仿宋_GB2312" w:eastAsia="仿宋_GB2312"/>
                <w:sz w:val="21"/>
              </w:rPr>
              <w:t>控制器配备基于</w:t>
            </w:r>
            <w:r>
              <w:rPr>
                <w:rFonts w:ascii="仿宋_GB2312" w:hAnsi="仿宋_GB2312" w:cs="仿宋_GB2312" w:eastAsia="仿宋_GB2312"/>
                <w:sz w:val="21"/>
              </w:rPr>
              <w:t>ARM 架构的高性能双核处理器，A/D 采样分辨率≥18位，采样速率≥50kHz，输入应变信号（内置高精度可变增益信号调理电路）≥2 路。输入模拟量（≥18 位的 A/D 转换分辨率）≥4 路，输出模拟量（≥16 位的 D/A 转换分辨率）≥4 路，位移传感器(配置SSI 接口, 24/25 位格雷码)输入≥2 路。</w:t>
            </w:r>
          </w:p>
          <w:p>
            <w:pPr>
              <w:pStyle w:val="null3"/>
              <w:ind w:left="435"/>
            </w:pPr>
            <w:r>
              <w:rPr>
                <w:rFonts w:ascii="仿宋_GB2312" w:hAnsi="仿宋_GB2312" w:cs="仿宋_GB2312" w:eastAsia="仿宋_GB2312"/>
                <w:sz w:val="21"/>
              </w:rPr>
              <w:t>4</w:t>
            </w:r>
            <w:r>
              <w:rPr>
                <w:rFonts w:ascii="仿宋_GB2312" w:hAnsi="仿宋_GB2312" w:cs="仿宋_GB2312" w:eastAsia="仿宋_GB2312"/>
                <w:sz w:val="21"/>
              </w:rPr>
              <w:t>0</w:t>
            </w:r>
            <w:r>
              <w:rPr>
                <w:rFonts w:ascii="仿宋_GB2312" w:hAnsi="仿宋_GB2312" w:cs="仿宋_GB2312" w:eastAsia="仿宋_GB2312"/>
                <w:sz w:val="21"/>
              </w:rPr>
              <w:t>、试验力最高有效采样频率</w:t>
            </w:r>
            <w:r>
              <w:rPr>
                <w:rFonts w:ascii="仿宋_GB2312" w:hAnsi="仿宋_GB2312" w:cs="仿宋_GB2312" w:eastAsia="仿宋_GB2312"/>
                <w:sz w:val="21"/>
              </w:rPr>
              <w:t>≥20kHz；控制回路频率≥5kHz。</w:t>
            </w:r>
          </w:p>
          <w:p>
            <w:pPr>
              <w:pStyle w:val="null3"/>
              <w:ind w:left="435"/>
            </w:pPr>
            <w:r>
              <w:rPr>
                <w:rFonts w:ascii="仿宋_GB2312" w:hAnsi="仿宋_GB2312" w:cs="仿宋_GB2312" w:eastAsia="仿宋_GB2312"/>
                <w:sz w:val="21"/>
              </w:rPr>
              <w:t>4</w:t>
            </w:r>
            <w:r>
              <w:rPr>
                <w:rFonts w:ascii="仿宋_GB2312" w:hAnsi="仿宋_GB2312" w:cs="仿宋_GB2312" w:eastAsia="仿宋_GB2312"/>
                <w:sz w:val="21"/>
              </w:rPr>
              <w:t>1</w:t>
            </w:r>
            <w:r>
              <w:rPr>
                <w:rFonts w:ascii="仿宋_GB2312" w:hAnsi="仿宋_GB2312" w:cs="仿宋_GB2312" w:eastAsia="仿宋_GB2312"/>
                <w:sz w:val="21"/>
              </w:rPr>
              <w:t>、采用全数字电液伺服闭环控制系统，且能够实现内部信号以及外部信号的多种控制模式（包含但不限于力控制、位移控制、应变控制等）加载。能够实现恒试验力加载与保持、位移等速率加载与保持、恒应变加载与保持等多种可选加载方式，并且在试验过程中能够实现所有控制方式以及控制速率的任意无冲击平滑切换。</w:t>
            </w:r>
          </w:p>
          <w:p>
            <w:pPr>
              <w:pStyle w:val="null3"/>
              <w:ind w:left="435"/>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2</w:t>
            </w:r>
            <w:r>
              <w:rPr>
                <w:rFonts w:ascii="仿宋_GB2312" w:hAnsi="仿宋_GB2312" w:cs="仿宋_GB2312" w:eastAsia="仿宋_GB2312"/>
                <w:sz w:val="21"/>
              </w:rPr>
              <w:t>、控制器具备长时间运行要求，平均故障间隔时间（</w:t>
            </w:r>
            <w:r>
              <w:rPr>
                <w:rFonts w:ascii="仿宋_GB2312" w:hAnsi="仿宋_GB2312" w:cs="仿宋_GB2312" w:eastAsia="仿宋_GB2312"/>
                <w:sz w:val="21"/>
              </w:rPr>
              <w:t>MTBF）≥50000小时，</w:t>
            </w:r>
            <w:r>
              <w:rPr>
                <w:rFonts w:ascii="仿宋_GB2312" w:hAnsi="仿宋_GB2312" w:cs="仿宋_GB2312" w:eastAsia="仿宋_GB2312"/>
                <w:sz w:val="21"/>
              </w:rPr>
              <w:t>具备可靠性</w:t>
            </w:r>
            <w:r>
              <w:rPr>
                <w:rFonts w:ascii="仿宋_GB2312" w:hAnsi="仿宋_GB2312" w:cs="仿宋_GB2312" w:eastAsia="仿宋_GB2312"/>
                <w:sz w:val="21"/>
              </w:rPr>
              <w:t>。</w:t>
            </w:r>
            <w:r>
              <w:rPr>
                <w:rFonts w:ascii="仿宋_GB2312" w:hAnsi="仿宋_GB2312" w:cs="仿宋_GB2312" w:eastAsia="仿宋_GB2312"/>
                <w:sz w:val="21"/>
                <w:b/>
              </w:rPr>
              <w:t>（投标文件中提供第三方出具的检测报告。）</w:t>
            </w:r>
          </w:p>
          <w:p>
            <w:pPr>
              <w:pStyle w:val="null3"/>
              <w:ind w:left="435"/>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3</w:t>
            </w:r>
            <w:r>
              <w:rPr>
                <w:rFonts w:ascii="仿宋_GB2312" w:hAnsi="仿宋_GB2312" w:cs="仿宋_GB2312" w:eastAsia="仿宋_GB2312"/>
                <w:sz w:val="21"/>
              </w:rPr>
              <w:t>、控制器具备防振动与冲击要求。</w:t>
            </w:r>
            <w:r>
              <w:rPr>
                <w:rFonts w:ascii="仿宋_GB2312" w:hAnsi="仿宋_GB2312" w:cs="仿宋_GB2312" w:eastAsia="仿宋_GB2312"/>
                <w:sz w:val="21"/>
                <w:b/>
              </w:rPr>
              <w:t>（投标文件中提供第三方出具的检测报告。）</w:t>
            </w:r>
          </w:p>
          <w:p>
            <w:pPr>
              <w:pStyle w:val="null3"/>
              <w:ind w:left="435"/>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4</w:t>
            </w:r>
            <w:r>
              <w:rPr>
                <w:rFonts w:ascii="仿宋_GB2312" w:hAnsi="仿宋_GB2312" w:cs="仿宋_GB2312" w:eastAsia="仿宋_GB2312"/>
                <w:sz w:val="21"/>
              </w:rPr>
              <w:t>、控制软件的主要参数（力、位移）通过电压输出或数字量输出的形式将系统信号传输给外部数据采集系统，实现控制系统与外部数据采集系统进行同步采集的功能要求。</w:t>
            </w:r>
          </w:p>
          <w:p>
            <w:pPr>
              <w:pStyle w:val="null3"/>
              <w:ind w:left="435"/>
            </w:pPr>
            <w:r>
              <w:rPr>
                <w:rFonts w:ascii="仿宋_GB2312" w:hAnsi="仿宋_GB2312" w:cs="仿宋_GB2312" w:eastAsia="仿宋_GB2312"/>
                <w:sz w:val="21"/>
              </w:rPr>
              <w:t>45</w:t>
            </w:r>
            <w:r>
              <w:rPr>
                <w:rFonts w:ascii="仿宋_GB2312" w:hAnsi="仿宋_GB2312" w:cs="仿宋_GB2312" w:eastAsia="仿宋_GB2312"/>
                <w:sz w:val="21"/>
              </w:rPr>
              <w:t>、控制软件具备超载保护，任意设定位移点、负荷点的保护功能；带有系统保护设置、过程保护设置，及解除保护设置条件后恢复现场功能。</w:t>
            </w:r>
          </w:p>
          <w:p>
            <w:pPr>
              <w:pStyle w:val="null3"/>
              <w:ind w:left="435"/>
            </w:pPr>
            <w:r>
              <w:rPr>
                <w:rFonts w:ascii="仿宋_GB2312" w:hAnsi="仿宋_GB2312" w:cs="仿宋_GB2312" w:eastAsia="仿宋_GB2312"/>
                <w:sz w:val="21"/>
              </w:rPr>
              <w:t>46、软件具备阀台控制功能，可直接在对阀台进行开启及关闭。</w:t>
            </w:r>
          </w:p>
          <w:p>
            <w:pPr>
              <w:pStyle w:val="null3"/>
              <w:ind w:left="435"/>
            </w:pPr>
            <w:r>
              <w:rPr>
                <w:rFonts w:ascii="仿宋_GB2312" w:hAnsi="仿宋_GB2312" w:cs="仿宋_GB2312" w:eastAsia="仿宋_GB2312"/>
                <w:sz w:val="21"/>
              </w:rPr>
              <w:t>47、试验软件并可根据用户需求进行二次开发。</w:t>
            </w:r>
          </w:p>
          <w:p>
            <w:pPr>
              <w:pStyle w:val="null3"/>
              <w:ind w:left="435"/>
            </w:pPr>
            <w:r>
              <w:rPr>
                <w:rFonts w:ascii="仿宋_GB2312" w:hAnsi="仿宋_GB2312" w:cs="仿宋_GB2312" w:eastAsia="仿宋_GB2312"/>
                <w:sz w:val="21"/>
              </w:rPr>
              <w:t>▲</w:t>
            </w:r>
            <w:r>
              <w:rPr>
                <w:rFonts w:ascii="仿宋_GB2312" w:hAnsi="仿宋_GB2312" w:cs="仿宋_GB2312" w:eastAsia="仿宋_GB2312"/>
                <w:sz w:val="21"/>
              </w:rPr>
              <w:t>48、控制软件主界面提供3D模型，可以对模</w:t>
            </w:r>
            <w:r>
              <w:rPr>
                <w:rFonts w:ascii="仿宋_GB2312" w:hAnsi="仿宋_GB2312" w:cs="仿宋_GB2312" w:eastAsia="仿宋_GB2312"/>
                <w:sz w:val="21"/>
              </w:rPr>
              <w:t>型进行旋转定位，作动器可以根据加载的位移控制进行伸缩展示，可显示实时荷载、位移值及对应的极值，单击可对作动器进行标定、清零等操作。</w:t>
            </w:r>
            <w:r>
              <w:rPr>
                <w:rFonts w:ascii="仿宋_GB2312" w:hAnsi="仿宋_GB2312" w:cs="仿宋_GB2312" w:eastAsia="仿宋_GB2312"/>
                <w:sz w:val="21"/>
                <w:b/>
              </w:rPr>
              <w:t>（投标文件中提供软件展示界面相关的佐证材料。）</w:t>
            </w:r>
          </w:p>
          <w:p>
            <w:pPr>
              <w:pStyle w:val="null3"/>
              <w:ind w:left="435"/>
            </w:pPr>
            <w:r>
              <w:rPr>
                <w:rFonts w:ascii="仿宋_GB2312" w:hAnsi="仿宋_GB2312" w:cs="仿宋_GB2312" w:eastAsia="仿宋_GB2312"/>
                <w:sz w:val="21"/>
              </w:rPr>
              <w:t>49、配有可编程试验模块，用户可以根据试验需要完成恒速率试验力控制、恒速率位移控制、试验力保持试验等多种试验模式的任意组合。</w:t>
            </w:r>
          </w:p>
          <w:p>
            <w:pPr>
              <w:pStyle w:val="null3"/>
              <w:ind w:left="435"/>
            </w:pPr>
            <w:r>
              <w:rPr>
                <w:rFonts w:ascii="仿宋_GB2312" w:hAnsi="仿宋_GB2312" w:cs="仿宋_GB2312" w:eastAsia="仿宋_GB2312"/>
                <w:sz w:val="21"/>
              </w:rPr>
              <w:t>5</w:t>
            </w:r>
            <w:r>
              <w:rPr>
                <w:rFonts w:ascii="仿宋_GB2312" w:hAnsi="仿宋_GB2312" w:cs="仿宋_GB2312" w:eastAsia="仿宋_GB2312"/>
                <w:sz w:val="21"/>
              </w:rPr>
              <w:t>0</w:t>
            </w:r>
            <w:r>
              <w:rPr>
                <w:rFonts w:ascii="仿宋_GB2312" w:hAnsi="仿宋_GB2312" w:cs="仿宋_GB2312" w:eastAsia="仿宋_GB2312"/>
                <w:sz w:val="21"/>
              </w:rPr>
              <w:t>、试验软件能进行单层和多高层建筑结构的整体结构拟动力试验和子结构拟动力混合试验，试验子结构可以取单个柱构件，也可以取单个楼层或多个连续楼层，并可根据用户需求进行二次开发。</w:t>
            </w:r>
          </w:p>
          <w:p>
            <w:pPr>
              <w:pStyle w:val="null3"/>
              <w:ind w:left="435"/>
            </w:pPr>
            <w:r>
              <w:rPr>
                <w:rFonts w:ascii="仿宋_GB2312" w:hAnsi="仿宋_GB2312" w:cs="仿宋_GB2312" w:eastAsia="仿宋_GB2312"/>
                <w:sz w:val="21"/>
              </w:rPr>
              <w:t>5</w:t>
            </w:r>
            <w:r>
              <w:rPr>
                <w:rFonts w:ascii="仿宋_GB2312" w:hAnsi="仿宋_GB2312" w:cs="仿宋_GB2312" w:eastAsia="仿宋_GB2312"/>
                <w:sz w:val="21"/>
              </w:rPr>
              <w:t>1</w:t>
            </w:r>
            <w:r>
              <w:rPr>
                <w:rFonts w:ascii="仿宋_GB2312" w:hAnsi="仿宋_GB2312" w:cs="仿宋_GB2312" w:eastAsia="仿宋_GB2312"/>
                <w:sz w:val="21"/>
              </w:rPr>
              <w:t>、软件具有结构地震响应时程分析功能和柱构件拟静力加载模拟功能，便于用户在拟动力试验前对结构和构件模型进行检查。</w:t>
            </w:r>
          </w:p>
          <w:p>
            <w:pPr>
              <w:pStyle w:val="null3"/>
              <w:spacing w:before="60" w:after="60"/>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投标人需在投标文件中提供加载系统的虚拟场景、试验原理、设备高</w:t>
            </w:r>
            <w:r>
              <w:rPr>
                <w:rFonts w:ascii="仿宋_GB2312" w:hAnsi="仿宋_GB2312" w:cs="仿宋_GB2312" w:eastAsia="仿宋_GB2312"/>
                <w:sz w:val="21"/>
                <w:color w:val="000000"/>
              </w:rPr>
              <w:t>度调整、试验加载四个功能的操作介绍及软件界面截图。</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color w:val="000000"/>
              </w:rPr>
              <w:t>备注：</w:t>
            </w:r>
            <w:r>
              <w:rPr>
                <w:rFonts w:ascii="仿宋_GB2312" w:hAnsi="仿宋_GB2312" w:cs="仿宋_GB2312" w:eastAsia="仿宋_GB2312"/>
                <w:sz w:val="21"/>
                <w:color w:val="000000"/>
              </w:rPr>
              <w:t>标</w:t>
            </w:r>
            <w:r>
              <w:rPr>
                <w:rFonts w:ascii="仿宋_GB2312" w:hAnsi="仿宋_GB2312" w:cs="仿宋_GB2312" w:eastAsia="仿宋_GB2312"/>
                <w:sz w:val="21"/>
                <w:color w:val="000000"/>
              </w:rPr>
              <w:t>★项，</w:t>
            </w:r>
            <w:r>
              <w:rPr>
                <w:rFonts w:ascii="仿宋_GB2312" w:hAnsi="仿宋_GB2312" w:cs="仿宋_GB2312" w:eastAsia="仿宋_GB2312"/>
                <w:sz w:val="21"/>
                <w:color w:val="000000"/>
              </w:rPr>
              <w:t>必须</w:t>
            </w:r>
            <w:r>
              <w:rPr>
                <w:rFonts w:ascii="仿宋_GB2312" w:hAnsi="仿宋_GB2312" w:cs="仿宋_GB2312" w:eastAsia="仿宋_GB2312"/>
                <w:sz w:val="21"/>
                <w:color w:val="000000"/>
              </w:rPr>
              <w:t>提供佐证材料</w:t>
            </w:r>
            <w:r>
              <w:rPr>
                <w:rFonts w:ascii="仿宋_GB2312" w:hAnsi="仿宋_GB2312" w:cs="仿宋_GB2312" w:eastAsia="仿宋_GB2312"/>
                <w:sz w:val="21"/>
                <w:color w:val="000000"/>
              </w:rPr>
              <w:t>（按参数中要求提供）</w:t>
            </w:r>
            <w:r>
              <w:rPr>
                <w:rFonts w:ascii="仿宋_GB2312" w:hAnsi="仿宋_GB2312" w:cs="仿宋_GB2312" w:eastAsia="仿宋_GB2312"/>
                <w:sz w:val="21"/>
                <w:color w:val="000000"/>
              </w:rPr>
              <w:t>，</w:t>
            </w:r>
            <w:r>
              <w:rPr>
                <w:rFonts w:ascii="仿宋_GB2312" w:hAnsi="仿宋_GB2312" w:cs="仿宋_GB2312" w:eastAsia="仿宋_GB2312"/>
                <w:sz w:val="21"/>
                <w:color w:val="000000"/>
              </w:rPr>
              <w:t>否则视为无效投标。</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合同签订后120个日历日完成供货、安装、调试并交付使用。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设备运抵甲方指定地点并经甲方初步查验无误后，乙方按照剩余合同额向甲方开具不可撤销、见索即付的银行保函，甲方收到银行保函正本后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一、中标供应商货物经过双方检验认可后，签署验收报告，产品保修期自验收合格之日起算，由中标供应商提供产品保修文件。 二、当满足以下条件时，采购人才向中标供应商签发货物验收报告： 1、中标供应商已按照合同规定提供了全部产品及完整的技术资料。 2、货物符合招标文件和投标文件技术规格要求，性能满足要求。 3、货物具备产品合格证。 三、其他要求： 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采购人提供验收构件进行满量程载荷测试，关键参数与合同技术参数值对比，性能要求满足合同要求。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一、包装运输要求 包装标准：中标人提供产品及相关快递服务的包装要求，按照《商品包装政府采购需求标准（试行）》、《快递包装政府采购需求标准（试行）》执行，确保防潮、防震、防锈蚀； 二、运输方式：中标人自主选择，须购买全程运输保险，保证按期交付。不得断货，因断货造成的损失由中标人负责赔偿； 三、运输责任：运输由中标人负责，运杂费已包含在合同总价内。包括从货物供应地点运送至交付地点所含的运输费、装卸费、仓储费、保险费等； 四、存放与保管：货物到达采购人指定地点后，中标人应按有关技术规程和采购人要求进行存放和保管。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一、产品质保 1、按甲方要求开展产品软硬件操作培训。 2、质保期内乙方每年提供1次设备巡检服务。 3、质保期：3年。 二、产品保修期（三包期）内，修理、更换、退货要求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 1、中标供应商未按合同约定的交货日期交货的，每逾期一日，向采购人支付逾期交付货物价款的1%的违约金，但不超过合同总金额的10%。中标供应商支付逾期交货违约金并不免除其交货的责任。 2、如中标供应商在政府采购合同规定的交货日期后10天内仍未能交货，则视为中标供应商不能交货，采购人有权解除政府采购合同，中标供应商除退还已收取的货款外，还应向采购人偿付政府采购合同总金额10%的违约金。 3、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 争议解决： 合同履行过程中出现争议时，由双方友好协商解决。协商不成，向甲方所在地有管辖权的人民法院提起诉讼。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中标单位应提供纸质投标文件三份（正本壹份、副本贰份），投标文件（与线上电子版文件保持一致）需包含目录、无少页、缺页、连续页码（或单独使用打码器打码），且书脊处应打印项目名称。递交地址：西安市莲湖区二环南路西段202号九座花园16楼1605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提供以下资料进行电子签章。1.提供合格有效的法人或者其他组织的营业执照等证明文件，自然人的身份证明；供应商是法人或其他组织的应提供营业执照等证明文件，供应商是自然人的应提供有效的自然人身份证明。 2.财务状况证明：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形式的证明资料提供任何一种即可。 3.提供具有履行合同所必需的设备和专业技术能力的承诺。 4.税收缴纳证明：提供递交投标文件截止之日前一年内任意一个月的依法缴纳税收的完税证明，完税证明应有税务机关或代收机关的公章或业务专用章。依法免税或无须缴纳税收的供应商，应提供相应证明文件。 5.社会保障资金缴纳证明：提供投标截止日前一年内已缴存的至少一个月的社会保障资金缴存单据或社保机构开具的社会保险参保缴费情况证明，依法不需要缴纳社会保障资金的单位应提供相关证明材料。 6.投标人应出具参加政府采购活动前3年内在经营活动中没有重大违法记录的书面声明。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形式的证明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供应商承诺书.docx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法定代表人授权书（附法定代表人、被授权人身份证复印件及被授权人投标截止日前一年内在本单位已缴存的至少一个月的社会保险参保缴费证明)；法定代表人直接参加投标，须提供法定代表人身份证明。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以开标现场代理机构在“信用中国”网站和“中国政府采购网”查询结果为准）。</w:t>
            </w:r>
          </w:p>
        </w:tc>
        <w:tc>
          <w:tcPr>
            <w:tcW w:type="dxa" w:w="1661"/>
          </w:tcPr>
          <w:p>
            <w:pPr>
              <w:pStyle w:val="null3"/>
            </w:pPr>
            <w:r>
              <w:rPr>
                <w:rFonts w:ascii="仿宋_GB2312" w:hAnsi="仿宋_GB2312" w:cs="仿宋_GB2312" w:eastAsia="仿宋_GB2312"/>
              </w:rPr>
              <w:t>其他资料.docx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投标保证金缴纳凭证或担保机构出具的保函。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本项目不允许联合体投标。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强化政府采购异常低价审查 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开标一览表及分项报价表.docx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投标文件签署盖章符合招标文件要求。</w:t>
            </w:r>
          </w:p>
        </w:tc>
        <w:tc>
          <w:tcPr>
            <w:tcW w:type="dxa" w:w="1661"/>
          </w:tcPr>
          <w:p>
            <w:pPr>
              <w:pStyle w:val="null3"/>
            </w:pPr>
            <w:r>
              <w:rPr>
                <w:rFonts w:ascii="仿宋_GB2312" w:hAnsi="仿宋_GB2312" w:cs="仿宋_GB2312" w:eastAsia="仿宋_GB2312"/>
              </w:rPr>
              <w:t>开标一览表 中小企业声明函 供应商承诺书.docx 资格证明文件.docx 投标方案说明书.docx 开标一览表及分项报价表.docx 投标函 残疾人福利性单位声明函 标的清单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 中小企业声明函 供应商承诺书.docx 资格证明文件.docx 投标方案说明书.docx 开标一览表及分项报价表.docx 投标函 残疾人福利性单位声明函 标的清单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按招标文件要求报价，不得提交选择性报价，且报价不超过采购预算金额或最高限价。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开标一览表及分项报价表.docx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投标方案说明书.docx 商务条款偏离表.docx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商务要求条款全部响应，不能有采购人不能接受的附加条件。</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交货时间、质保期</w:t>
            </w:r>
          </w:p>
        </w:tc>
        <w:tc>
          <w:tcPr>
            <w:tcW w:type="dxa" w:w="3322"/>
          </w:tcPr>
          <w:p>
            <w:pPr>
              <w:pStyle w:val="null3"/>
            </w:pPr>
            <w:r>
              <w:rPr>
                <w:rFonts w:ascii="仿宋_GB2312" w:hAnsi="仿宋_GB2312" w:cs="仿宋_GB2312" w:eastAsia="仿宋_GB2312"/>
              </w:rPr>
              <w:t>应满足招标文件中要求的交货时间、质保期。</w:t>
            </w:r>
          </w:p>
        </w:tc>
        <w:tc>
          <w:tcPr>
            <w:tcW w:type="dxa" w:w="1661"/>
          </w:tcPr>
          <w:p>
            <w:pPr>
              <w:pStyle w:val="null3"/>
            </w:pPr>
            <w:r>
              <w:rPr>
                <w:rFonts w:ascii="仿宋_GB2312" w:hAnsi="仿宋_GB2312" w:cs="仿宋_GB2312" w:eastAsia="仿宋_GB2312"/>
              </w:rPr>
              <w:t>开标一览表 开标一览表及分项报价表.docx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无法律、规章、规范性文件和招标文件规定的其他无效情形。</w:t>
            </w:r>
          </w:p>
        </w:tc>
        <w:tc>
          <w:tcPr>
            <w:tcW w:type="dxa" w:w="1661"/>
          </w:tcPr>
          <w:p>
            <w:pPr>
              <w:pStyle w:val="null3"/>
            </w:pPr>
            <w:r>
              <w:rPr>
                <w:rFonts w:ascii="仿宋_GB2312" w:hAnsi="仿宋_GB2312" w:cs="仿宋_GB2312" w:eastAsia="仿宋_GB2312"/>
              </w:rPr>
              <w:t>开标一览表 中小企业声明函 供应商承诺书.docx 资格证明文件.docx 投标方案说明书.docx 开标一览表及分项报价表.docx 投标函 残疾人福利性单位声明函 标的清单 其他资料.docx 投标文件封面 商务条款偏离表.docx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所投产品技术参数清楚、明确，并能逐条响应招标文件第三章3.3技术要求，全部满足招标文件要求，得34分。 1、“▲”项（11项）为核心技术参数，全部满足招标文件要求，得22分；每负偏离一项扣2分。 备注：核心技术参数须有佐证材料，（1）参数中明确证明材料的，按参数要求提供；（2）参数中未明确证明材料的，提供佐证材料，如国家认可的检测机构出具的检测报告、制造商检验报告、产品彩页、官网功能截图任意一种，不提供或缺漏项不得分。 2、普通技术参数（除“▲”和“★”外其他未标注的参数）（40项），全部满足招标文件要求，得12分；未响应或响应不符合要求或缺漏项视为负偏离，每负偏离一项扣0.3分。 备注：普通技术参数评审以投标人“技术规格响应表”为准，投标人对响应内容真实性负责，如有虚假响应，将依法承担相应责任。</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专利证书</w:t>
            </w:r>
          </w:p>
        </w:tc>
        <w:tc>
          <w:tcPr>
            <w:tcW w:type="dxa" w:w="2492"/>
          </w:tcPr>
          <w:p>
            <w:pPr>
              <w:pStyle w:val="null3"/>
            </w:pPr>
            <w:r>
              <w:rPr>
                <w:rFonts w:ascii="仿宋_GB2312" w:hAnsi="仿宋_GB2312" w:cs="仿宋_GB2312" w:eastAsia="仿宋_GB2312"/>
              </w:rPr>
              <w:t>1、提供与加载实验系统相配套的多通道拟静力试验、多通道拟动力试验、多通道疲劳试验的相关软件由国家知识产权局颁发的著作权登记证书扫描件加盖公章。有一项得0.5分，最高得1分。未提供或提供的不符合要求，不得分。 2、提供与主动跟动加载相关的由国家知识产权局颁发的专利证书扫描件加盖公章，得0.5分。未提供或提供的不符合要求，不得分。 3、提供与多功能结构加载框架相关的由国家知识产权局颁发的专利证书扫描件加盖公章，得0.5分。未提供或提供的不符合要求，不得分。 4、提供与试样微动探测装置相关的由国家知识产权局颁发的专利证书扫描件加盖公章，得0.5分。未提供或提供的不符合要求，不得分。 5、提供与闭环控制负载适应型液压系统相关的由国家知识产权局颁发的专利证书扫描件加盖公章，得0.5分。未提供或提供的不符合要求，不得分。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系统关键功能设计方案</w:t>
            </w:r>
          </w:p>
        </w:tc>
        <w:tc>
          <w:tcPr>
            <w:tcW w:type="dxa" w:w="2492"/>
          </w:tcPr>
          <w:p>
            <w:pPr>
              <w:pStyle w:val="null3"/>
            </w:pPr>
            <w:r>
              <w:rPr>
                <w:rFonts w:ascii="仿宋_GB2312" w:hAnsi="仿宋_GB2312" w:cs="仿宋_GB2312" w:eastAsia="仿宋_GB2312"/>
              </w:rPr>
              <w:t>根据投标供应商提供的系统关键功能设计方案，包括：1、提供扩展功能方案供采购人参考，功能可实现轴向与侧向加载永久垂直，配备滑动底座与联动约束机构，低摩擦运行，适配构件拟静力抗震试验，受力检测精准无分力干扰。解决方案包括详细的三维视图的；2、提供配备无需外接电源或电池的，基于射频能量收集的无源无线形变测量模块，对框架变形进行实时监测的解决方案；3、提供该试验系统可完成模拟桥墩振动受力环境试验的方案供采购人参考，包括完整的试验系统总体布置方案，包括但不限于二维平面布置图、三维空间布置图，并对关键设备位置、安装关系及主要尺寸进行明确标注。4、该系统在实验室内的三维布置图及标注关键尺寸。5、提供控制器可通过PC客户端方式进行多个子任务试验的实现方案（控制器可通过PC客户端方式进行多个子任务试验，子任务试验均可独立启动、运行与停止，控制参数与服务器端自动同步，客户端的控制通道任意组合）。6、提供静态控制系统程序与拟动力软件连接进行子结构拟动力混合试验的实现方案。 方案内容全面详细、阐述条理清晰详尽、符合本项目采购需求，设计方案合理完善，技术性能先进，能有效保障本项目实施的得9分；每有一个缺项扣1.5分；每有一项内容存在缺陷，扣（0-1.5）分。 备注:缺陷是指：非专门针对本项目或不适用项目特性的情形、内容不完整或缺少关键节点、套用其他项目方案、内容前后矛盾、涉及的规范及标准错误、证明材料不充分、不利于项目实施、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后续升级及维护方案</w:t>
            </w:r>
          </w:p>
        </w:tc>
        <w:tc>
          <w:tcPr>
            <w:tcW w:type="dxa" w:w="2492"/>
          </w:tcPr>
          <w:p>
            <w:pPr>
              <w:pStyle w:val="null3"/>
            </w:pPr>
            <w:r>
              <w:rPr>
                <w:rFonts w:ascii="仿宋_GB2312" w:hAnsi="仿宋_GB2312" w:cs="仿宋_GB2312" w:eastAsia="仿宋_GB2312"/>
              </w:rPr>
              <w:t>根据投标供应商提供的后续升级及维护方案，包括：（1）系统后续调整或升级方案；（2）运行维护方案。 方案内容全面详细、阐述条理清晰详尽、符合本项目采购需求，设计方案合理完善，后续调整或开发升级能力强，投标设备配套合理、技术性能先进、使用效果好，能有效保障本项目实施的得2分；每有一个缺项扣1分；每有一项内容存在缺陷，扣（0-1）分。 备注:缺陷是指：非专门针对本项目或不适用项目特性的情形、内容不完整或缺少关键节点、套用其他项目方案、内容前后矛盾、涉及的规范及标准错误、证明材料不充分、不利于项目实施、不可能实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关键部件质量评价</w:t>
            </w:r>
          </w:p>
        </w:tc>
        <w:tc>
          <w:tcPr>
            <w:tcW w:type="dxa" w:w="2492"/>
          </w:tcPr>
          <w:p>
            <w:pPr>
              <w:pStyle w:val="null3"/>
            </w:pPr>
            <w:r>
              <w:rPr>
                <w:rFonts w:ascii="仿宋_GB2312" w:hAnsi="仿宋_GB2312" w:cs="仿宋_GB2312" w:eastAsia="仿宋_GB2312"/>
              </w:rPr>
              <w:t>根据投标供应商提供的关键部件（伺服阀、滑动导轨）的技术性能、选型匹配性、配套合理性、运行可靠性、安全性能、耐用性等进行综合评审： 1、所投关键部件技术性能满足项目需求，整体配置合理先进成熟，运行稳定可靠，安全防护措施完善，耐磨损、使用寿命长，维护成本低。得3分。 2、所投关键部件选型基本满足项目需求，但技术先进性或参数水平一般，整体配置普通，稳定性、可靠性、安全性或耐用性存在一定短板。得2分。 3、提供内容无法判断其参数、配套情况或无法判断符合项目使用需求的。得1分。 4、未提供不得分。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投标供应商提供的针对本项目的售后服务方案，包括：（1）质保期内售后服务方案（包括售后服务范围及内容、应急故障处理、故障响应及修复时间等）；（2）质保期外售后服务方案（包括售后服务范围及内容、应急故障处理、故障响应及修复时间等）；（3）培训方案。 方案内容全面详细、阐述条理清晰详尽、符合本项目采购需求，能有效保障本项目实施的得3分；每有一个缺项扣1分；每有一项内容存在缺陷，扣（0-1）分。 缺陷是指：非专门针对本项目或不适用项目特性的情形、内容不完整或缺少关键节点、套用其他项目方案、内容前后矛盾、涉及的规范及标准错误、证明材料不充分、不利于项目实施、不可能实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承诺质保期在满足招标文件（3年）要求的基础上，每增加一年得0.5分，满1分。无承诺不得分。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提供投标供应商自2023年1月1日至今（以合同签订时间为准）的同类项目业绩，每提供一份有效业绩得1分，最多得5分。 备注： 1、同类业绩：至少同时包含承载框架、电液伺服作动器、液压阀台和控制系统（控制系统至少包括：控制器和软件）相关内容或类似描述的业绩。测试材料及非结构材料（如有机材料）支座的试验设备不属于同类业绩。 2、业绩证明材料：以投标文件中提供的加盖公章的合同复印件（至少包括合同金额页、买卖双方名称及盖章页、合同清单页、合同签订日期页）为准。 3、未提供或提供的业绩不符合要求，均不得分。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 2.满足招标文件实质性要求且最终报价最低的供应商的价格为投标基准价，其价格分为满分40分。 3.投标报价得分=（投标基准价/最终投标报价）×40。 4.投标报价不完整的，不进入投标基准价的计算，本项得0分。 5.根据《国务院办公厅关于在政府采购中实施本国产品标准及相关政策的通知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开标一览表及分项报价表.docx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详见附件：开标一览表及分项报价表.docx</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