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keepNext w:val="0"/>
        <w:keepLines w:val="0"/>
        <w:pageBreakBefore w:val="0"/>
        <w:numPr>
          <w:ilvl w:val="0"/>
          <w:numId w:val="0"/>
        </w:numPr>
        <w:kinsoku/>
        <w:wordWrap/>
        <w:overflowPunct/>
        <w:topLinePunct w:val="0"/>
        <w:autoSpaceDE/>
        <w:autoSpaceDN/>
        <w:bidi w:val="0"/>
        <w:adjustRightInd/>
        <w:snapToGrid/>
        <w:spacing w:before="468" w:beforeLines="150" w:line="360" w:lineRule="auto"/>
        <w:jc w:val="center"/>
        <w:textAlignment w:val="auto"/>
        <w:outlineLvl w:val="1"/>
        <w:rPr>
          <w:rFonts w:hint="eastAsia" w:asciiTheme="minorEastAsia" w:hAnsiTheme="minorEastAsia" w:eastAsiaTheme="minorEastAsia" w:cstheme="minorEastAsia"/>
          <w:b/>
          <w:color w:val="auto"/>
          <w:sz w:val="32"/>
          <w:szCs w:val="32"/>
          <w:highlight w:val="none"/>
        </w:rPr>
      </w:pPr>
      <w:bookmarkStart w:id="0" w:name="_Toc26520"/>
      <w:bookmarkStart w:id="1" w:name="_Toc14361"/>
      <w:r>
        <w:rPr>
          <w:rFonts w:hint="eastAsia" w:asciiTheme="minorEastAsia" w:hAnsiTheme="minorEastAsia" w:eastAsiaTheme="minorEastAsia" w:cstheme="minorEastAsia"/>
          <w:b/>
          <w:color w:val="auto"/>
          <w:sz w:val="32"/>
          <w:szCs w:val="32"/>
          <w:highlight w:val="none"/>
        </w:rPr>
        <w:t>供应商资</w:t>
      </w:r>
      <w:r>
        <w:rPr>
          <w:rFonts w:hint="eastAsia" w:asciiTheme="minorEastAsia" w:hAnsiTheme="minorEastAsia" w:eastAsiaTheme="minorEastAsia" w:cstheme="minorEastAsia"/>
          <w:b/>
          <w:color w:val="auto"/>
          <w:sz w:val="32"/>
          <w:szCs w:val="32"/>
          <w:highlight w:val="none"/>
          <w:lang w:eastAsia="zh-CN"/>
        </w:rPr>
        <w:t>格</w:t>
      </w:r>
      <w:r>
        <w:rPr>
          <w:rFonts w:hint="eastAsia" w:asciiTheme="minorEastAsia" w:hAnsiTheme="minorEastAsia" w:eastAsiaTheme="minorEastAsia" w:cstheme="minorEastAsia"/>
          <w:b/>
          <w:color w:val="auto"/>
          <w:sz w:val="32"/>
          <w:szCs w:val="32"/>
          <w:highlight w:val="none"/>
        </w:rPr>
        <w:t>证明文件</w:t>
      </w:r>
      <w:bookmarkEnd w:id="0"/>
      <w:bookmarkEnd w:id="1"/>
    </w:p>
    <w:p w14:paraId="09D9EC52">
      <w:pPr>
        <w:pStyle w:val="14"/>
        <w:keepNext w:val="0"/>
        <w:keepLines w:val="0"/>
        <w:pageBreakBefore w:val="0"/>
        <w:kinsoku/>
        <w:wordWrap/>
        <w:overflowPunct/>
        <w:topLinePunct w:val="0"/>
        <w:autoSpaceDE/>
        <w:autoSpaceDN/>
        <w:bidi w:val="0"/>
        <w:adjustRightInd/>
        <w:snapToGrid/>
        <w:spacing w:line="360" w:lineRule="auto"/>
        <w:textAlignment w:val="auto"/>
      </w:pPr>
      <w:bookmarkStart w:id="2" w:name="_Toc6005"/>
      <w:r>
        <w:rPr>
          <w:rFonts w:ascii="仿宋_GB2312" w:hAnsi="仿宋_GB2312" w:eastAsia="仿宋_GB2312" w:cs="仿宋_GB2312"/>
        </w:rPr>
        <w:t>1、营业执照：具有独立承担民事责任能力的法人或其他组织，并出具合法有效的营业执照或事业单位法人证书等国家规定的相关证明；</w:t>
      </w:r>
    </w:p>
    <w:p w14:paraId="4C0A9881">
      <w:pPr>
        <w:pStyle w:val="14"/>
        <w:keepNext w:val="0"/>
        <w:keepLines w:val="0"/>
        <w:pageBreakBefore w:val="0"/>
        <w:kinsoku/>
        <w:wordWrap/>
        <w:overflowPunct/>
        <w:topLinePunct w:val="0"/>
        <w:autoSpaceDE/>
        <w:autoSpaceDN/>
        <w:bidi w:val="0"/>
        <w:adjustRightInd/>
        <w:snapToGrid/>
        <w:spacing w:line="360" w:lineRule="auto"/>
        <w:textAlignment w:val="auto"/>
        <w:rPr>
          <w:rFonts w:ascii="仿宋_GB2312" w:hAnsi="仿宋_GB2312" w:eastAsia="仿宋_GB2312" w:cs="仿宋_GB2312"/>
        </w:rPr>
      </w:pPr>
      <w:r>
        <w:rPr>
          <w:rFonts w:ascii="仿宋_GB2312" w:hAnsi="仿宋_GB2312" w:eastAsia="仿宋_GB2312" w:cs="仿宋_GB2312"/>
        </w:rPr>
        <w:t>2、法定代表人委托授权书/法定代表人身份证明：提供法定代表人授权书（附法定代表人身份证复印件）及被授权代理人身份证复印件（法定代表人直接参加只需提供法定代表人身份证复印件）；</w:t>
      </w:r>
    </w:p>
    <w:p w14:paraId="2C0BEF4E">
      <w:pPr>
        <w:pStyle w:val="14"/>
        <w:keepNext w:val="0"/>
        <w:keepLines w:val="0"/>
        <w:pageBreakBefore w:val="0"/>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w:t>
      </w:r>
      <w:r>
        <w:rPr>
          <w:rFonts w:ascii="仿宋_GB2312" w:hAnsi="仿宋_GB2312" w:eastAsia="仿宋_GB2312" w:cs="仿宋_GB2312"/>
        </w:rPr>
        <w:t>资质</w:t>
      </w:r>
      <w:r>
        <w:rPr>
          <w:rFonts w:hint="eastAsia" w:ascii="仿宋_GB2312" w:hAnsi="仿宋_GB2312" w:eastAsia="仿宋_GB2312" w:cs="仿宋_GB2312"/>
          <w:lang w:val="en-US" w:eastAsia="zh-CN"/>
        </w:rPr>
        <w:t>要求：</w:t>
      </w:r>
      <w:r>
        <w:rPr>
          <w:rFonts w:ascii="仿宋_GB2312" w:hAnsi="仿宋_GB2312" w:eastAsia="仿宋_GB2312" w:cs="仿宋_GB2312"/>
          <w:lang w:eastAsia="zh-CN"/>
        </w:rPr>
        <w:t>投标人须具备由中国民用航空局核发的民用无人驾驶航空器运营合格证</w:t>
      </w:r>
      <w:r>
        <w:rPr>
          <w:rFonts w:hint="eastAsia" w:ascii="仿宋_GB2312" w:hAnsi="仿宋_GB2312" w:eastAsia="仿宋_GB2312" w:cs="仿宋_GB2312"/>
          <w:lang w:eastAsia="zh-CN"/>
        </w:rPr>
        <w:t>（</w:t>
      </w:r>
      <w:r>
        <w:rPr>
          <w:rFonts w:ascii="仿宋_GB2312" w:hAnsi="仿宋_GB2312" w:eastAsia="仿宋_GB2312" w:cs="仿宋_GB2312"/>
          <w:lang w:eastAsia="zh-CN"/>
        </w:rPr>
        <w:t>提供证书复印件</w:t>
      </w:r>
      <w:r>
        <w:rPr>
          <w:rFonts w:hint="eastAsia" w:ascii="仿宋_GB2312" w:hAnsi="仿宋_GB2312" w:eastAsia="仿宋_GB2312" w:cs="仿宋_GB2312"/>
          <w:lang w:val="en-US" w:eastAsia="zh-CN"/>
        </w:rPr>
        <w:t>加盖公章</w:t>
      </w:r>
      <w:r>
        <w:rPr>
          <w:rFonts w:hint="eastAsia" w:ascii="仿宋_GB2312" w:hAnsi="仿宋_GB2312" w:eastAsia="仿宋_GB2312" w:cs="仿宋_GB2312"/>
          <w:lang w:eastAsia="zh-CN"/>
        </w:rPr>
        <w:t>）</w:t>
      </w:r>
      <w:r>
        <w:rPr>
          <w:rFonts w:ascii="仿宋_GB2312" w:hAnsi="仿宋_GB2312" w:eastAsia="仿宋_GB2312" w:cs="仿宋_GB2312"/>
          <w:lang w:eastAsia="zh-CN"/>
        </w:rPr>
        <w:t>；</w:t>
      </w:r>
    </w:p>
    <w:p w14:paraId="7C140C61">
      <w:pPr>
        <w:pStyle w:val="14"/>
        <w:keepNext w:val="0"/>
        <w:keepLines w:val="0"/>
        <w:pageBreakBefore w:val="0"/>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4</w:t>
      </w:r>
      <w:r>
        <w:rPr>
          <w:rFonts w:ascii="仿宋_GB2312" w:hAnsi="仿宋_GB2312" w:eastAsia="仿宋_GB2312" w:cs="仿宋_GB2312"/>
        </w:rPr>
        <w:t>、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14:paraId="087BD747">
      <w:pPr>
        <w:pStyle w:val="14"/>
        <w:keepNext w:val="0"/>
        <w:keepLines w:val="0"/>
        <w:pageBreakBefore w:val="0"/>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5</w:t>
      </w:r>
      <w:r>
        <w:rPr>
          <w:rFonts w:ascii="仿宋_GB2312" w:hAnsi="仿宋_GB2312" w:eastAsia="仿宋_GB2312" w:cs="仿宋_GB2312"/>
        </w:rPr>
        <w:t>、税收缴纳证明：提供截止至开标时间前六个月内任意一个月的纳税证明或完税证明，纳税证明或完税证明上应有代收机构或税务机关的公章，依法免税的单位应提供相关证明材料；</w:t>
      </w:r>
    </w:p>
    <w:p w14:paraId="6CDBB0C5">
      <w:pPr>
        <w:pStyle w:val="14"/>
        <w:keepNext w:val="0"/>
        <w:keepLines w:val="0"/>
        <w:pageBreakBefore w:val="0"/>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6</w:t>
      </w:r>
      <w:r>
        <w:rPr>
          <w:rFonts w:ascii="仿宋_GB2312" w:hAnsi="仿宋_GB2312" w:eastAsia="仿宋_GB2312" w:cs="仿宋_GB2312"/>
        </w:rPr>
        <w:t>、社会保障资金缴纳证明：提供截止至开标时间前六个月内任意一个月的社保缴费凭据或社保机构开具的社会保险参保缴费情况证明，依法不需要缴纳社会保障资金的单位应提供相关证明材料；</w:t>
      </w:r>
    </w:p>
    <w:p w14:paraId="44CEFCAA">
      <w:pPr>
        <w:pStyle w:val="14"/>
        <w:keepNext w:val="0"/>
        <w:keepLines w:val="0"/>
        <w:pageBreakBefore w:val="0"/>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7</w:t>
      </w:r>
      <w:r>
        <w:rPr>
          <w:rFonts w:ascii="仿宋_GB2312" w:hAnsi="仿宋_GB2312" w:eastAsia="仿宋_GB2312" w:cs="仿宋_GB2312"/>
        </w:rPr>
        <w:t>、无重大违法记录声明：参加政府采购活动前三年内，在经营活动中没有重大违法记录的书面声明；</w:t>
      </w:r>
    </w:p>
    <w:p w14:paraId="7E3328B3">
      <w:pPr>
        <w:pStyle w:val="14"/>
        <w:keepNext w:val="0"/>
        <w:keepLines w:val="0"/>
        <w:pageBreakBefore w:val="0"/>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8</w:t>
      </w:r>
      <w:r>
        <w:rPr>
          <w:rFonts w:ascii="仿宋_GB2312" w:hAnsi="仿宋_GB2312" w:eastAsia="仿宋_GB2312" w:cs="仿宋_GB2312"/>
        </w:rPr>
        <w:t>、信用查询：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14:paraId="6090758C">
      <w:pPr>
        <w:pStyle w:val="14"/>
        <w:keepNext w:val="0"/>
        <w:keepLines w:val="0"/>
        <w:pageBreakBefore w:val="0"/>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9</w:t>
      </w:r>
      <w:r>
        <w:rPr>
          <w:rFonts w:ascii="仿宋_GB2312" w:hAnsi="仿宋_GB2312" w:eastAsia="仿宋_GB2312" w:cs="仿宋_GB2312"/>
        </w:rPr>
        <w:t>、专业技术能力证明</w:t>
      </w:r>
      <w:r>
        <w:rPr>
          <w:rFonts w:hint="eastAsia" w:ascii="仿宋_GB2312" w:hAnsi="仿宋_GB2312" w:eastAsia="仿宋_GB2312" w:cs="仿宋_GB2312"/>
          <w:lang w:val="en-US" w:eastAsia="zh-CN"/>
        </w:rPr>
        <w:t>:</w:t>
      </w:r>
      <w:r>
        <w:rPr>
          <w:rFonts w:ascii="仿宋_GB2312" w:hAnsi="仿宋_GB2312" w:eastAsia="仿宋_GB2312" w:cs="仿宋_GB2312"/>
        </w:rPr>
        <w:t>提供具有履行合同所必需的设备和专业技术能力的书面声明；</w:t>
      </w:r>
    </w:p>
    <w:p w14:paraId="639F9B88">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eastAsia="仿宋_GB2312"/>
          <w:lang w:eastAsia="zh-CN"/>
        </w:rPr>
      </w:pPr>
      <w:r>
        <w:rPr>
          <w:rFonts w:hint="eastAsia" w:ascii="仿宋_GB2312" w:hAnsi="仿宋_GB2312" w:eastAsia="仿宋_GB2312" w:cs="仿宋_GB2312"/>
          <w:lang w:val="en-US" w:eastAsia="zh-CN"/>
        </w:rPr>
        <w:t>10</w:t>
      </w:r>
      <w:r>
        <w:rPr>
          <w:rFonts w:ascii="仿宋_GB2312" w:hAnsi="仿宋_GB2312" w:eastAsia="仿宋_GB2312" w:cs="仿宋_GB2312"/>
        </w:rPr>
        <w:t>、控股管理关系：单位负责人为同一人或者存在直接控股、管理关系的不同供应商，不得参加同一合同项下的政府采购活动；提供投标人企业关系关联承诺书；</w:t>
      </w:r>
    </w:p>
    <w:p w14:paraId="45E81E82">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eastAsia="仿宋_GB2312"/>
          <w:lang w:val="en-US" w:eastAsia="zh-CN"/>
        </w:rPr>
      </w:pPr>
      <w:r>
        <w:rPr>
          <w:rFonts w:hint="eastAsia" w:ascii="仿宋_GB2312" w:hAnsi="仿宋_GB2312" w:eastAsia="仿宋_GB2312" w:cs="仿宋_GB2312"/>
          <w:lang w:val="en-US" w:eastAsia="zh-CN"/>
        </w:rPr>
        <w:t>11</w:t>
      </w:r>
      <w:r>
        <w:rPr>
          <w:rFonts w:ascii="仿宋_GB2312" w:hAnsi="仿宋_GB2312" w:eastAsia="仿宋_GB2312" w:cs="仿宋_GB2312"/>
        </w:rPr>
        <w:t>、联合体投标：本项目不接受联合体投标；</w:t>
      </w:r>
    </w:p>
    <w:p w14:paraId="2BF78747">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bookmarkStart w:id="5" w:name="_GoBack"/>
      <w:bookmarkEnd w:id="5"/>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1A42DFE6">
      <w:pPr>
        <w:shd w:val="clear"/>
        <w:tabs>
          <w:tab w:val="left" w:pos="210"/>
        </w:tabs>
        <w:spacing w:line="320" w:lineRule="exact"/>
        <w:jc w:val="center"/>
        <w:rPr>
          <w:rFonts w:hint="eastAsia" w:asciiTheme="minorEastAsia" w:hAnsiTheme="minorEastAsia" w:eastAsiaTheme="minorEastAsia" w:cstheme="minorEastAsia"/>
          <w:b/>
          <w:kern w:val="0"/>
          <w:sz w:val="28"/>
          <w:szCs w:val="28"/>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7B7F68C">
      <w:pPr>
        <w:shd w:val="clear"/>
        <w:tabs>
          <w:tab w:val="left" w:pos="210"/>
        </w:tabs>
        <w:spacing w:line="320" w:lineRule="exact"/>
        <w:jc w:val="center"/>
        <w:rPr>
          <w:rFonts w:hint="eastAsia" w:asciiTheme="minorEastAsia" w:hAnsiTheme="minorEastAsia" w:eastAsiaTheme="minorEastAsia" w:cstheme="minorEastAsia"/>
          <w:b/>
          <w:kern w:val="0"/>
          <w:sz w:val="28"/>
          <w:szCs w:val="28"/>
          <w:highlight w:val="none"/>
        </w:rPr>
      </w:pPr>
      <w:r>
        <w:rPr>
          <w:rFonts w:hint="eastAsia" w:asciiTheme="minorEastAsia" w:hAnsiTheme="minorEastAsia" w:eastAsiaTheme="minorEastAsia" w:cstheme="minorEastAsia"/>
          <w:b/>
          <w:kern w:val="0"/>
          <w:sz w:val="28"/>
          <w:szCs w:val="28"/>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650BF776">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25850BCE">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4CDFB799">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both"/>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29FC277">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default" w:ascii="Times New Roman" w:hAnsi="Times New Roman" w:cs="Times New Roman"/>
          <w:highlight w:val="none"/>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C50B26"/>
    <w:rsid w:val="022B0E5C"/>
    <w:rsid w:val="026305F6"/>
    <w:rsid w:val="027D2D3A"/>
    <w:rsid w:val="02A66735"/>
    <w:rsid w:val="03F60FF6"/>
    <w:rsid w:val="04471852"/>
    <w:rsid w:val="05525E13"/>
    <w:rsid w:val="05E93B7E"/>
    <w:rsid w:val="078A2181"/>
    <w:rsid w:val="079052BE"/>
    <w:rsid w:val="08400A92"/>
    <w:rsid w:val="095A2027"/>
    <w:rsid w:val="09AA7B40"/>
    <w:rsid w:val="0BAA1044"/>
    <w:rsid w:val="0CEE31B2"/>
    <w:rsid w:val="0E257559"/>
    <w:rsid w:val="0E810327"/>
    <w:rsid w:val="0EB14497"/>
    <w:rsid w:val="0F1A64E0"/>
    <w:rsid w:val="108B58A6"/>
    <w:rsid w:val="111B209C"/>
    <w:rsid w:val="116003F7"/>
    <w:rsid w:val="11D32976"/>
    <w:rsid w:val="12FC7CAB"/>
    <w:rsid w:val="130D3C66"/>
    <w:rsid w:val="158D220A"/>
    <w:rsid w:val="16421E79"/>
    <w:rsid w:val="1772367E"/>
    <w:rsid w:val="1B395F40"/>
    <w:rsid w:val="1C576E13"/>
    <w:rsid w:val="1D64591B"/>
    <w:rsid w:val="1E454BFC"/>
    <w:rsid w:val="1E6D01D4"/>
    <w:rsid w:val="1E937715"/>
    <w:rsid w:val="1FA871F0"/>
    <w:rsid w:val="204213F3"/>
    <w:rsid w:val="20736DC8"/>
    <w:rsid w:val="20AE4CDA"/>
    <w:rsid w:val="22250FCC"/>
    <w:rsid w:val="238E0DF3"/>
    <w:rsid w:val="24CC1BD3"/>
    <w:rsid w:val="24F627AC"/>
    <w:rsid w:val="29DB4666"/>
    <w:rsid w:val="2C047EA4"/>
    <w:rsid w:val="2D6F57F1"/>
    <w:rsid w:val="2F407445"/>
    <w:rsid w:val="30BB1F7C"/>
    <w:rsid w:val="314825E1"/>
    <w:rsid w:val="31C94E6C"/>
    <w:rsid w:val="322C5A5F"/>
    <w:rsid w:val="32582CF8"/>
    <w:rsid w:val="32D22AAA"/>
    <w:rsid w:val="33484B1B"/>
    <w:rsid w:val="339C09C3"/>
    <w:rsid w:val="348737BA"/>
    <w:rsid w:val="353313D6"/>
    <w:rsid w:val="37873738"/>
    <w:rsid w:val="37AD13F0"/>
    <w:rsid w:val="39930ABA"/>
    <w:rsid w:val="3A7A7584"/>
    <w:rsid w:val="3B1E4662"/>
    <w:rsid w:val="3BB23479"/>
    <w:rsid w:val="3BD66A3C"/>
    <w:rsid w:val="3BE64ED1"/>
    <w:rsid w:val="3C406CD7"/>
    <w:rsid w:val="3CF17FD1"/>
    <w:rsid w:val="3E155A10"/>
    <w:rsid w:val="3E4B1963"/>
    <w:rsid w:val="43635059"/>
    <w:rsid w:val="43E443EC"/>
    <w:rsid w:val="45482758"/>
    <w:rsid w:val="45A2235F"/>
    <w:rsid w:val="46DA7D28"/>
    <w:rsid w:val="47152B0E"/>
    <w:rsid w:val="47BB0747"/>
    <w:rsid w:val="48D662CD"/>
    <w:rsid w:val="49C01457"/>
    <w:rsid w:val="49F44C5D"/>
    <w:rsid w:val="4B383BAD"/>
    <w:rsid w:val="4C7D362F"/>
    <w:rsid w:val="4E4361B3"/>
    <w:rsid w:val="4EC725E9"/>
    <w:rsid w:val="4ED908C5"/>
    <w:rsid w:val="4F6F4D85"/>
    <w:rsid w:val="509E1DC6"/>
    <w:rsid w:val="51A4266D"/>
    <w:rsid w:val="521C7FD0"/>
    <w:rsid w:val="52A66D10"/>
    <w:rsid w:val="58816255"/>
    <w:rsid w:val="58F509F1"/>
    <w:rsid w:val="597731B4"/>
    <w:rsid w:val="59D14FBA"/>
    <w:rsid w:val="5A2068A0"/>
    <w:rsid w:val="5A252C10"/>
    <w:rsid w:val="5A5C0D28"/>
    <w:rsid w:val="5BAC183B"/>
    <w:rsid w:val="5CF95962"/>
    <w:rsid w:val="6044256D"/>
    <w:rsid w:val="611A0FF5"/>
    <w:rsid w:val="613C540F"/>
    <w:rsid w:val="636B3D8A"/>
    <w:rsid w:val="64085A7D"/>
    <w:rsid w:val="65F91E7E"/>
    <w:rsid w:val="66456B14"/>
    <w:rsid w:val="669D2C1C"/>
    <w:rsid w:val="66C537B1"/>
    <w:rsid w:val="672F1572"/>
    <w:rsid w:val="69B95123"/>
    <w:rsid w:val="69D361E5"/>
    <w:rsid w:val="6A484E25"/>
    <w:rsid w:val="6DB53780"/>
    <w:rsid w:val="6DF36E56"/>
    <w:rsid w:val="6DF57072"/>
    <w:rsid w:val="6E804461"/>
    <w:rsid w:val="721455EC"/>
    <w:rsid w:val="725B321B"/>
    <w:rsid w:val="732E26DE"/>
    <w:rsid w:val="73BB6668"/>
    <w:rsid w:val="7427609D"/>
    <w:rsid w:val="748E5B2A"/>
    <w:rsid w:val="7499627D"/>
    <w:rsid w:val="74FF4332"/>
    <w:rsid w:val="75A5137D"/>
    <w:rsid w:val="77266124"/>
    <w:rsid w:val="78AF2513"/>
    <w:rsid w:val="7A4B1DC7"/>
    <w:rsid w:val="7ABC4A73"/>
    <w:rsid w:val="7BC10593"/>
    <w:rsid w:val="7C09018C"/>
    <w:rsid w:val="7C232FFC"/>
    <w:rsid w:val="7DC22AA0"/>
    <w:rsid w:val="7DF870B2"/>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3400</Words>
  <Characters>3510</Characters>
  <Lines>0</Lines>
  <Paragraphs>0</Paragraphs>
  <TotalTime>0</TotalTime>
  <ScaleCrop>false</ScaleCrop>
  <LinksUpToDate>false</LinksUpToDate>
  <CharactersWithSpaces>4737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2026-06-04T09:36:27Z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