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DB69C4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一、项目概况</w:t>
      </w:r>
    </w:p>
    <w:p w14:paraId="68711659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1.项目基本信息</w:t>
      </w:r>
    </w:p>
    <w:p w14:paraId="07DE963C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1)项目名称：中共陕西省委党校供热系统更新改造（供热系统高效改造）</w:t>
      </w:r>
    </w:p>
    <w:p w14:paraId="52D84D69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2)采购单位：中共陕西省委党校</w:t>
      </w:r>
    </w:p>
    <w:p w14:paraId="135D2E64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3)采购预算总金额：552940.00元</w:t>
      </w:r>
    </w:p>
    <w:p w14:paraId="671F0F46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4)资金来源：一般公共预算资金</w:t>
      </w:r>
    </w:p>
    <w:p w14:paraId="57989DB2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5)采购方式：竞争性磋商，部门集中采购，工程类项目</w:t>
      </w:r>
    </w:p>
    <w:p w14:paraId="470045B2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6)实施地点：陕西省委党校5号学员楼供热机房</w:t>
      </w:r>
    </w:p>
    <w:p w14:paraId="16FEF1FB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2.项目建设背景</w:t>
      </w:r>
    </w:p>
    <w:p w14:paraId="2864BDFF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5号学员楼原有供热设备2008年投入使用，截至2026年已连续运行18年，达到设备法定报废年限。设备长期缺乏专业维保，存在多重安全与环保问题：原真空热水机组热效率衰减、氮氧化物排放超标；各类循环水泵、增压泵老化能耗高；水处理设备、钢制水箱锈蚀失效；原有DN150供热管道腐蚀壁厚不足，存在泄漏风险；配套仪表、阀门、支架保温防腐全部老化，同时原有简易彩钢机房结构破损，屋面、地面、墙体渗漏破损。原有系统热效率低、运行噪音超标、能耗高、环保不达标，存在触电、燃气泄漏、管道爆裂等重大安全隐患，不符合现行超低氮排放、节能降耗、安全生产规范要求。依据2026年度单位工作计划及财政预算安排，实施供热系统整体拆除、设备换新、管道更换、机房土建翻新、系统调试全流程改造，实现供热系统高效、低氮、节能、安全稳定运行。</w:t>
      </w:r>
    </w:p>
    <w:p w14:paraId="1A65C151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3.项目改造目标</w:t>
      </w:r>
    </w:p>
    <w:p w14:paraId="5B49193F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1)环保指标：锅炉满足超低氮燃气排放要求，氮氧化物排放符合陕西省地方燃气锅炉排放标准；</w:t>
      </w:r>
    </w:p>
    <w:p w14:paraId="216AB3C0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2)节能指标：主机、水泵均选用一级能效设备，系统综合换热效率≥98%，较原有系统综合能耗降低20%以上；</w:t>
      </w:r>
    </w:p>
    <w:p w14:paraId="7143284C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3)安全指标：设备承压、管道焊接、保温防腐、自控仪表全部符合现行消防、燃气、暖通安装规范，消除漏电、漏水、漏气隐患；</w:t>
      </w:r>
    </w:p>
    <w:p w14:paraId="7E55AAC3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4)使用性能：采暖、生活热水双回路独立稳定供水，变频水泵一用一备自动切换，全流程温度、压力实时监测；</w:t>
      </w:r>
    </w:p>
    <w:p w14:paraId="394F867D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5)机房配套：同步完成机房土建拆除、结构加固、围护、防水、地面墙面装饰，满足设备安装运维标准。</w:t>
      </w:r>
    </w:p>
    <w:p w14:paraId="5A93F53D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二、工程内容、施工地点、计划工期、缺陷责任期、质量保修期</w:t>
      </w:r>
    </w:p>
    <w:p w14:paraId="6327E47C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（一）施工地点</w:t>
      </w:r>
    </w:p>
    <w:p w14:paraId="10D2BD4F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中共陕西省委党校5号学员楼原有供热机房及配套屋面、室内供热管线区域。</w:t>
      </w:r>
    </w:p>
    <w:p w14:paraId="5F15271E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（二）工程完整施工内容</w:t>
      </w:r>
    </w:p>
    <w:p w14:paraId="0CB557BC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本项目分为原有设施拆除工程、供热设备及管道安装工程、机房土建翻新工程、系统调试、配套措施工程五大板块：</w:t>
      </w:r>
    </w:p>
    <w:p w14:paraId="473C9E5A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1.拆除工程</w:t>
      </w:r>
    </w:p>
    <w:p w14:paraId="5B4A5665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·供热设备拆除：700kW真空热水机组1台；生活热水循环泵、锅炉循环泵、自来水增压泵共6台；10t/h水处理设备1台；1m³钢制补水水箱1台；DN150无缝钢管59.89m；旧设备基础、墙垫、地面抹灰层、原有彩钢夹芯板机房整体拆除；建筑垃圾装车外运（虚方34.44m³，含消纳费）。</w:t>
      </w:r>
    </w:p>
    <w:p w14:paraId="61347048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1)新增供热采暖安装工程（1）主机设备：700kW超低氮燃气真空热水锅炉1台；5m³不锈钢承压水箱1台；采暖循环泵、生活热水一次/二次循环泵合计6台（全部变频一用一备、一级能效永磁一体机）；电子水处理仪1台；（2）管道系统：DN150无缝钢管79.29m、DN50无缝钢管4.87m，全部焊接安装，含压力试验、冲洗；（3）阀门管件：电磁阀、截止阀、闸阀、止回阀、Y型过滤器、软接头、法兰、水表全套配套；（4）自控仪表：压力表、温度计、室内外温度传感器、压力控制器成套安装；（5）辅助结构：管道支架102.5kg；橡塑管道绝热、薄钢板保护层、管道除锈防腐、色环刷油；（6）系统调试：整套采暖供热系统整体调试1项。</w:t>
      </w:r>
    </w:p>
    <w:p w14:paraId="44BCB168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2)机房土建改造工程</w:t>
      </w:r>
    </w:p>
    <w:p w14:paraId="2C1A33D8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混凝土：C20/C25设备基础、C40高强灌浆料地圈梁、模板、HRB400钢筋、预埋铁件、植筋；</w:t>
      </w:r>
    </w:p>
    <w:p w14:paraId="78899022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围护结构：热镀锌钢管柱、钢梁、钢檩条、钢支撑、彩钢保温墙板、保温屋面板，金属构件防火涂料喷涂；</w:t>
      </w:r>
    </w:p>
    <w:p w14:paraId="4A4E9BDE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门窗防水：88系列双银Low-E塑钢门窗、楼地面聚氨酯涂膜防水、原屋面防水修补、水泥砂浆地面、内墙抹灰乳胶漆；</w:t>
      </w:r>
    </w:p>
    <w:p w14:paraId="60807098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3)措施工程：安全文明施工、冬雨季施工、夜间施工、二次搬运、测量放线、吊装加固、土建专项措施配套。</w:t>
      </w:r>
    </w:p>
    <w:p w14:paraId="78092529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（三）计划工期</w:t>
      </w:r>
    </w:p>
    <w:p w14:paraId="61EAD835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1)总工期：合同签订后30日历天，包含旧设备拆除、土建施工、设备管道安装、保温防腐、系统试压、整体调试、现场清理验收全部工作；</w:t>
      </w:r>
    </w:p>
    <w:p w14:paraId="434E5F42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2)节点要求：（1）进场3日内完成现场防护、原有设备断电断气断水；（2）7日内完成全部旧设备、旧管道、旧机房拆除及垃圾外运；（3）15日内完成土建结构、围护、防水、地面墙体施工；（4）20日内完成全部设备、管道、阀门、仪表安装、保温防腐；（5）30日内完成试压冲洗、系统调试、场地清理、竣工验收交付。</w:t>
      </w:r>
    </w:p>
    <w:p w14:paraId="25765459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（四）缺陷责任期</w:t>
      </w:r>
    </w:p>
    <w:p w14:paraId="5AF6DAAD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自项目竣工验收合格之日起24个月，缺陷责任期内中标单位免费对工程质量缺陷、设备故障、管道渗漏、自控失灵等问题进行维修、更换、调试，所有人工、材料、设备费用由中标单位承担。</w:t>
      </w:r>
    </w:p>
    <w:p w14:paraId="591D797D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（五）质量保修期</w:t>
      </w:r>
    </w:p>
    <w:p w14:paraId="208E42AB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1)供热主机、水泵、水处理、自控仪表等核心设备：整机质保5年，核心燃烧器、变频电机质保5年；</w:t>
      </w:r>
    </w:p>
    <w:p w14:paraId="7F4FF4E9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2)管道、阀门、法兰、保温防腐安装工程：质保3年；</w:t>
      </w:r>
    </w:p>
    <w:p w14:paraId="1895E172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3)机房土建、钢结构、防水、门窗装饰工程：防水工程质保5年，其余土建装饰质保2年；</w:t>
      </w:r>
    </w:p>
    <w:p w14:paraId="3E165B58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4)质保期内非人为损坏、非不可抗力造成的故障，免费上门维修、更换配件，4小时内响应，24小时到场处置。</w:t>
      </w:r>
    </w:p>
    <w:p w14:paraId="5F04679B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三、工程量清单和编制依据</w:t>
      </w:r>
    </w:p>
    <w:p w14:paraId="51FABD8C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（一）工程量清单范围</w:t>
      </w:r>
    </w:p>
    <w:p w14:paraId="3696C7D3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清单分为三大专业分部分项清单、措施项目清单、其他项目清单：</w:t>
      </w:r>
    </w:p>
    <w:p w14:paraId="3F1E5CCF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1)通用安装（采暖供热）清单：设备拆除、新建设备、管道、阀门、仪表、保温防腐、系统调试；</w:t>
      </w:r>
    </w:p>
    <w:p w14:paraId="10DB8231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2)房屋建筑与装饰（土建）清单：混凝土、钢筋、钢结构、门窗、防水、楼地面、拆除、垃圾外运；</w:t>
      </w:r>
    </w:p>
    <w:p w14:paraId="4A997320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3)措施项目清单：安全文明施工、冬雨季、夜间、二次搬运、吊装、测量等通用及专业措施；</w:t>
      </w:r>
    </w:p>
    <w:p w14:paraId="78E8098A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4)其他项目清单：暂列金额、专业工程暂估价、计日工、总承包服务费、优质工程、智慧工地增加费。完整工程量详见附件《供热系统更新改造-清单.PDF》，所有工程量为招标控制计量数量，结算以现场实际完成合格工程量为准。</w:t>
      </w:r>
    </w:p>
    <w:p w14:paraId="69D65AFB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（二）清单编制依据</w:t>
      </w:r>
    </w:p>
    <w:p w14:paraId="1E725067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1)法律法规：《中华人民共和国政府采购法》《政府采购促进中小企业发展管理办法》《建设工程工程量清单计价规范》（GB50500-2013）；</w:t>
      </w:r>
    </w:p>
    <w:p w14:paraId="1C33B79E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2)专业定额：陕西省2009安装工程消耗量定额、陕西省房屋建筑与装饰工程消耗量定额、陕西省现行取费标准；</w:t>
      </w:r>
    </w:p>
    <w:p w14:paraId="1AABBA45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3)设计文件：供热系统改造施工图纸、设计说明、设备技术参数要求；</w:t>
      </w:r>
    </w:p>
    <w:p w14:paraId="23E6F02A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4)财政文件：2026年陕西省本级政府采购备案书、单位年度专项经费预算批复；</w:t>
      </w:r>
    </w:p>
    <w:p w14:paraId="2F7D3A5D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5)行业规范：《城镇供热管网设计规范》《燃气真空热水机组技术条件》《建筑钢结构防火技术规范》《通风与空调工程施工质量验收规范》；</w:t>
      </w:r>
    </w:p>
    <w:p w14:paraId="5796B209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6)现场资料：5号学员楼原有供热机房现状勘查记录、设备报废说明、安全隐患排查报告。</w:t>
      </w:r>
    </w:p>
    <w:p w14:paraId="52CB9ACB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四、施工要求</w:t>
      </w:r>
    </w:p>
    <w:p w14:paraId="0B66EB14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总体施工标准</w:t>
      </w:r>
    </w:p>
    <w:p w14:paraId="308E3C8C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全部施工工序严格执行国家、陕西省现行暖通、燃气、土建、钢结构、防水、防腐保温施工及验收规范，工程质量达到合格标准，满足竣工验收备案要求，配合采购单位完成财政、住建相关验收核查。</w:t>
      </w:r>
    </w:p>
    <w:p w14:paraId="5CCA8AE2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1.拆除施工要求</w:t>
      </w:r>
    </w:p>
    <w:p w14:paraId="7F400A92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1)拆除前切断燃气、电力、给排水管线，做好机房周边成品保护，设置安全围挡、警示标识；</w:t>
      </w:r>
    </w:p>
    <w:p w14:paraId="17CB1E3C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2)锅炉、水泵、水箱、管道分段拆解，轻吊轻放，不得破坏原有建筑主体结构；</w:t>
      </w:r>
    </w:p>
    <w:p w14:paraId="264F8C42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3)拆除废渣、废旧设备分类堆放，当日完成装车外运，虚方垃圾全部清运出场，承担垃圾消纳全部费用；</w:t>
      </w:r>
    </w:p>
    <w:p w14:paraId="3A350EF7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4)拆除完成后清理基层，保证土建施工工作面平整干净。</w:t>
      </w:r>
    </w:p>
    <w:p w14:paraId="73399291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2.设备安装施工要求</w:t>
      </w:r>
    </w:p>
    <w:p w14:paraId="6309F4EE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1)锅炉、水泵基础采用商品混凝土浇筑，预埋铁件、植筋锚固牢固，设备底座加装减震装置，降低运行噪音；</w:t>
      </w:r>
    </w:p>
    <w:p w14:paraId="221564F6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2)燃气管道、供热承压管道全部氩电联焊，焊缝100%外观检查，系统分阶段水压试验、吹扫冲洗，试验压力满足1.0MPa承压设计要求；</w:t>
      </w:r>
    </w:p>
    <w:p w14:paraId="34DB1EAE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3)水泵、仪表、传感器安装水平垂直，变频控制柜布线规范，强弱电分离，接地保护可靠；</w:t>
      </w:r>
    </w:p>
    <w:p w14:paraId="55C88FFA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4)所有设备铭牌、参数、合格证留存归档，设备间距、检修通道满足运维操作空间。</w:t>
      </w:r>
    </w:p>
    <w:p w14:paraId="7B3F7C9C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3.管道、保温防腐施工</w:t>
      </w:r>
    </w:p>
    <w:p w14:paraId="3120C34F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1)无缝钢管内外除锈，两道防锈底漆；管道采用B1级难燃橡塑保温，厚度36mm，机房明装管道外包0.5mm薄钢板保护层；</w:t>
      </w:r>
    </w:p>
    <w:p w14:paraId="15F805B3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2)冷热管道涂刷区分色环，供水管绿色标识，补给水管道灰色调和漆；</w:t>
      </w:r>
    </w:p>
    <w:p w14:paraId="2A483DA9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3)法兰、阀门、软接头配套齐全，止回阀、过滤器、电磁阀安装方向正确，便于后期检修。</w:t>
      </w:r>
    </w:p>
    <w:p w14:paraId="76061B8D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4.机房土建及钢结构施工</w:t>
      </w:r>
    </w:p>
    <w:p w14:paraId="5FA75568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1)钢结构构件全部热镀锌，钢柱、钢梁、檩条喷涂薄涂型防火涂料，满足二级耐火时限；</w:t>
      </w:r>
    </w:p>
    <w:p w14:paraId="139EB8D0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2)屋面、地面双层SBS防水卷材施工，阴阳角、管根增设防水附加层，完工后闭水试验无渗漏；</w:t>
      </w:r>
    </w:p>
    <w:p w14:paraId="149D4896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3)塑钢门窗采用6+12Ar+6双银Low-E中空玻璃，密封保温，满足隔声节能要求；</w:t>
      </w:r>
    </w:p>
    <w:p w14:paraId="02754D55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4)内墙分层抹灰、两道腻子两道乳胶漆，地面细石混凝土找坡，排水通畅无积水。</w:t>
      </w:r>
    </w:p>
    <w:p w14:paraId="581945C3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5.安全文明施工要求</w:t>
      </w:r>
    </w:p>
    <w:p w14:paraId="4E6B0D17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1.落实扬尘治理、噪声管控，施工时段避开学员休息时间；</w:t>
      </w:r>
    </w:p>
    <w:p w14:paraId="5C1767D9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2.配备专职安全员，高空吊装、动火作业办理专项作业许可，燃气施工配备消防器材；</w:t>
      </w:r>
    </w:p>
    <w:p w14:paraId="54F97119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3.施工现场实名制管理，安全防护用品佩戴齐全，完工后场地恢复整洁。</w:t>
      </w:r>
    </w:p>
    <w:p w14:paraId="6647D6A2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6.系统调试要求</w:t>
      </w:r>
    </w:p>
    <w:p w14:paraId="465EB497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1)全部设备单机试运转，水泵变频切换、锅炉启停、仪表信号采集功能测试；</w:t>
      </w:r>
    </w:p>
    <w:p w14:paraId="042EDBA6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2)采暖、生活热水双回路联动调试，稳定运行72小时无泄漏、无超温超压、无异常噪音；</w:t>
      </w:r>
    </w:p>
    <w:p w14:paraId="17263298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3)出具完整调试记录、运行参数报告，对采购单位运维人员完成操作培训。</w:t>
      </w:r>
    </w:p>
    <w:p w14:paraId="6AA1E540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五、主要材料及设备技术参数与性能指标</w:t>
      </w:r>
    </w:p>
    <w:p w14:paraId="7E53B35E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（一）核心供热设备</w:t>
      </w:r>
    </w:p>
    <w:p w14:paraId="3A9005F4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1)超低氮燃气真空热水锅炉（1台）</w:t>
      </w:r>
    </w:p>
    <w:p w14:paraId="00B727AB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额定输出功率：700kW；</w:t>
      </w:r>
    </w:p>
    <w:p w14:paraId="33210022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回路设计：采暖回路、卫生热水回路双独立换热，单回路换热量467kW；</w:t>
      </w:r>
    </w:p>
    <w:p w14:paraId="4EF47404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承压标准：1.0MPa；供回水设计温度60/50℃；</w:t>
      </w:r>
    </w:p>
    <w:p w14:paraId="3285E6B3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环保性能：超低氮燃烧器，NOₓ排放≤30mg/m³，符合陕西燃气锅炉超低氮标准；</w:t>
      </w:r>
    </w:p>
    <w:p w14:paraId="729EB21F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热效率：额定工况热效率≥103%；</w:t>
      </w:r>
    </w:p>
    <w:p w14:paraId="4FA1CC36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控制：全自动PLC自控，温度、压力连锁保护，超温、超压、熄火自动停机报警。</w:t>
      </w:r>
    </w:p>
    <w:p w14:paraId="22951EF0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2)不锈钢立式承压水箱（1台）</w:t>
      </w:r>
    </w:p>
    <w:p w14:paraId="2A6A31C8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有效容积：5m³；设计承压0.6MPa；</w:t>
      </w:r>
    </w:p>
    <w:p w14:paraId="26D7DB07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材质：食品级304不锈钢，内外抛光，防腐防锈，配套排污、溢流、测温接口。</w:t>
      </w:r>
    </w:p>
    <w:p w14:paraId="2CAA7B60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3)循环水泵（共6台，全部永磁变频一体机，一用一备）（1）采暖循环泵2台：流量46.7m³/h，扬程28m，功率5.5kW，配套减震底座，A级低噪音；（2）生活热水一次循环泵2台：流量10m³/h，扬程12m，功率1.5kW；（3）生活热水二次循环泵2台：流量10m³/h，扬程20m，功率2.0kW；</w:t>
      </w:r>
    </w:p>
    <w:p w14:paraId="61FA6953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·性能：变频无级调节，低噪节能，缺水、过载、过热自动保护。</w:t>
      </w:r>
    </w:p>
    <w:p w14:paraId="7661A3EE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1.电子水处理仪（1台）</w:t>
      </w:r>
    </w:p>
    <w:p w14:paraId="478D1935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·功率25W，全程防垢、除垢、抑菌，适配系统10t/h水处理流量。</w:t>
      </w:r>
    </w:p>
    <w:p w14:paraId="1FFDD847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（二）管道及配套管件</w:t>
      </w:r>
    </w:p>
    <w:p w14:paraId="7AF7CB08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1.无缝钢管：DN150、DN50，20#无缝钢管，焊接连接，设计承压1.0MPa；</w:t>
      </w:r>
    </w:p>
    <w:p w14:paraId="396FAE06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2.阀门系列：J41H-16C截止阀、H41X-16C止回阀、DN150电磁阀、Y型过滤器、橡胶软接头、碳钢平焊法兰DN150；</w:t>
      </w:r>
    </w:p>
    <w:p w14:paraId="47AF2663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3.仪表：Y-150压力表0~1.0MPa、WNG-11温度计、室内外温度传感器、压力控制器，全套配套阀门管件。</w:t>
      </w:r>
    </w:p>
    <w:p w14:paraId="29312944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（三）保温、防腐、围护材料</w:t>
      </w:r>
    </w:p>
    <w:p w14:paraId="24F4F8BD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1.管道绝热：B1级难燃橡塑保温管，厚度36mm；</w:t>
      </w:r>
    </w:p>
    <w:p w14:paraId="77A3303B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2.保护层：0.5mm薄钢板，机房明装管道全覆盖；</w:t>
      </w:r>
    </w:p>
    <w:p w14:paraId="74E5D430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3.钢结构：Q235B钢材，整体热镀锌，薄涂型防火涂料厚度≥10mm；</w:t>
      </w:r>
    </w:p>
    <w:p w14:paraId="64193E04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4.防水：1.5mm聚氨酯涂膜、3mm+4mm双层SBS改性沥青防水卷材；</w:t>
      </w:r>
    </w:p>
    <w:p w14:paraId="094A8B73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5.门窗：88系列塑钢型材，6+12Ar+6双银Low-E高透光中空玻璃。</w:t>
      </w:r>
    </w:p>
    <w:p w14:paraId="3C1F81D1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（四）土建材料</w:t>
      </w:r>
    </w:p>
    <w:p w14:paraId="015F73D9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1.混凝土：C25、C20商品混凝土，C40高强灌浆料；</w:t>
      </w:r>
    </w:p>
    <w:p w14:paraId="64C44C73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2.钢筋：HRB400螺纹钢Φ12~14、箍筋≤Φ10；A级植筋胶；</w:t>
      </w:r>
    </w:p>
    <w:p w14:paraId="4311823C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3.围护板材：0.6mm外层彩钢板、0.4mm内层彩钢，100mm玻璃丝绵保温芯材。</w:t>
      </w:r>
    </w:p>
    <w:p w14:paraId="746417FB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六、商务要求</w:t>
      </w:r>
    </w:p>
    <w:p w14:paraId="487AD61E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（一）合同价款约定</w:t>
      </w:r>
    </w:p>
    <w:p w14:paraId="0C5263B8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1.本项目政府采购预算上限：552940.00元，投标报价不得超过预算总价，超出预算报价按无效投标处理；</w:t>
      </w:r>
    </w:p>
    <w:p w14:paraId="15C97677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2.合同价款形式：固定单价合同，投标综合单价包含设备采购、运输、装卸、拆除、土建、安装、辅材、保温防腐、试压调试、垃圾外运、安全文明措施、税费、质保、培训等全部费用，采购人无需额外支付任何费用；</w:t>
      </w:r>
    </w:p>
    <w:p w14:paraId="0BDAAF86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3.报价政策：本项目100%面向中小企业，中小企业享受政府采购价格扣除政策；大型企业不得参与本项目投标。</w:t>
      </w:r>
    </w:p>
    <w:p w14:paraId="204FAF93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（二）结算方式</w:t>
      </w:r>
    </w:p>
    <w:p w14:paraId="7CDE590F">
      <w:pPr>
        <w:pStyle w:val="4"/>
        <w:ind w:firstLine="420"/>
        <w:jc w:val="both"/>
        <w:rPr>
          <w:highlight w:val="none"/>
        </w:rPr>
      </w:pPr>
      <w:r>
        <w:rPr>
          <w:rFonts w:ascii="仿宋_GB2312" w:hAnsi="仿宋_GB2312" w:eastAsia="仿宋_GB2312" w:cs="仿宋_GB2312"/>
          <w:sz w:val="21"/>
        </w:rPr>
        <w:t>1.进度款，合同签订设备进场后10日内支付签约</w:t>
      </w:r>
      <w:r>
        <w:rPr>
          <w:rFonts w:ascii="仿宋_GB2312" w:hAnsi="仿宋_GB2312" w:eastAsia="仿宋_GB2312" w:cs="仿宋_GB2312"/>
          <w:sz w:val="21"/>
          <w:highlight w:val="none"/>
        </w:rPr>
        <w:t>合同价的（扣除暂列金额、安全文明施工费），支付合同总金额的40.0%</w:t>
      </w:r>
    </w:p>
    <w:p w14:paraId="251D9C0D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2.进度款</w:t>
      </w:r>
      <w:r>
        <w:rPr>
          <w:rFonts w:ascii="仿宋_GB2312" w:hAnsi="仿宋_GB2312" w:eastAsia="仿宋_GB2312" w:cs="仿宋_GB2312"/>
          <w:sz w:val="21"/>
          <w:highlight w:val="none"/>
        </w:rPr>
        <w:t>，</w:t>
      </w:r>
      <w:bookmarkStart w:id="0" w:name="_GoBack"/>
      <w:bookmarkEnd w:id="0"/>
      <w:r>
        <w:rPr>
          <w:rFonts w:ascii="仿宋_GB2312" w:hAnsi="仿宋_GB2312" w:eastAsia="仿宋_GB2312" w:cs="仿宋_GB2312"/>
          <w:sz w:val="21"/>
          <w:highlight w:val="none"/>
        </w:rPr>
        <w:t>目</w:t>
      </w:r>
      <w:r>
        <w:rPr>
          <w:rFonts w:ascii="仿宋_GB2312" w:hAnsi="仿宋_GB2312" w:eastAsia="仿宋_GB2312" w:cs="仿宋_GB2312"/>
          <w:sz w:val="21"/>
        </w:rPr>
        <w:t>竣工验收合格且审计完成后10日内，按结算审计金额支付余款。支付合同总金额的60.0%；</w:t>
      </w:r>
    </w:p>
    <w:p w14:paraId="0229AE08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3.计量规则：清单内项目按中标综合单价×实际验收合格工程量结算；清单外新增变更项目，有相同单价沿用，无相同单价参照陕西省现行定额及投标取费标准组价，报采购人及财政部门审批后方可计入结算。</w:t>
      </w:r>
    </w:p>
    <w:p w14:paraId="2B917830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（三）政府采购政策约束</w:t>
      </w:r>
    </w:p>
    <w:p w14:paraId="1A37D3A3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1.中小企业要求：投标人须提供中小企业声明函，本项目不接受大型企业投标；</w:t>
      </w:r>
    </w:p>
    <w:p w14:paraId="53163B5B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2.节能环保产品：锅炉、水泵、保温材料优先选用国家节能、环境标志产品，投标文件附认证证书；</w:t>
      </w:r>
    </w:p>
    <w:p w14:paraId="128C098A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3.禁止进口产品：本项目全部采购国产设备材料，不采购进口产品；</w:t>
      </w:r>
    </w:p>
    <w:p w14:paraId="7520FF52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4.合同分包：未经采购人书面同意，中标单位不得转包、违法分包；如需合法分包，分包单位同样需为中小企业，报财政采购部门备案；</w:t>
      </w:r>
    </w:p>
    <w:p w14:paraId="5589F16B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5.档案要求：中标单位完工后同步提交全套竣工图纸、设备合格证、检测报告、调试记录、质保资料，配合采购人完成政府采购档案归档、财政绩效评价。</w:t>
      </w:r>
    </w:p>
    <w:p w14:paraId="25409A0B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（四）违约责任</w:t>
      </w:r>
    </w:p>
    <w:p w14:paraId="439259C0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1.工期延误：每逾期1日历天，扣除合同总价0.5%违约金，违约金累计上限合同总价10%；逾期超15天，采购人有权单方解除合同，没收履约保证金；</w:t>
      </w:r>
    </w:p>
    <w:p w14:paraId="1F51B583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2.质量不合格：设备、材料参数不满足技术指标、施工质量验收不合格，中标单位无条件返工更换，承担全部工期损失，同时扣除10%合同价款作为违约金；</w:t>
      </w:r>
    </w:p>
    <w:p w14:paraId="30D023B6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3.售后违约：质保期内未按约定时限响应维修，每次扣除500~2000元违约金；因设备故障造成供热中断，赔偿采购人实际损失。</w:t>
      </w:r>
    </w:p>
    <w:p w14:paraId="1F4CBE48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（五）验收与移交</w:t>
      </w:r>
    </w:p>
    <w:p w14:paraId="6D8C28F2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1.分阶段验收：设备进场验收、隐蔽工程验收、水压试验验收、系统调试验收、整体竣工验收；</w:t>
      </w:r>
    </w:p>
    <w:p w14:paraId="35C17BE4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2.最终验收：邀请后勤、财务、运维、监理多方联合验收，出具政府采购工程竣工验收报告；</w:t>
      </w:r>
    </w:p>
    <w:p w14:paraId="1E270366">
      <w:pPr>
        <w:pStyle w:val="4"/>
        <w:ind w:firstLine="420"/>
        <w:jc w:val="both"/>
      </w:pPr>
      <w:r>
        <w:rPr>
          <w:rFonts w:ascii="仿宋_GB2312" w:hAnsi="仿宋_GB2312" w:eastAsia="仿宋_GB2312" w:cs="仿宋_GB2312"/>
          <w:sz w:val="21"/>
        </w:rPr>
        <w:t>3.移交内容：竣工图纸、设备说明书、合格证、检测报告、操作手册、培训记录、全套结算资料。</w:t>
      </w:r>
    </w:p>
    <w:p w14:paraId="13367E3D">
      <w:pPr>
        <w:pStyle w:val="4"/>
        <w:jc w:val="left"/>
      </w:pPr>
      <w:r>
        <w:rPr>
          <w:rFonts w:ascii="仿宋_GB2312" w:hAnsi="仿宋_GB2312" w:eastAsia="仿宋_GB2312" w:cs="仿宋_GB2312"/>
          <w:sz w:val="21"/>
        </w:rPr>
        <w:t>七、响应文件要求</w:t>
      </w:r>
    </w:p>
    <w:p w14:paraId="58B892C1">
      <w:r>
        <w:rPr>
          <w:rFonts w:ascii="仿宋_GB2312" w:hAnsi="仿宋_GB2312" w:eastAsia="仿宋_GB2312" w:cs="仿宋_GB2312"/>
          <w:sz w:val="21"/>
        </w:rPr>
        <w:t>供应商必须在响应文件内附主材品牌表。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56132D3"/>
    <w:rsid w:val="77AC5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5164</Words>
  <Characters>5647</Characters>
  <Lines>0</Lines>
  <Paragraphs>0</Paragraphs>
  <TotalTime>16</TotalTime>
  <ScaleCrop>false</ScaleCrop>
  <LinksUpToDate>false</LinksUpToDate>
  <CharactersWithSpaces>5647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2026-07-22T05:40:00Z</dcterms:created>
  <dc:creator>小米</dc:creator>
  <cp:lastModifiedBy>嘘。。。</cp:lastModifiedBy>
  <dcterms:modified xsi:type="dcterms:W3CDTF">2026-07-22T06:51:51Z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eyJoZGlkIjoiOGY5OThiMTJjOTYyMTYwZjBjMjg0ZWFkMWE0NzYyYzYiLCJ1c2VySWQiOiI1Njk3MjY0OTgifQ==</vt:lpwstr>
  </property>
  <property fmtid="{D5CDD505-2E9C-101B-9397-08002B2CF9AE}" pid="4" name="ICV">
    <vt:lpwstr>C55ACC0B31054D17A5FFE09BA7CDDA42_12</vt:lpwstr>
  </property>
</Properties>
</file>