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版本号：SXJTZB--ZC--CS20260424.1B120260521001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汉长安城特区管委会遗留问题欠款项目审计(二次)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SXJTZB--ZC--CS20260424.1B1</w:t>
      </w:r>
      <w:r>
        <w:br/>
      </w:r>
      <w:r>
        <w:br/>
      </w:r>
      <w:r>
        <w:br/>
      </w:r>
    </w:p>
    <w:p>
      <w:pPr>
        <w:pStyle w:val="null3"/>
        <w:jc w:val="center"/>
        <w:outlineLvl w:val="2"/>
      </w:pPr>
      <w:r>
        <w:rPr>
          <w:rFonts w:ascii="仿宋_GB2312" w:hAnsi="仿宋_GB2312" w:cs="仿宋_GB2312" w:eastAsia="仿宋_GB2312"/>
          <w:sz w:val="28"/>
          <w:b/>
        </w:rPr>
        <w:t>西安市未央区审计局</w:t>
      </w:r>
    </w:p>
    <w:p>
      <w:pPr>
        <w:pStyle w:val="null3"/>
        <w:jc w:val="center"/>
        <w:outlineLvl w:val="2"/>
      </w:pPr>
      <w:r>
        <w:rPr>
          <w:rFonts w:ascii="仿宋_GB2312" w:hAnsi="仿宋_GB2312" w:cs="仿宋_GB2312" w:eastAsia="仿宋_GB2312"/>
          <w:sz w:val="28"/>
          <w:b/>
        </w:rPr>
        <w:t>陕西嘉唐建设项目管理有限公司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陕西嘉唐建设项目管理有限公司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西安市未央区审计局</w:t>
      </w:r>
      <w:r>
        <w:rPr>
          <w:rFonts w:ascii="仿宋_GB2312" w:hAnsi="仿宋_GB2312" w:cs="仿宋_GB2312" w:eastAsia="仿宋_GB2312"/>
        </w:rPr>
        <w:t>委托，拟对</w:t>
      </w:r>
      <w:r>
        <w:rPr>
          <w:rFonts w:ascii="仿宋_GB2312" w:hAnsi="仿宋_GB2312" w:cs="仿宋_GB2312" w:eastAsia="仿宋_GB2312"/>
        </w:rPr>
        <w:t>汉长安城特区管委会遗留问题欠款项目审计(二次)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SXJTZB--ZC--CS20260424.1B1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汉长安城特区管委会遗留问题欠款项目审计(二次)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汉长安城特区管委会遗留问题欠款项目审计。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采购包1（汉长安城特区管委会遗留问题欠款项目审计）：属于专门面向中小企业采购。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财务状况报告：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3、税收缴纳证明：提供已缴纳的2025年4月至今任意一个月的纳税证明或完税证明，纳税证明或完税证明上应有代收机构或税务机关的公章或业务专用章。依法免税的供应商应提供相关文件证明；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社会保障资金缴纳证明：提供已缴纳的2025年4月至今任意一个月的社会保障资金缴纳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5、履约能力：供应商须提供具有履行合同所必需的设备和专业技术能力的承诺；</w:t>
      </w:r>
    </w:p>
    <w:p>
      <w:pPr>
        <w:pStyle w:val="null3"/>
      </w:pPr>
      <w:r>
        <w:rPr>
          <w:rFonts w:ascii="仿宋_GB2312" w:hAnsi="仿宋_GB2312" w:cs="仿宋_GB2312" w:eastAsia="仿宋_GB2312"/>
        </w:rPr>
        <w:t>6、无重大违法记录书面声明：出具参加本次政府采购活动前三年内在经营活动中没有重大违法记录的书面声明；</w:t>
      </w:r>
    </w:p>
    <w:p>
      <w:pPr>
        <w:pStyle w:val="null3"/>
      </w:pPr>
      <w:r>
        <w:rPr>
          <w:rFonts w:ascii="仿宋_GB2312" w:hAnsi="仿宋_GB2312" w:cs="仿宋_GB2312" w:eastAsia="仿宋_GB2312"/>
        </w:rPr>
        <w:t>7、法定代表人授权委托书：法定代表人参加磋商的提供法定代表人身份证明及身份证，委托代理人参加磋商的提供授权委托书及委托代理人身份证；自然人只需提供身份证；备注：分支机构由分支机构负责人授权即可；</w:t>
      </w:r>
    </w:p>
    <w:p>
      <w:pPr>
        <w:pStyle w:val="null3"/>
      </w:pPr>
      <w:r>
        <w:rPr>
          <w:rFonts w:ascii="仿宋_GB2312" w:hAnsi="仿宋_GB2312" w:cs="仿宋_GB2312" w:eastAsia="仿宋_GB2312"/>
        </w:rPr>
        <w:t>8、项目负责人：拟派项目负责人须具有一级注册造价工程师证书，在本单位注册；</w:t>
      </w:r>
    </w:p>
    <w:p>
      <w:pPr>
        <w:pStyle w:val="null3"/>
      </w:pPr>
      <w:r>
        <w:rPr>
          <w:rFonts w:ascii="仿宋_GB2312" w:hAnsi="仿宋_GB2312" w:cs="仿宋_GB2312" w:eastAsia="仿宋_GB2312"/>
        </w:rPr>
        <w:t>9、本项目不接受联合体磋商：本项目不接受联合体磋商（提供书面声明材料）。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西安市未央区审计局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陕西省西安市未央区龙首北路西段1号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029-86259467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陕西嘉唐建设项目管理有限公司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西安市未央区凤城五路与明光路十字天朗经开中心25楼2501室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张荷、廖丽、贾禅、王梦娜、段冬梅、曾小旦、王琳娜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029-89351397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采购包1：710,679.00元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国家发展和改革委员会办公厅颁发的《关于招标代理服务收费有关问题的通知》（发改办价格[2003]857号）的有关规定不足壹万元按壹万元计取。 2.招标代理服务费由成交供应商支付，在领取《成交通知书》前，由成交供应商一次性支付给陕西嘉唐建设项目管理有限公司。 银行账户： 公司名称：陕西嘉唐建设项目管理有限公司 账 号：112011580000141313 开 户 行：西安银行股份有限公司含光门支行 公司邮箱：shanxijiatang@163.com</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西安市未央区审计局</w:t>
      </w:r>
      <w:r>
        <w:rPr>
          <w:rFonts w:ascii="仿宋_GB2312" w:hAnsi="仿宋_GB2312" w:cs="仿宋_GB2312" w:eastAsia="仿宋_GB2312"/>
        </w:rPr>
        <w:t>和</w:t>
      </w:r>
      <w:r>
        <w:rPr>
          <w:rFonts w:ascii="仿宋_GB2312" w:hAnsi="仿宋_GB2312" w:cs="仿宋_GB2312" w:eastAsia="仿宋_GB2312"/>
        </w:rPr>
        <w:t>陕西嘉唐建设项目管理有限公司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西安市未央区审计局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陕西嘉唐建设项目管理有限公司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西安市未央区审计局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陕西嘉唐建设项目管理有限公司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合格，符合国家规范标准及要求及财政评审相关要求。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联系人：张荷、廖丽、贾禅、王梦娜、段冬梅、曾小旦、王琳娜</w:t>
      </w:r>
    </w:p>
    <w:p>
      <w:pPr>
        <w:pStyle w:val="null3"/>
      </w:pPr>
      <w:r>
        <w:rPr>
          <w:rFonts w:ascii="仿宋_GB2312" w:hAnsi="仿宋_GB2312" w:cs="仿宋_GB2312" w:eastAsia="仿宋_GB2312"/>
        </w:rPr>
        <w:t>联系电话：029-89351397</w:t>
      </w:r>
    </w:p>
    <w:p>
      <w:pPr>
        <w:pStyle w:val="null3"/>
      </w:pPr>
      <w:r>
        <w:rPr>
          <w:rFonts w:ascii="仿宋_GB2312" w:hAnsi="仿宋_GB2312" w:cs="仿宋_GB2312" w:eastAsia="仿宋_GB2312"/>
        </w:rPr>
        <w:t>地址：西安市未央区凤城五路与明光路十字天朗经开中心25楼2501室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汉长安城特区管委会遗留问题欠款项目审计。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710,679.00</w:t>
      </w:r>
    </w:p>
    <w:p>
      <w:pPr>
        <w:pStyle w:val="null3"/>
      </w:pPr>
      <w:r>
        <w:rPr>
          <w:rFonts w:ascii="仿宋_GB2312" w:hAnsi="仿宋_GB2312" w:cs="仿宋_GB2312" w:eastAsia="仿宋_GB2312"/>
        </w:rPr>
        <w:t>采购包最高限价（元）: 710,679.00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汉长安城特区管委会遗留问题欠款项目审计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710,679.00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标的名称：汉长安城特区管委会遗留问题欠款项目审计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审计范围</w:t>
            </w:r>
          </w:p>
          <w:tbl>
            <w:tblPr>
              <w:tblInd w:type="dxa" w:w="90"/>
              <w:tblBorders>
                <w:top w:val="none" w:color="000000" w:sz="4"/>
                <w:left w:val="none" w:color="000000" w:sz="4"/>
                <w:bottom w:val="none" w:color="000000" w:sz="4"/>
                <w:right w:val="none" w:color="000000" w:sz="4"/>
                <w:insideH w:val="none"/>
                <w:insideV w:val="none"/>
              </w:tblBorders>
            </w:tblPr>
            <w:tblGrid>
              <w:gridCol w:w="201"/>
              <w:gridCol w:w="1896"/>
            </w:tblGrid>
            <w:tr>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汉长安城遗址国家考古遗址公园未央宫片区绿化提升项目一标段</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汉长安城遗址国家考古遗址公园未央宫片区绿化提升项目二标段</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汉长安城遗址国家考古遗址公园未央宫片区绿化提升项目三标段</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汉长安城遗址国家考古遗址公园未央宫片区绿化提升项目四标段</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汉长安城遗址国家考古遗址公园未央宫片区绿化提升项目五标段</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汉长安城遗址国家考古遗址公园未央宫片区绿化提升项目六标段</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汉长安城遗址国家考古遗址公园未央宫片区绿化提升项目七标段</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汉都新苑项目周边市政配套道路项目工程施工一标段</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汉都新苑项目周边市政配套道路项目工程施工二标段</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汉都新苑项目周边市政配套道路项目工程施工三标段</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汉都新苑项目周边市政配套道路项目工程施工四标段</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汉都新苑项目周边市政配套道路项目绿化工程施工一标段</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汉都新苑项目周边市政配套道路项目绿化工程施工二标段</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汉都新苑项目周边市政配套道路项目绿化工程施工三标段</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汉都新苑项目周边市政配套设施（雨水提升泵站）</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汉都新苑项目周边市政配套道路项目交通工程</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西安市汉都新苑五号地块西侧规划路市政工程及周边土方内倒工程</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西安市开发大道沿线景观绿化项目施工一期</w:t>
                  </w:r>
                </w:p>
              </w:tc>
            </w:tr>
          </w:tbl>
          <w:p>
            <w:pPr>
              <w:pStyle w:val="null3"/>
              <w:ind w:firstLine="422"/>
            </w:pPr>
            <w:r>
              <w:rPr>
                <w:rFonts w:ascii="仿宋_GB2312" w:hAnsi="仿宋_GB2312" w:cs="仿宋_GB2312" w:eastAsia="仿宋_GB2312"/>
                <w:sz w:val="21"/>
                <w:b/>
              </w:rPr>
              <w:t>共计送审金额</w:t>
            </w:r>
            <w:r>
              <w:rPr>
                <w:rFonts w:ascii="仿宋_GB2312" w:hAnsi="仿宋_GB2312" w:cs="仿宋_GB2312" w:eastAsia="仿宋_GB2312"/>
                <w:sz w:val="21"/>
                <w:b/>
              </w:rPr>
              <w:t>947572044.76元</w:t>
            </w:r>
          </w:p>
          <w:p>
            <w:pPr>
              <w:pStyle w:val="null3"/>
              <w:ind w:firstLine="422"/>
            </w:pPr>
            <w:r>
              <w:rPr>
                <w:rFonts w:ascii="仿宋_GB2312" w:hAnsi="仿宋_GB2312" w:cs="仿宋_GB2312" w:eastAsia="仿宋_GB2312"/>
                <w:sz w:val="21"/>
                <w:b/>
              </w:rPr>
              <w:t>二、服务内容</w:t>
            </w:r>
          </w:p>
          <w:p>
            <w:pPr>
              <w:pStyle w:val="null3"/>
              <w:ind w:firstLine="420"/>
            </w:pPr>
            <w:r>
              <w:rPr>
                <w:rFonts w:ascii="仿宋_GB2312" w:hAnsi="仿宋_GB2312" w:cs="仿宋_GB2312" w:eastAsia="仿宋_GB2312"/>
                <w:sz w:val="20"/>
              </w:rPr>
              <w:t>出具审计报告，参与争议问题的协商解决；项目审核结束后，需要及时完成审计资料整理及归档工作。</w:t>
            </w:r>
          </w:p>
          <w:p>
            <w:pPr>
              <w:pStyle w:val="null3"/>
              <w:ind w:firstLine="422"/>
            </w:pPr>
            <w:r>
              <w:rPr>
                <w:rFonts w:ascii="仿宋_GB2312" w:hAnsi="仿宋_GB2312" w:cs="仿宋_GB2312" w:eastAsia="仿宋_GB2312"/>
                <w:sz w:val="21"/>
                <w:b/>
              </w:rPr>
              <w:t>三、服务要求</w:t>
            </w:r>
          </w:p>
          <w:p>
            <w:pPr>
              <w:pStyle w:val="null3"/>
              <w:ind w:firstLine="420"/>
            </w:pPr>
            <w:r>
              <w:rPr>
                <w:rFonts w:ascii="仿宋_GB2312" w:hAnsi="仿宋_GB2312" w:cs="仿宋_GB2312" w:eastAsia="仿宋_GB2312"/>
                <w:sz w:val="20"/>
              </w:rPr>
              <w:t>1、严格执行并落实国家和省、市关于审计的编审质量管理等相关制度。本着为政府合理节约投资的原则，科学、客观、公正地开展工程审核工作;应按采购人的要求，按时按质提供报告，对报告的真实性、准确性负责，并负有保密责任。</w:t>
            </w:r>
          </w:p>
          <w:p>
            <w:pPr>
              <w:pStyle w:val="null3"/>
              <w:ind w:firstLine="420"/>
            </w:pPr>
            <w:r>
              <w:rPr>
                <w:rFonts w:ascii="仿宋_GB2312" w:hAnsi="仿宋_GB2312" w:cs="仿宋_GB2312" w:eastAsia="仿宋_GB2312"/>
                <w:sz w:val="20"/>
              </w:rPr>
              <w:t>2、严格执行相关法规和文件，按照计价规范、市场价格信息、相关的管理制度进行计价，成果文件中的量、价、费准确、合规、合理。</w:t>
            </w:r>
          </w:p>
          <w:p>
            <w:pPr>
              <w:pStyle w:val="null3"/>
              <w:ind w:firstLine="420"/>
            </w:pPr>
            <w:r>
              <w:rPr>
                <w:rFonts w:ascii="仿宋_GB2312" w:hAnsi="仿宋_GB2312" w:cs="仿宋_GB2312" w:eastAsia="仿宋_GB2312"/>
                <w:sz w:val="20"/>
              </w:rPr>
              <w:t>3、对不明确的地方应及时提出，保证资料完善。</w:t>
            </w:r>
          </w:p>
          <w:p>
            <w:pPr>
              <w:pStyle w:val="null3"/>
              <w:ind w:firstLine="420"/>
            </w:pPr>
            <w:r>
              <w:rPr>
                <w:rFonts w:ascii="仿宋_GB2312" w:hAnsi="仿宋_GB2312" w:cs="仿宋_GB2312" w:eastAsia="仿宋_GB2312"/>
                <w:sz w:val="20"/>
              </w:rPr>
              <w:t>4、供应商应当对审核工作质量负责，采购人有权请第三方对供应商的成果文件进行复核，供应商应当无条件配合核对、更正等相关工作。</w:t>
            </w:r>
          </w:p>
          <w:p>
            <w:pPr>
              <w:pStyle w:val="null3"/>
              <w:ind w:firstLine="420"/>
            </w:pPr>
            <w:r>
              <w:rPr>
                <w:rFonts w:ascii="仿宋_GB2312" w:hAnsi="仿宋_GB2312" w:cs="仿宋_GB2312" w:eastAsia="仿宋_GB2312"/>
                <w:sz w:val="20"/>
              </w:rPr>
              <w:t>5、向采购人提供工作底稿，要求工作底稿准确(严格按照国家现行规定计算)、规范，与成果文件保持一致。</w:t>
            </w:r>
          </w:p>
          <w:p>
            <w:pPr>
              <w:pStyle w:val="null3"/>
              <w:ind w:firstLine="420"/>
            </w:pPr>
            <w:r>
              <w:rPr>
                <w:rFonts w:ascii="仿宋_GB2312" w:hAnsi="仿宋_GB2312" w:cs="仿宋_GB2312" w:eastAsia="仿宋_GB2312"/>
                <w:sz w:val="20"/>
              </w:rPr>
              <w:t>6、成交供应商应独立完成工作任务，不得以任何形式将工作任务再委托其他机构。</w:t>
            </w:r>
          </w:p>
          <w:p>
            <w:pPr>
              <w:pStyle w:val="null3"/>
              <w:ind w:firstLine="420"/>
            </w:pPr>
            <w:r>
              <w:rPr>
                <w:rFonts w:ascii="仿宋_GB2312" w:hAnsi="仿宋_GB2312" w:cs="仿宋_GB2312" w:eastAsia="仿宋_GB2312"/>
                <w:sz w:val="20"/>
              </w:rPr>
              <w:t>7、成交供应商应建立严格的项目档案管理制度，完整、准确、真实地反映和记录项目评审的情况，做好各类资料的归集、存档和保管工作。</w:t>
            </w:r>
          </w:p>
          <w:p>
            <w:pPr>
              <w:pStyle w:val="null3"/>
              <w:ind w:firstLine="420"/>
            </w:pPr>
            <w:r>
              <w:rPr>
                <w:rFonts w:ascii="仿宋_GB2312" w:hAnsi="仿宋_GB2312" w:cs="仿宋_GB2312" w:eastAsia="仿宋_GB2312"/>
                <w:sz w:val="20"/>
              </w:rPr>
              <w:t>8、为项目的顺利执行，项目负责人必需为本项目的主要业务联系人。</w:t>
            </w:r>
          </w:p>
          <w:p>
            <w:pPr>
              <w:pStyle w:val="null3"/>
              <w:ind w:firstLine="420"/>
            </w:pPr>
            <w:r>
              <w:rPr>
                <w:rFonts w:ascii="仿宋_GB2312" w:hAnsi="仿宋_GB2312" w:cs="仿宋_GB2312" w:eastAsia="仿宋_GB2312"/>
                <w:sz w:val="20"/>
              </w:rPr>
              <w:t>9、为保证服务质量及服务的时效性，成交供应商应当建立、健全投诉及服务保障体系，保障体系应当包含处理相关事项的人员及分工、响应时间及投诉处理等内容。</w:t>
            </w:r>
          </w:p>
          <w:p>
            <w:pPr>
              <w:pStyle w:val="null3"/>
              <w:ind w:firstLine="422"/>
            </w:pPr>
            <w:r>
              <w:rPr>
                <w:rFonts w:ascii="仿宋_GB2312" w:hAnsi="仿宋_GB2312" w:cs="仿宋_GB2312" w:eastAsia="仿宋_GB2312"/>
                <w:sz w:val="21"/>
                <w:b/>
              </w:rPr>
              <w:t>四、服务标准</w:t>
            </w:r>
          </w:p>
          <w:p>
            <w:pPr>
              <w:pStyle w:val="null3"/>
              <w:ind w:firstLine="420"/>
            </w:pPr>
            <w:r>
              <w:rPr>
                <w:rFonts w:ascii="仿宋_GB2312" w:hAnsi="仿宋_GB2312" w:cs="仿宋_GB2312" w:eastAsia="仿宋_GB2312"/>
                <w:sz w:val="21"/>
                <w:color w:val="000000"/>
              </w:rPr>
              <w:t>按照国家、省、市、区的各项政策、文件规定执行，</w:t>
            </w:r>
            <w:r>
              <w:rPr>
                <w:rFonts w:ascii="仿宋_GB2312" w:hAnsi="仿宋_GB2312" w:cs="仿宋_GB2312" w:eastAsia="仿宋_GB2312"/>
                <w:sz w:val="21"/>
                <w:color w:val="000000"/>
              </w:rPr>
              <w:t>符合国家规范标准及要求及财政评审相关要求。</w:t>
            </w:r>
            <w:r>
              <w:rPr>
                <w:rFonts w:ascii="仿宋_GB2312" w:hAnsi="仿宋_GB2312" w:cs="仿宋_GB2312" w:eastAsia="仿宋_GB2312"/>
                <w:sz w:val="21"/>
                <w:color w:val="000000"/>
              </w:rPr>
              <w:t>符合采购人要求。</w:t>
            </w:r>
          </w:p>
          <w:p>
            <w:pPr>
              <w:pStyle w:val="null3"/>
              <w:ind w:firstLine="422"/>
            </w:pPr>
            <w:r>
              <w:rPr>
                <w:rFonts w:ascii="仿宋_GB2312" w:hAnsi="仿宋_GB2312" w:cs="仿宋_GB2312" w:eastAsia="仿宋_GB2312"/>
                <w:sz w:val="21"/>
                <w:b/>
              </w:rPr>
              <w:t>五、其他</w:t>
            </w:r>
          </w:p>
          <w:p>
            <w:pPr>
              <w:pStyle w:val="null3"/>
            </w:pPr>
            <w:r>
              <w:rPr>
                <w:rFonts w:ascii="仿宋_GB2312" w:hAnsi="仿宋_GB2312" w:cs="仿宋_GB2312" w:eastAsia="仿宋_GB2312"/>
                <w:sz w:val="21"/>
                <w:color w:val="000000"/>
              </w:rPr>
              <w:t>项目实施中涉及到的相关保密数据、资料、文档等按照相应相关保密规定执行，成交供应商有对资料保密的义务，并承诺不与项目的施工单位恶意串通。不得以商业目的使用该资料或者开发和生产其他产品；成交供应商可根据需要对资料内容进行必要的修改和对数据格式进行转换，但未经许可，不得将修改、转换后的数据对外发布和提供。</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合格，符合国家规范标准及要求及财政评审相关要求。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委托人应于咨询人初审完成并提交初审报告和发票后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80.00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审核结束并递交符合本合同约定要求的书面审核意见和发票后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 2.乙方未按合同要求提供服务或服务质量不能满足本次招标要求，甲方会同监督机构、采购代理机构有权终止合同和对乙方违约行为进行追究，同时按政府采购法的有关规定进行相应的处罚。 3.乙方违反本合同约定未履行合同约定义务的，应当向甲方支付合同价款10 %的违约金，违约金不足以弥补甲方损失的，应当承担补充赔偿责任。 4.本合同在履行过程中发生的争议，由甲、乙双方当事人协商解决，协商不成的按下列第 （二） 种方式解决： （一）提交西安仲裁委员会仲裁； （二）依法向甲方所在地人民法院起诉。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项目执行过程中，供应商对采购人或代理机构的质疑答复不满意，或者采购人或代理机构未在规定期限内作出答复的，可以在答复期满后15个工作日内向同级财政部门提起投诉。除线下书面投诉外，鼓励各供应商优先选择便捷的电子化投诉方式，电子化投诉流程参照《陕西省财政厅关于在全省开展电子化投诉工作有关事项的通知》(陕财办采函(2022)15号)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提供已缴纳的2025年4月至今任意一个月的纳税证明或完税证明，纳税证明或完税证明上应有代收机构或税务机关的公章或业务专用章。依法免税的供应商应提供相关文件证明；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已缴纳的2025年4月至今任意一个月的社会保障资金缴纳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法定代表人参加磋商的提供法定代表人身份证明及身份证，委托代理人参加磋商的提供授权委托书及委托代理人身份证；自然人只需提供身份证；备注：分支机构由分支机构负责人授权即可；</w:t>
            </w:r>
          </w:p>
        </w:tc>
        <w:tc>
          <w:tcPr>
            <w:tcW w:type="dxa" w:w="1661"/>
          </w:tcPr>
          <w:p>
            <w:pPr>
              <w:pStyle w:val="null3"/>
            </w:pPr>
            <w:r>
              <w:rPr>
                <w:rFonts w:ascii="仿宋_GB2312" w:hAnsi="仿宋_GB2312" w:cs="仿宋_GB2312" w:eastAsia="仿宋_GB2312"/>
              </w:rPr>
              <w:t>法定代表人授权委托书.docx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拟派项目负责人须具有一级注册造价工程师证书，在本单位注册；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本项目不接受联合体磋商（提供书面声明材料）。</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 一、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三、供应商提交的相关说明和证明材料，应当加盖供应商（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磋商响应文件封面、磋商响应函两处的项目名称</w:t>
            </w:r>
          </w:p>
        </w:tc>
        <w:tc>
          <w:tcPr>
            <w:tcW w:type="dxa" w:w="3322"/>
          </w:tcPr>
          <w:p>
            <w:pPr>
              <w:pStyle w:val="null3"/>
            </w:pPr>
            <w:r>
              <w:rPr>
                <w:rFonts w:ascii="仿宋_GB2312" w:hAnsi="仿宋_GB2312" w:cs="仿宋_GB2312" w:eastAsia="仿宋_GB2312"/>
              </w:rPr>
              <w:t>两处均无遗漏，且与磋商项目名称完全一致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磋商响应文件的签署盖章按磋商文件要求签字、盖章均按磋商文件要求签字、盖章</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供应商承诺书.docx 响应文件封面 残疾人福利性单位声明函 服务方案 标的清单 响应函 法定代表人授权委托书.docx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磋商响应文件的计量单位、语言、报价货币、磋商有效期</w:t>
            </w:r>
          </w:p>
        </w:tc>
        <w:tc>
          <w:tcPr>
            <w:tcW w:type="dxa" w:w="3322"/>
          </w:tcPr>
          <w:p>
            <w:pPr>
              <w:pStyle w:val="null3"/>
            </w:pPr>
            <w:r>
              <w:rPr>
                <w:rFonts w:ascii="仿宋_GB2312" w:hAnsi="仿宋_GB2312" w:cs="仿宋_GB2312" w:eastAsia="仿宋_GB2312"/>
              </w:rPr>
              <w:t>计量单位、语言、报价货币、磋商有效期均符合磋商文件的要求</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磋商响应文件组成</w:t>
            </w:r>
          </w:p>
        </w:tc>
        <w:tc>
          <w:tcPr>
            <w:tcW w:type="dxa" w:w="3322"/>
          </w:tcPr>
          <w:p>
            <w:pPr>
              <w:pStyle w:val="null3"/>
            </w:pPr>
            <w:r>
              <w:rPr>
                <w:rFonts w:ascii="仿宋_GB2312" w:hAnsi="仿宋_GB2312" w:cs="仿宋_GB2312" w:eastAsia="仿宋_GB2312"/>
              </w:rPr>
              <w:t>按照磋商文件格式内容编写，无缺漏项</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供应商承诺书.docx 响应文件封面 残疾人福利性单位声明函 服务方案 标的清单 响应函 法定代表人授权委托书.docx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磋商报价是否超过最高限价</w:t>
            </w:r>
          </w:p>
        </w:tc>
        <w:tc>
          <w:tcPr>
            <w:tcW w:type="dxa" w:w="3322"/>
          </w:tcPr>
          <w:p>
            <w:pPr>
              <w:pStyle w:val="null3"/>
            </w:pPr>
            <w:r>
              <w:rPr>
                <w:rFonts w:ascii="仿宋_GB2312" w:hAnsi="仿宋_GB2312" w:cs="仿宋_GB2312" w:eastAsia="仿宋_GB2312"/>
              </w:rPr>
              <w:t>磋商报价不得超过最高限价</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①因特殊紧急情况审计时限响应方案②有特殊的应急服务方案及补救措施。 以上各项方案内容详尽、科学、合理，可行性强得2分；方案内容一般，可行性一般得1分；未提供不得分。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审计实施方案</w:t>
            </w:r>
          </w:p>
        </w:tc>
        <w:tc>
          <w:tcPr>
            <w:tcW w:type="dxa" w:w="2492"/>
          </w:tcPr>
          <w:p>
            <w:pPr>
              <w:pStyle w:val="null3"/>
            </w:pPr>
            <w:r>
              <w:rPr>
                <w:rFonts w:ascii="仿宋_GB2312" w:hAnsi="仿宋_GB2312" w:cs="仿宋_GB2312" w:eastAsia="仿宋_GB2312"/>
              </w:rPr>
              <w:t>①针对本项目的审计工作内容；②服务目的③服务理念④服务范围。 以上各项方案内容详尽、科学、合理，可行性强得3分；方案科学、合理，可行性较强得2分；方案内容一般，可行性一般得1分；未提供不得分。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组织机构</w:t>
            </w:r>
          </w:p>
        </w:tc>
        <w:tc>
          <w:tcPr>
            <w:tcW w:type="dxa" w:w="2492"/>
          </w:tcPr>
          <w:p>
            <w:pPr>
              <w:pStyle w:val="null3"/>
            </w:pPr>
            <w:r>
              <w:rPr>
                <w:rFonts w:ascii="仿宋_GB2312" w:hAnsi="仿宋_GB2312" w:cs="仿宋_GB2312" w:eastAsia="仿宋_GB2312"/>
              </w:rPr>
              <w:t>①针对本项目提供组织框架；②人员保障措施。 以上各项方案内容详尽、科学、合理，可行性强得3分；方案科学、合理，可行性较强得2分；方案内容一般，可行性一般得1分；未提供不得分。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重点和难点分析</w:t>
            </w:r>
          </w:p>
        </w:tc>
        <w:tc>
          <w:tcPr>
            <w:tcW w:type="dxa" w:w="2492"/>
          </w:tcPr>
          <w:p>
            <w:pPr>
              <w:pStyle w:val="null3"/>
            </w:pPr>
            <w:r>
              <w:rPr>
                <w:rFonts w:ascii="仿宋_GB2312" w:hAnsi="仿宋_GB2312" w:cs="仿宋_GB2312" w:eastAsia="仿宋_GB2312"/>
              </w:rPr>
              <w:t>①重点和难点分析。②解决措施或办法。 以上各项方案内容详尽、科学、合理，可行性强得3分；方案科学、合理，可行性较强得2分；方案内容一般，可行性一般得1分；未提供不得分。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服务承诺和建议</w:t>
            </w:r>
          </w:p>
        </w:tc>
        <w:tc>
          <w:tcPr>
            <w:tcW w:type="dxa" w:w="2492"/>
          </w:tcPr>
          <w:p>
            <w:pPr>
              <w:pStyle w:val="null3"/>
            </w:pPr>
            <w:r>
              <w:rPr>
                <w:rFonts w:ascii="仿宋_GB2312" w:hAnsi="仿宋_GB2312" w:cs="仿宋_GB2312" w:eastAsia="仿宋_GB2312"/>
              </w:rPr>
              <w:t>①本项目服务的考核、监督及管理承诺②提供上岗人员固定性，不随意更换承诺③提供确保服务期限及进度的承诺 以上各项方案内容详尽、科学、合理，可行性强得3分；方案科学、合理，可行性较强得2分；方案内容一般，可行性一般得1分；未提供不得分。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①审计工作质量控制方案②审计工作质量保障具体措施。 以上各项方案内容详尽、科学、合理，可行性强得3分；方案科学、合理，可行性较强得2分；方案内容一般，可行性一般得1分；未提供不得分。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保密措施、廉洁从业措施</w:t>
            </w:r>
          </w:p>
        </w:tc>
        <w:tc>
          <w:tcPr>
            <w:tcW w:type="dxa" w:w="2492"/>
          </w:tcPr>
          <w:p>
            <w:pPr>
              <w:pStyle w:val="null3"/>
            </w:pPr>
            <w:r>
              <w:rPr>
                <w:rFonts w:ascii="仿宋_GB2312" w:hAnsi="仿宋_GB2312" w:cs="仿宋_GB2312" w:eastAsia="仿宋_GB2312"/>
              </w:rPr>
              <w:t>①保密管理制度②具体保密措施③廉洁从业措施 以上各项方案内容详尽、科学、合理，可行性强得2分；方案内容一般，可行性一般得1分；未提供不得分。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提供的项目项目进度保证措施。措施全面、合理可行、项目针对性强得5分；措施内容符合要求，内容全面、针对性较强得3分；措施内容简要、措施不够全面、可行性一般得2分；涵盖内容一般，有明显缺失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项目负责人为高级职称得 2 分，中级职称得 1 分，没有职称不得分，最高得 2 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项目负责人业绩</w:t>
            </w:r>
          </w:p>
        </w:tc>
        <w:tc>
          <w:tcPr>
            <w:tcW w:type="dxa" w:w="2492"/>
          </w:tcPr>
          <w:p>
            <w:pPr>
              <w:pStyle w:val="null3"/>
            </w:pPr>
            <w:r>
              <w:rPr>
                <w:rFonts w:ascii="仿宋_GB2312" w:hAnsi="仿宋_GB2312" w:cs="仿宋_GB2312" w:eastAsia="仿宋_GB2312"/>
              </w:rPr>
              <w:t>项目负责人2023年04月1日至今审计业绩，以合同或者相关证明文件为准，每提供一项得1分，最高得 3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拟派人员实力</w:t>
            </w:r>
          </w:p>
        </w:tc>
        <w:tc>
          <w:tcPr>
            <w:tcW w:type="dxa" w:w="2492"/>
          </w:tcPr>
          <w:p>
            <w:pPr>
              <w:pStyle w:val="null3"/>
            </w:pPr>
            <w:r>
              <w:rPr>
                <w:rFonts w:ascii="仿宋_GB2312" w:hAnsi="仿宋_GB2312" w:cs="仿宋_GB2312" w:eastAsia="仿宋_GB2312"/>
              </w:rPr>
              <w:t>拟投入项目组其他成员具备国家注册造价工程师人数不少于 3 人，所有参与人员必须具有两年以上造价咨询从业经验。每增加一名土建专业或安装专业国家注册造价工程师加 1.5 分，最高得 6 分。 注： 以上所有人员均为供应商本单位人员。</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供应商提供2023年4月份至今类似项目业绩，每提供一个得1分，最高得5分；业绩资料提供复印件加盖公章（以合同或中标/成交通知书为准）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满足磋商文件要求的有效投标报价的最小值为评审基准价，其价格分为满分。其他投标人的价格分统一按照下列公式计算： 报价得分=（评审基准价／投标报价）×价格权值×100。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