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EB5C9">
      <w:pPr>
        <w:spacing w:line="360" w:lineRule="auto"/>
        <w:jc w:val="center"/>
        <w:outlineLvl w:val="0"/>
        <w:rPr>
          <w:rFonts w:hint="eastAsia" w:ascii="宋体" w:hAnsi="宋体" w:cs="宋体"/>
          <w:b/>
          <w:bCs/>
          <w:color w:val="auto"/>
          <w:sz w:val="30"/>
          <w:szCs w:val="24"/>
          <w:highlight w:val="none"/>
        </w:rPr>
      </w:pPr>
      <w:bookmarkStart w:id="0" w:name="_Toc5790"/>
      <w:bookmarkStart w:id="1" w:name="_Toc5113"/>
      <w:bookmarkStart w:id="2" w:name="_Toc2910"/>
    </w:p>
    <w:p w14:paraId="60FD7380">
      <w:pPr>
        <w:spacing w:line="360" w:lineRule="auto"/>
        <w:jc w:val="center"/>
        <w:outlineLvl w:val="0"/>
        <w:rPr>
          <w:rFonts w:ascii="宋体" w:hAnsi="宋体" w:cs="宋体"/>
          <w:b/>
          <w:bCs/>
          <w:color w:val="auto"/>
          <w:sz w:val="30"/>
          <w:szCs w:val="24"/>
          <w:highlight w:val="none"/>
        </w:rPr>
      </w:pPr>
      <w:r>
        <w:rPr>
          <w:rFonts w:hint="eastAsia" w:ascii="宋体" w:hAnsi="宋体" w:cs="宋体"/>
          <w:b/>
          <w:bCs/>
          <w:color w:val="auto"/>
          <w:sz w:val="30"/>
          <w:szCs w:val="24"/>
          <w:highlight w:val="none"/>
        </w:rPr>
        <w:t>政府采购合同（样例）</w:t>
      </w:r>
      <w:bookmarkEnd w:id="0"/>
      <w:bookmarkEnd w:id="1"/>
      <w:bookmarkEnd w:id="2"/>
    </w:p>
    <w:p w14:paraId="0D348D62">
      <w:pPr>
        <w:spacing w:line="360" w:lineRule="auto"/>
        <w:rPr>
          <w:rFonts w:ascii="宋体" w:hAnsi="宋体" w:cs="宋体"/>
          <w:b/>
          <w:color w:val="auto"/>
          <w:sz w:val="28"/>
          <w:szCs w:val="28"/>
          <w:highlight w:val="none"/>
        </w:rPr>
      </w:pPr>
    </w:p>
    <w:p w14:paraId="1E54840A">
      <w:pPr>
        <w:spacing w:line="360" w:lineRule="auto"/>
        <w:jc w:val="center"/>
        <w:rPr>
          <w:rFonts w:ascii="宋体" w:hAnsi="宋体" w:cs="宋体"/>
          <w:b/>
          <w:color w:val="auto"/>
          <w:sz w:val="28"/>
          <w:szCs w:val="28"/>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w:t>
      </w:r>
      <w:r>
        <w:rPr>
          <w:rFonts w:hint="eastAsia" w:ascii="宋体" w:hAnsi="宋体" w:cs="宋体"/>
          <w:b/>
          <w:color w:val="auto"/>
          <w:sz w:val="28"/>
          <w:szCs w:val="28"/>
          <w:highlight w:val="none"/>
          <w:lang w:val="en-US" w:eastAsia="zh-CN"/>
        </w:rPr>
        <w:t>项目</w:t>
      </w:r>
      <w:r>
        <w:rPr>
          <w:rFonts w:hint="eastAsia" w:ascii="宋体" w:hAnsi="宋体" w:cs="宋体"/>
          <w:b/>
          <w:color w:val="auto"/>
          <w:sz w:val="28"/>
          <w:szCs w:val="28"/>
          <w:highlight w:val="none"/>
          <w:lang w:eastAsia="zh-CN"/>
        </w:rPr>
        <w:t>名称</w:t>
      </w:r>
      <w:r>
        <w:rPr>
          <w:rFonts w:hint="eastAsia" w:ascii="宋体" w:hAnsi="宋体" w:cs="宋体"/>
          <w:b/>
          <w:color w:val="auto"/>
          <w:sz w:val="28"/>
          <w:szCs w:val="28"/>
          <w:highlight w:val="none"/>
        </w:rPr>
        <w:t>）</w:t>
      </w:r>
    </w:p>
    <w:p w14:paraId="627EFA6B">
      <w:pPr>
        <w:spacing w:line="360" w:lineRule="auto"/>
        <w:rPr>
          <w:rFonts w:ascii="宋体" w:hAnsi="宋体" w:cs="宋体"/>
          <w:b/>
          <w:color w:val="auto"/>
          <w:sz w:val="28"/>
          <w:szCs w:val="28"/>
          <w:highlight w:val="none"/>
        </w:rPr>
      </w:pPr>
    </w:p>
    <w:p w14:paraId="083C65A2">
      <w:pPr>
        <w:spacing w:line="360" w:lineRule="auto"/>
        <w:jc w:val="center"/>
        <w:rPr>
          <w:rFonts w:ascii="宋体" w:hAnsi="宋体" w:cs="宋体"/>
          <w:b/>
          <w:color w:val="auto"/>
          <w:sz w:val="28"/>
          <w:szCs w:val="28"/>
          <w:highlight w:val="none"/>
        </w:rPr>
      </w:pPr>
    </w:p>
    <w:p w14:paraId="5E1E6DDB">
      <w:pPr>
        <w:pStyle w:val="8"/>
        <w:rPr>
          <w:rFonts w:ascii="宋体" w:hAnsi="宋体" w:cs="宋体"/>
          <w:color w:val="auto"/>
          <w:highlight w:val="none"/>
        </w:rPr>
      </w:pPr>
    </w:p>
    <w:p w14:paraId="49C7618D">
      <w:pPr>
        <w:spacing w:line="360" w:lineRule="auto"/>
        <w:jc w:val="center"/>
        <w:rPr>
          <w:rFonts w:ascii="宋体" w:hAnsi="宋体" w:cs="宋体"/>
          <w:b/>
          <w:color w:val="auto"/>
          <w:sz w:val="28"/>
          <w:szCs w:val="28"/>
          <w:highlight w:val="none"/>
        </w:rPr>
      </w:pPr>
      <w:bookmarkStart w:id="3" w:name="_GoBack"/>
      <w:bookmarkEnd w:id="3"/>
    </w:p>
    <w:p w14:paraId="1F930A7C">
      <w:pPr>
        <w:spacing w:line="360" w:lineRule="auto"/>
        <w:jc w:val="center"/>
        <w:rPr>
          <w:rFonts w:ascii="宋体" w:hAnsi="宋体" w:cs="宋体"/>
          <w:b/>
          <w:bCs/>
          <w:color w:val="auto"/>
          <w:sz w:val="28"/>
          <w:szCs w:val="28"/>
          <w:highlight w:val="none"/>
        </w:rPr>
      </w:pPr>
      <w:r>
        <w:rPr>
          <w:rFonts w:hint="eastAsia" w:ascii="宋体" w:hAnsi="宋体" w:cs="宋体"/>
          <w:b/>
          <w:color w:val="auto"/>
          <w:sz w:val="28"/>
          <w:szCs w:val="28"/>
          <w:highlight w:val="none"/>
        </w:rPr>
        <w:t>合同编号：</w:t>
      </w:r>
      <w:r>
        <w:rPr>
          <w:rFonts w:hint="eastAsia" w:ascii="宋体" w:hAnsi="宋体" w:cs="宋体"/>
          <w:b/>
          <w:bCs/>
          <w:color w:val="auto"/>
          <w:sz w:val="28"/>
          <w:szCs w:val="28"/>
          <w:highlight w:val="none"/>
        </w:rPr>
        <w:t>XXXX</w:t>
      </w:r>
    </w:p>
    <w:p w14:paraId="3F110549">
      <w:pPr>
        <w:spacing w:line="360" w:lineRule="auto"/>
        <w:rPr>
          <w:rFonts w:ascii="宋体" w:hAnsi="宋体" w:cs="宋体"/>
          <w:b/>
          <w:color w:val="auto"/>
          <w:sz w:val="28"/>
          <w:szCs w:val="28"/>
          <w:highlight w:val="none"/>
        </w:rPr>
      </w:pPr>
    </w:p>
    <w:p w14:paraId="0E834762">
      <w:pPr>
        <w:spacing w:line="360" w:lineRule="auto"/>
        <w:rPr>
          <w:rFonts w:ascii="宋体" w:hAnsi="宋体" w:cs="宋体"/>
          <w:b/>
          <w:color w:val="auto"/>
          <w:sz w:val="28"/>
          <w:szCs w:val="28"/>
          <w:highlight w:val="none"/>
        </w:rPr>
      </w:pPr>
    </w:p>
    <w:p w14:paraId="55C3EE47">
      <w:pPr>
        <w:spacing w:line="360" w:lineRule="auto"/>
        <w:rPr>
          <w:rFonts w:ascii="宋体" w:hAnsi="宋体" w:cs="宋体"/>
          <w:b/>
          <w:color w:val="auto"/>
          <w:sz w:val="28"/>
          <w:szCs w:val="28"/>
          <w:highlight w:val="none"/>
        </w:rPr>
      </w:pPr>
    </w:p>
    <w:p w14:paraId="714AD46D">
      <w:pPr>
        <w:spacing w:line="360" w:lineRule="auto"/>
        <w:rPr>
          <w:rFonts w:ascii="宋体" w:hAnsi="宋体" w:cs="宋体"/>
          <w:b/>
          <w:color w:val="auto"/>
          <w:sz w:val="28"/>
          <w:szCs w:val="28"/>
          <w:highlight w:val="none"/>
        </w:rPr>
      </w:pPr>
    </w:p>
    <w:p w14:paraId="75262879">
      <w:pPr>
        <w:spacing w:line="360" w:lineRule="auto"/>
        <w:rPr>
          <w:rFonts w:ascii="宋体" w:hAnsi="宋体" w:cs="宋体"/>
          <w:b/>
          <w:color w:val="auto"/>
          <w:sz w:val="28"/>
          <w:szCs w:val="28"/>
          <w:highlight w:val="none"/>
        </w:rPr>
      </w:pPr>
    </w:p>
    <w:p w14:paraId="0AD07A70">
      <w:pPr>
        <w:pStyle w:val="11"/>
        <w:rPr>
          <w:rFonts w:ascii="宋体" w:hAnsi="宋体" w:cs="宋体"/>
          <w:b/>
          <w:color w:val="auto"/>
          <w:sz w:val="28"/>
          <w:szCs w:val="28"/>
          <w:highlight w:val="none"/>
        </w:rPr>
      </w:pPr>
    </w:p>
    <w:p w14:paraId="1DEC543B">
      <w:pPr>
        <w:pStyle w:val="11"/>
        <w:rPr>
          <w:rFonts w:ascii="宋体" w:hAnsi="宋体" w:cs="宋体"/>
          <w:b/>
          <w:color w:val="auto"/>
          <w:sz w:val="28"/>
          <w:szCs w:val="28"/>
          <w:highlight w:val="none"/>
        </w:rPr>
      </w:pPr>
    </w:p>
    <w:p w14:paraId="68A64056">
      <w:pPr>
        <w:pStyle w:val="11"/>
        <w:rPr>
          <w:rFonts w:ascii="宋体" w:hAnsi="宋体" w:cs="宋体"/>
          <w:b/>
          <w:color w:val="auto"/>
          <w:sz w:val="28"/>
          <w:szCs w:val="28"/>
          <w:highlight w:val="none"/>
        </w:rPr>
      </w:pPr>
    </w:p>
    <w:p w14:paraId="16D2AACD">
      <w:pPr>
        <w:spacing w:line="360" w:lineRule="auto"/>
        <w:rPr>
          <w:rFonts w:ascii="宋体" w:hAnsi="宋体" w:cs="宋体"/>
          <w:b/>
          <w:color w:val="auto"/>
          <w:sz w:val="28"/>
          <w:szCs w:val="28"/>
          <w:highlight w:val="none"/>
        </w:rPr>
      </w:pPr>
    </w:p>
    <w:p w14:paraId="5EF914AA">
      <w:pPr>
        <w:pStyle w:val="2"/>
      </w:pPr>
    </w:p>
    <w:p w14:paraId="5A7E0F25">
      <w:pPr>
        <w:spacing w:line="360" w:lineRule="auto"/>
        <w:rPr>
          <w:rFonts w:ascii="宋体" w:hAnsi="宋体" w:cs="宋体"/>
          <w:b/>
          <w:color w:val="auto"/>
          <w:sz w:val="28"/>
          <w:szCs w:val="28"/>
          <w:highlight w:val="none"/>
        </w:rPr>
      </w:pPr>
    </w:p>
    <w:p w14:paraId="77745486">
      <w:pPr>
        <w:spacing w:line="360" w:lineRule="auto"/>
        <w:rPr>
          <w:rFonts w:ascii="宋体" w:hAnsi="宋体" w:cs="宋体"/>
          <w:b/>
          <w:color w:val="auto"/>
          <w:sz w:val="28"/>
          <w:szCs w:val="28"/>
          <w:highlight w:val="none"/>
        </w:rPr>
      </w:pPr>
    </w:p>
    <w:p w14:paraId="34582464">
      <w:pPr>
        <w:adjustRightInd w:val="0"/>
        <w:snapToGrid w:val="0"/>
        <w:spacing w:line="360" w:lineRule="auto"/>
        <w:jc w:val="center"/>
        <w:rPr>
          <w:rFonts w:ascii="宋体" w:hAnsi="宋体" w:cs="宋体"/>
          <w:b/>
          <w:color w:val="auto"/>
          <w:spacing w:val="23"/>
          <w:sz w:val="28"/>
          <w:szCs w:val="28"/>
          <w:highlight w:val="none"/>
        </w:rPr>
      </w:pPr>
      <w:r>
        <w:rPr>
          <w:rFonts w:hint="eastAsia" w:ascii="宋体" w:hAnsi="宋体" w:cs="宋体"/>
          <w:b/>
          <w:color w:val="auto"/>
          <w:spacing w:val="23"/>
          <w:sz w:val="28"/>
          <w:szCs w:val="28"/>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采购人</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w:t>
      </w:r>
      <w:r>
        <w:rPr>
          <w:rFonts w:hint="eastAsia" w:ascii="宋体" w:hAnsi="宋体" w:cs="宋体"/>
          <w:color w:val="auto"/>
          <w:spacing w:val="23"/>
          <w:sz w:val="28"/>
          <w:szCs w:val="28"/>
          <w:highlight w:val="none"/>
          <w:u w:val="single"/>
        </w:rPr>
        <w:t></w:t>
      </w:r>
    </w:p>
    <w:p w14:paraId="00C9D4E0">
      <w:pPr>
        <w:adjustRightInd w:val="0"/>
        <w:snapToGrid w:val="0"/>
        <w:spacing w:line="360" w:lineRule="auto"/>
        <w:jc w:val="center"/>
        <w:rPr>
          <w:rFonts w:ascii="宋体" w:hAnsi="宋体" w:cs="宋体"/>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乙方</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(投标人)：</w:t>
      </w:r>
      <w:r>
        <w:rPr>
          <w:rFonts w:hint="eastAsia" w:ascii="宋体" w:hAnsi="宋体" w:cs="宋体"/>
          <w:color w:val="auto"/>
          <w:spacing w:val="23"/>
          <w:sz w:val="28"/>
          <w:szCs w:val="28"/>
          <w:highlight w:val="none"/>
          <w:u w:val="single"/>
        </w:rPr>
        <w:t></w:t>
      </w:r>
    </w:p>
    <w:p w14:paraId="24ED5685">
      <w:pPr>
        <w:adjustRightInd w:val="0"/>
        <w:snapToGrid w:val="0"/>
        <w:spacing w:line="360" w:lineRule="auto"/>
        <w:jc w:val="center"/>
        <w:rPr>
          <w:rFonts w:ascii="宋体" w:hAnsi="宋体" w:cs="宋体"/>
          <w:b/>
          <w:color w:val="auto"/>
          <w:sz w:val="28"/>
          <w:szCs w:val="28"/>
          <w:highlight w:val="none"/>
        </w:rPr>
      </w:pPr>
      <w:r>
        <w:rPr>
          <w:rFonts w:hint="eastAsia" w:ascii="宋体" w:hAnsi="宋体" w:cs="宋体"/>
          <w:b/>
          <w:color w:val="auto"/>
          <w:spacing w:val="23"/>
          <w:sz w:val="28"/>
          <w:szCs w:val="28"/>
          <w:highlight w:val="none"/>
        </w:rPr>
        <w:t>签订时间：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月</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日</w:t>
      </w:r>
    </w:p>
    <w:p w14:paraId="1D604CE1">
      <w:pPr>
        <w:widowControl/>
        <w:spacing w:line="360" w:lineRule="auto"/>
        <w:ind w:firstLine="562" w:firstLineChars="200"/>
        <w:jc w:val="center"/>
        <w:rPr>
          <w:rFonts w:hint="eastAsia" w:ascii="宋体" w:hAnsi="宋体" w:eastAsia="宋体" w:cs="宋体"/>
          <w:b/>
          <w:color w:val="auto"/>
          <w:sz w:val="28"/>
          <w:szCs w:val="28"/>
          <w:highlight w:val="none"/>
        </w:rPr>
      </w:pPr>
    </w:p>
    <w:p w14:paraId="0024C691">
      <w:pPr>
        <w:widowControl/>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合同范本</w:t>
      </w:r>
    </w:p>
    <w:p w14:paraId="11EE0671">
      <w:pPr>
        <w:widowControl/>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甲方(采购人)：</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p>
    <w:p w14:paraId="0B4E0BA1">
      <w:pPr>
        <w:widowControl/>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cs="宋体"/>
          <w:bCs/>
          <w:color w:val="auto"/>
          <w:sz w:val="24"/>
          <w:szCs w:val="24"/>
          <w:highlight w:val="none"/>
          <w:lang w:val="en-US" w:eastAsia="zh-CN"/>
        </w:rPr>
        <w:t>投标人</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              </w:t>
      </w:r>
    </w:p>
    <w:p w14:paraId="1DF42F67">
      <w:pPr>
        <w:pStyle w:val="12"/>
        <w:spacing w:line="360" w:lineRule="auto"/>
        <w:ind w:firstLine="480"/>
        <w:rPr>
          <w:rFonts w:hint="eastAsia" w:ascii="宋体" w:hAnsi="宋体" w:eastAsia="宋体" w:cs="宋体"/>
          <w:color w:val="auto"/>
          <w:highlight w:val="none"/>
        </w:rPr>
      </w:pPr>
      <w:r>
        <w:rPr>
          <w:rFonts w:hint="eastAsia" w:ascii="宋体" w:hAnsi="宋体" w:eastAsia="宋体" w:cs="宋体"/>
          <w:bCs/>
          <w:color w:val="auto"/>
          <w:highlight w:val="none"/>
        </w:rPr>
        <w:t>甲乙双方经协商一致，订立本合同，</w:t>
      </w:r>
      <w:r>
        <w:rPr>
          <w:rFonts w:hint="eastAsia" w:ascii="宋体" w:hAnsi="宋体" w:eastAsia="宋体" w:cs="宋体"/>
          <w:color w:val="auto"/>
          <w:highlight w:val="none"/>
        </w:rPr>
        <w:t>根据《中华人民共和国</w:t>
      </w:r>
      <w:r>
        <w:rPr>
          <w:rFonts w:hint="eastAsia" w:ascii="宋体" w:hAnsi="宋体" w:eastAsia="宋体" w:cs="宋体"/>
          <w:color w:val="auto"/>
          <w:highlight w:val="none"/>
          <w:lang w:val="en-US" w:eastAsia="zh-CN"/>
        </w:rPr>
        <w:t>民法典</w:t>
      </w:r>
      <w:r>
        <w:rPr>
          <w:rFonts w:hint="eastAsia" w:ascii="宋体" w:hAnsi="宋体" w:eastAsia="宋体" w:cs="宋体"/>
          <w:color w:val="auto"/>
          <w:highlight w:val="none"/>
        </w:rPr>
        <w:t>》《中华人民共和国政府采购法》及</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highlight w:val="none"/>
        </w:rPr>
        <w:t>的</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及</w:t>
      </w:r>
      <w:r>
        <w:rPr>
          <w:rFonts w:hint="eastAsia" w:ascii="宋体" w:hAnsi="宋体" w:eastAsia="宋体" w:cs="宋体"/>
          <w:color w:val="auto"/>
          <w:highlight w:val="none"/>
          <w:lang w:val="en-US" w:eastAsia="zh-CN"/>
        </w:rPr>
        <w:t>中标（</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通知书，甲、乙双方同意签订本合同。详细技术说明及其他有关合同项目的特定信息由合同附件予以说明，合同附件及本项目的</w:t>
      </w:r>
      <w:r>
        <w:rPr>
          <w:rFonts w:hint="eastAsia" w:ascii="宋体" w:hAnsi="宋体" w:eastAsia="宋体" w:cs="宋体"/>
          <w:color w:val="auto"/>
          <w:highlight w:val="none"/>
          <w:lang w:val="en-US"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中标（</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通知书等均为本合同不可分割的部分。双方同意共同遵守如下条款：</w:t>
      </w:r>
    </w:p>
    <w:p w14:paraId="20380B53">
      <w:pPr>
        <w:widowControl/>
        <w:numPr>
          <w:ilvl w:val="0"/>
          <w:numId w:val="0"/>
        </w:num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 xml:space="preserve"> 采购内容：</w:t>
      </w:r>
    </w:p>
    <w:tbl>
      <w:tblPr>
        <w:tblStyle w:val="9"/>
        <w:tblW w:w="8935" w:type="dxa"/>
        <w:tblInd w:w="-2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6"/>
        <w:gridCol w:w="604"/>
        <w:gridCol w:w="1209"/>
        <w:gridCol w:w="988"/>
        <w:gridCol w:w="870"/>
        <w:gridCol w:w="797"/>
        <w:gridCol w:w="907"/>
        <w:gridCol w:w="907"/>
        <w:gridCol w:w="907"/>
        <w:gridCol w:w="1220"/>
      </w:tblGrid>
      <w:tr w14:paraId="725BC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526" w:type="dxa"/>
            <w:tcBorders>
              <w:left w:val="single" w:color="000000" w:sz="8" w:space="0"/>
              <w:right w:val="single" w:color="000000" w:sz="8" w:space="0"/>
            </w:tcBorders>
            <w:noWrap w:val="0"/>
            <w:vAlign w:val="center"/>
          </w:tcPr>
          <w:p w14:paraId="6A0F8A4D">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604" w:type="dxa"/>
            <w:tcBorders>
              <w:left w:val="single" w:color="000000" w:sz="8" w:space="0"/>
            </w:tcBorders>
            <w:noWrap w:val="0"/>
            <w:vAlign w:val="center"/>
          </w:tcPr>
          <w:p w14:paraId="63821230">
            <w:pPr>
              <w:pStyle w:val="13"/>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货物</w:t>
            </w:r>
            <w:r>
              <w:rPr>
                <w:rFonts w:hint="eastAsia" w:ascii="宋体" w:hAnsi="宋体" w:eastAsia="宋体" w:cs="宋体"/>
                <w:color w:val="auto"/>
                <w:highlight w:val="none"/>
                <w:lang w:val="en-US" w:eastAsia="zh-CN"/>
              </w:rPr>
              <w:t>名称</w:t>
            </w:r>
          </w:p>
        </w:tc>
        <w:tc>
          <w:tcPr>
            <w:tcW w:w="1209" w:type="dxa"/>
            <w:noWrap w:val="0"/>
            <w:vAlign w:val="center"/>
          </w:tcPr>
          <w:p w14:paraId="32BA387B">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规格/</w:t>
            </w:r>
            <w:r>
              <w:rPr>
                <w:rFonts w:hint="eastAsia" w:ascii="宋体" w:hAnsi="宋体" w:cs="宋体"/>
                <w:color w:val="auto"/>
                <w:highlight w:val="none"/>
                <w:lang w:val="en-US" w:eastAsia="zh-CN"/>
              </w:rPr>
              <w:t>型号</w:t>
            </w:r>
          </w:p>
        </w:tc>
        <w:tc>
          <w:tcPr>
            <w:tcW w:w="988" w:type="dxa"/>
            <w:noWrap w:val="0"/>
            <w:vAlign w:val="center"/>
          </w:tcPr>
          <w:p w14:paraId="4D255DB4">
            <w:pPr>
              <w:pStyle w:val="13"/>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生产厂家</w:t>
            </w:r>
          </w:p>
        </w:tc>
        <w:tc>
          <w:tcPr>
            <w:tcW w:w="870" w:type="dxa"/>
            <w:noWrap w:val="0"/>
            <w:vAlign w:val="center"/>
          </w:tcPr>
          <w:p w14:paraId="703482FB">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品牌</w:t>
            </w:r>
          </w:p>
        </w:tc>
        <w:tc>
          <w:tcPr>
            <w:tcW w:w="797" w:type="dxa"/>
            <w:noWrap w:val="0"/>
            <w:vAlign w:val="center"/>
          </w:tcPr>
          <w:p w14:paraId="2521A2B8">
            <w:pPr>
              <w:pStyle w:val="13"/>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数量</w:t>
            </w:r>
          </w:p>
        </w:tc>
        <w:tc>
          <w:tcPr>
            <w:tcW w:w="907" w:type="dxa"/>
            <w:tcBorders>
              <w:right w:val="single" w:color="000000" w:sz="8" w:space="0"/>
            </w:tcBorders>
            <w:noWrap w:val="0"/>
            <w:vAlign w:val="center"/>
          </w:tcPr>
          <w:p w14:paraId="30A6B000">
            <w:pPr>
              <w:pStyle w:val="13"/>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单位</w:t>
            </w:r>
          </w:p>
        </w:tc>
        <w:tc>
          <w:tcPr>
            <w:tcW w:w="907" w:type="dxa"/>
            <w:tcBorders>
              <w:right w:val="single" w:color="000000" w:sz="8" w:space="0"/>
            </w:tcBorders>
            <w:noWrap w:val="0"/>
            <w:vAlign w:val="center"/>
          </w:tcPr>
          <w:p w14:paraId="34530476">
            <w:pPr>
              <w:pStyle w:val="13"/>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有效期</w:t>
            </w:r>
          </w:p>
        </w:tc>
        <w:tc>
          <w:tcPr>
            <w:tcW w:w="907" w:type="dxa"/>
            <w:tcBorders>
              <w:right w:val="single" w:color="000000" w:sz="8" w:space="0"/>
            </w:tcBorders>
            <w:noWrap w:val="0"/>
            <w:vAlign w:val="center"/>
          </w:tcPr>
          <w:p w14:paraId="64D577FA">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单价(元)</w:t>
            </w:r>
          </w:p>
        </w:tc>
        <w:tc>
          <w:tcPr>
            <w:tcW w:w="1220" w:type="dxa"/>
            <w:tcBorders>
              <w:left w:val="single" w:color="000000" w:sz="8" w:space="0"/>
              <w:right w:val="single" w:color="000000" w:sz="8" w:space="0"/>
            </w:tcBorders>
            <w:noWrap w:val="0"/>
            <w:vAlign w:val="center"/>
          </w:tcPr>
          <w:p w14:paraId="5193783F">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总</w:t>
            </w:r>
            <w:r>
              <w:rPr>
                <w:rFonts w:hint="eastAsia" w:ascii="宋体" w:hAnsi="宋体" w:eastAsia="宋体" w:cs="宋体"/>
                <w:color w:val="auto"/>
                <w:highlight w:val="none"/>
                <w:lang w:val="en-US" w:eastAsia="zh-CN"/>
              </w:rPr>
              <w:t>价</w:t>
            </w:r>
            <w:r>
              <w:rPr>
                <w:rFonts w:hint="eastAsia" w:ascii="宋体" w:hAnsi="宋体" w:eastAsia="宋体" w:cs="宋体"/>
                <w:color w:val="auto"/>
                <w:highlight w:val="none"/>
              </w:rPr>
              <w:t>(元)</w:t>
            </w:r>
          </w:p>
        </w:tc>
      </w:tr>
      <w:tr w14:paraId="40B63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526" w:type="dxa"/>
            <w:tcBorders>
              <w:left w:val="single" w:color="000000" w:sz="8" w:space="0"/>
            </w:tcBorders>
            <w:noWrap w:val="0"/>
            <w:vAlign w:val="center"/>
          </w:tcPr>
          <w:p w14:paraId="37493704">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604" w:type="dxa"/>
            <w:noWrap w:val="0"/>
            <w:vAlign w:val="center"/>
          </w:tcPr>
          <w:p w14:paraId="541A96F4">
            <w:pPr>
              <w:pStyle w:val="13"/>
              <w:jc w:val="center"/>
              <w:rPr>
                <w:rFonts w:hint="eastAsia" w:ascii="宋体" w:hAnsi="宋体" w:eastAsia="宋体" w:cs="宋体"/>
                <w:color w:val="auto"/>
                <w:highlight w:val="none"/>
              </w:rPr>
            </w:pPr>
          </w:p>
        </w:tc>
        <w:tc>
          <w:tcPr>
            <w:tcW w:w="1209" w:type="dxa"/>
            <w:noWrap w:val="0"/>
            <w:vAlign w:val="center"/>
          </w:tcPr>
          <w:p w14:paraId="4CECD8BF">
            <w:pPr>
              <w:pStyle w:val="13"/>
              <w:jc w:val="center"/>
              <w:rPr>
                <w:rFonts w:hint="eastAsia" w:ascii="宋体" w:hAnsi="宋体" w:eastAsia="宋体" w:cs="宋体"/>
                <w:color w:val="auto"/>
                <w:highlight w:val="none"/>
              </w:rPr>
            </w:pPr>
          </w:p>
        </w:tc>
        <w:tc>
          <w:tcPr>
            <w:tcW w:w="988" w:type="dxa"/>
            <w:noWrap w:val="0"/>
            <w:vAlign w:val="center"/>
          </w:tcPr>
          <w:p w14:paraId="5FC561E0">
            <w:pPr>
              <w:pStyle w:val="13"/>
              <w:jc w:val="center"/>
              <w:rPr>
                <w:rFonts w:hint="eastAsia" w:ascii="宋体" w:hAnsi="宋体" w:eastAsia="宋体" w:cs="宋体"/>
                <w:color w:val="auto"/>
                <w:highlight w:val="none"/>
              </w:rPr>
            </w:pPr>
          </w:p>
        </w:tc>
        <w:tc>
          <w:tcPr>
            <w:tcW w:w="870" w:type="dxa"/>
            <w:noWrap w:val="0"/>
            <w:vAlign w:val="center"/>
          </w:tcPr>
          <w:p w14:paraId="79A55244">
            <w:pPr>
              <w:pStyle w:val="13"/>
              <w:jc w:val="center"/>
              <w:rPr>
                <w:rFonts w:hint="eastAsia" w:ascii="宋体" w:hAnsi="宋体" w:eastAsia="宋体" w:cs="宋体"/>
                <w:color w:val="auto"/>
                <w:highlight w:val="none"/>
              </w:rPr>
            </w:pPr>
          </w:p>
        </w:tc>
        <w:tc>
          <w:tcPr>
            <w:tcW w:w="797" w:type="dxa"/>
            <w:noWrap w:val="0"/>
            <w:vAlign w:val="center"/>
          </w:tcPr>
          <w:p w14:paraId="659CF2F1">
            <w:pPr>
              <w:pStyle w:val="13"/>
              <w:jc w:val="center"/>
              <w:rPr>
                <w:rFonts w:hint="eastAsia" w:ascii="宋体" w:hAnsi="宋体" w:eastAsia="宋体" w:cs="宋体"/>
                <w:color w:val="auto"/>
                <w:highlight w:val="none"/>
              </w:rPr>
            </w:pPr>
          </w:p>
        </w:tc>
        <w:tc>
          <w:tcPr>
            <w:tcW w:w="907" w:type="dxa"/>
            <w:noWrap w:val="0"/>
            <w:vAlign w:val="center"/>
          </w:tcPr>
          <w:p w14:paraId="2785A70C">
            <w:pPr>
              <w:pStyle w:val="13"/>
              <w:jc w:val="center"/>
              <w:rPr>
                <w:rFonts w:hint="eastAsia" w:ascii="宋体" w:hAnsi="宋体" w:eastAsia="宋体" w:cs="宋体"/>
                <w:color w:val="auto"/>
                <w:highlight w:val="none"/>
              </w:rPr>
            </w:pPr>
          </w:p>
        </w:tc>
        <w:tc>
          <w:tcPr>
            <w:tcW w:w="907" w:type="dxa"/>
            <w:noWrap w:val="0"/>
            <w:vAlign w:val="center"/>
          </w:tcPr>
          <w:p w14:paraId="0D8183EC">
            <w:pPr>
              <w:pStyle w:val="13"/>
              <w:jc w:val="center"/>
              <w:rPr>
                <w:rFonts w:hint="eastAsia" w:ascii="宋体" w:hAnsi="宋体" w:eastAsia="宋体" w:cs="宋体"/>
                <w:color w:val="auto"/>
                <w:highlight w:val="none"/>
              </w:rPr>
            </w:pPr>
          </w:p>
        </w:tc>
        <w:tc>
          <w:tcPr>
            <w:tcW w:w="907" w:type="dxa"/>
            <w:noWrap w:val="0"/>
            <w:vAlign w:val="center"/>
          </w:tcPr>
          <w:p w14:paraId="2A74AD66">
            <w:pPr>
              <w:pStyle w:val="13"/>
              <w:jc w:val="center"/>
              <w:rPr>
                <w:rFonts w:hint="eastAsia" w:ascii="宋体" w:hAnsi="宋体" w:eastAsia="宋体" w:cs="宋体"/>
                <w:color w:val="auto"/>
                <w:highlight w:val="none"/>
              </w:rPr>
            </w:pPr>
          </w:p>
        </w:tc>
        <w:tc>
          <w:tcPr>
            <w:tcW w:w="1220" w:type="dxa"/>
            <w:noWrap w:val="0"/>
            <w:vAlign w:val="center"/>
          </w:tcPr>
          <w:p w14:paraId="4ABD59DB">
            <w:pPr>
              <w:pStyle w:val="13"/>
              <w:jc w:val="center"/>
              <w:rPr>
                <w:rFonts w:hint="eastAsia" w:ascii="宋体" w:hAnsi="宋体" w:eastAsia="宋体" w:cs="宋体"/>
                <w:color w:val="auto"/>
                <w:highlight w:val="none"/>
              </w:rPr>
            </w:pPr>
          </w:p>
        </w:tc>
      </w:tr>
      <w:tr w14:paraId="4BD42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526" w:type="dxa"/>
            <w:tcBorders>
              <w:left w:val="single" w:color="000000" w:sz="8" w:space="0"/>
            </w:tcBorders>
            <w:noWrap w:val="0"/>
            <w:vAlign w:val="center"/>
          </w:tcPr>
          <w:p w14:paraId="755C0D8F">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604" w:type="dxa"/>
            <w:noWrap w:val="0"/>
            <w:vAlign w:val="center"/>
          </w:tcPr>
          <w:p w14:paraId="3B954F55">
            <w:pPr>
              <w:pStyle w:val="13"/>
              <w:jc w:val="center"/>
              <w:rPr>
                <w:rFonts w:hint="eastAsia" w:ascii="宋体" w:hAnsi="宋体" w:eastAsia="宋体" w:cs="宋体"/>
                <w:color w:val="auto"/>
                <w:highlight w:val="none"/>
              </w:rPr>
            </w:pPr>
          </w:p>
        </w:tc>
        <w:tc>
          <w:tcPr>
            <w:tcW w:w="1209" w:type="dxa"/>
            <w:noWrap w:val="0"/>
            <w:vAlign w:val="center"/>
          </w:tcPr>
          <w:p w14:paraId="06C1BD6C">
            <w:pPr>
              <w:pStyle w:val="13"/>
              <w:jc w:val="center"/>
              <w:rPr>
                <w:rFonts w:hint="eastAsia" w:ascii="宋体" w:hAnsi="宋体" w:eastAsia="宋体" w:cs="宋体"/>
                <w:color w:val="auto"/>
                <w:highlight w:val="none"/>
              </w:rPr>
            </w:pPr>
          </w:p>
        </w:tc>
        <w:tc>
          <w:tcPr>
            <w:tcW w:w="988" w:type="dxa"/>
            <w:noWrap w:val="0"/>
            <w:vAlign w:val="center"/>
          </w:tcPr>
          <w:p w14:paraId="26D946B8">
            <w:pPr>
              <w:pStyle w:val="13"/>
              <w:jc w:val="center"/>
              <w:rPr>
                <w:rFonts w:hint="eastAsia" w:ascii="宋体" w:hAnsi="宋体" w:eastAsia="宋体" w:cs="宋体"/>
                <w:color w:val="auto"/>
                <w:highlight w:val="none"/>
              </w:rPr>
            </w:pPr>
          </w:p>
        </w:tc>
        <w:tc>
          <w:tcPr>
            <w:tcW w:w="870" w:type="dxa"/>
            <w:noWrap w:val="0"/>
            <w:vAlign w:val="center"/>
          </w:tcPr>
          <w:p w14:paraId="1D1E4AD1">
            <w:pPr>
              <w:pStyle w:val="13"/>
              <w:jc w:val="center"/>
              <w:rPr>
                <w:rFonts w:hint="eastAsia" w:ascii="宋体" w:hAnsi="宋体" w:eastAsia="宋体" w:cs="宋体"/>
                <w:color w:val="auto"/>
                <w:highlight w:val="none"/>
              </w:rPr>
            </w:pPr>
          </w:p>
        </w:tc>
        <w:tc>
          <w:tcPr>
            <w:tcW w:w="797" w:type="dxa"/>
            <w:noWrap w:val="0"/>
            <w:vAlign w:val="center"/>
          </w:tcPr>
          <w:p w14:paraId="7A3D5A87">
            <w:pPr>
              <w:pStyle w:val="13"/>
              <w:jc w:val="center"/>
              <w:rPr>
                <w:rFonts w:hint="eastAsia" w:ascii="宋体" w:hAnsi="宋体" w:eastAsia="宋体" w:cs="宋体"/>
                <w:color w:val="auto"/>
                <w:highlight w:val="none"/>
              </w:rPr>
            </w:pPr>
          </w:p>
        </w:tc>
        <w:tc>
          <w:tcPr>
            <w:tcW w:w="907" w:type="dxa"/>
            <w:noWrap w:val="0"/>
            <w:vAlign w:val="center"/>
          </w:tcPr>
          <w:p w14:paraId="2593AFA0">
            <w:pPr>
              <w:pStyle w:val="13"/>
              <w:jc w:val="center"/>
              <w:rPr>
                <w:rFonts w:hint="eastAsia" w:ascii="宋体" w:hAnsi="宋体" w:eastAsia="宋体" w:cs="宋体"/>
                <w:color w:val="auto"/>
                <w:highlight w:val="none"/>
              </w:rPr>
            </w:pPr>
          </w:p>
        </w:tc>
        <w:tc>
          <w:tcPr>
            <w:tcW w:w="907" w:type="dxa"/>
            <w:noWrap w:val="0"/>
            <w:vAlign w:val="center"/>
          </w:tcPr>
          <w:p w14:paraId="54C752B7">
            <w:pPr>
              <w:pStyle w:val="13"/>
              <w:jc w:val="center"/>
              <w:rPr>
                <w:rFonts w:hint="eastAsia" w:ascii="宋体" w:hAnsi="宋体" w:eastAsia="宋体" w:cs="宋体"/>
                <w:color w:val="auto"/>
                <w:highlight w:val="none"/>
              </w:rPr>
            </w:pPr>
          </w:p>
        </w:tc>
        <w:tc>
          <w:tcPr>
            <w:tcW w:w="907" w:type="dxa"/>
            <w:noWrap w:val="0"/>
            <w:vAlign w:val="center"/>
          </w:tcPr>
          <w:p w14:paraId="6C19CB3F">
            <w:pPr>
              <w:pStyle w:val="13"/>
              <w:jc w:val="center"/>
              <w:rPr>
                <w:rFonts w:hint="eastAsia" w:ascii="宋体" w:hAnsi="宋体" w:eastAsia="宋体" w:cs="宋体"/>
                <w:color w:val="auto"/>
                <w:highlight w:val="none"/>
              </w:rPr>
            </w:pPr>
          </w:p>
        </w:tc>
        <w:tc>
          <w:tcPr>
            <w:tcW w:w="1220" w:type="dxa"/>
            <w:noWrap w:val="0"/>
            <w:vAlign w:val="center"/>
          </w:tcPr>
          <w:p w14:paraId="2B03FF2D">
            <w:pPr>
              <w:pStyle w:val="13"/>
              <w:jc w:val="center"/>
              <w:rPr>
                <w:rFonts w:hint="eastAsia" w:ascii="宋体" w:hAnsi="宋体" w:eastAsia="宋体" w:cs="宋体"/>
                <w:color w:val="auto"/>
                <w:highlight w:val="none"/>
              </w:rPr>
            </w:pPr>
          </w:p>
        </w:tc>
      </w:tr>
      <w:tr w14:paraId="37190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exact"/>
        </w:trPr>
        <w:tc>
          <w:tcPr>
            <w:tcW w:w="526" w:type="dxa"/>
            <w:tcBorders>
              <w:left w:val="single" w:color="000000" w:sz="8" w:space="0"/>
            </w:tcBorders>
            <w:noWrap w:val="0"/>
            <w:vAlign w:val="center"/>
          </w:tcPr>
          <w:p w14:paraId="4CF241B4">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604" w:type="dxa"/>
            <w:noWrap w:val="0"/>
            <w:vAlign w:val="center"/>
          </w:tcPr>
          <w:p w14:paraId="256CB1AE">
            <w:pPr>
              <w:pStyle w:val="13"/>
              <w:jc w:val="center"/>
              <w:rPr>
                <w:rFonts w:hint="eastAsia" w:ascii="宋体" w:hAnsi="宋体" w:eastAsia="宋体" w:cs="宋体"/>
                <w:color w:val="auto"/>
                <w:highlight w:val="none"/>
              </w:rPr>
            </w:pPr>
          </w:p>
        </w:tc>
        <w:tc>
          <w:tcPr>
            <w:tcW w:w="1209" w:type="dxa"/>
            <w:noWrap w:val="0"/>
            <w:vAlign w:val="center"/>
          </w:tcPr>
          <w:p w14:paraId="0B48BFB8">
            <w:pPr>
              <w:pStyle w:val="13"/>
              <w:jc w:val="center"/>
              <w:rPr>
                <w:rFonts w:hint="eastAsia" w:ascii="宋体" w:hAnsi="宋体" w:eastAsia="宋体" w:cs="宋体"/>
                <w:color w:val="auto"/>
                <w:highlight w:val="none"/>
              </w:rPr>
            </w:pPr>
          </w:p>
        </w:tc>
        <w:tc>
          <w:tcPr>
            <w:tcW w:w="988" w:type="dxa"/>
            <w:noWrap w:val="0"/>
            <w:vAlign w:val="center"/>
          </w:tcPr>
          <w:p w14:paraId="061E2779">
            <w:pPr>
              <w:pStyle w:val="13"/>
              <w:jc w:val="center"/>
              <w:rPr>
                <w:rFonts w:hint="eastAsia" w:ascii="宋体" w:hAnsi="宋体" w:eastAsia="宋体" w:cs="宋体"/>
                <w:color w:val="auto"/>
                <w:highlight w:val="none"/>
              </w:rPr>
            </w:pPr>
          </w:p>
        </w:tc>
        <w:tc>
          <w:tcPr>
            <w:tcW w:w="870" w:type="dxa"/>
            <w:noWrap w:val="0"/>
            <w:vAlign w:val="center"/>
          </w:tcPr>
          <w:p w14:paraId="28F8EF5C">
            <w:pPr>
              <w:pStyle w:val="13"/>
              <w:jc w:val="center"/>
              <w:rPr>
                <w:rFonts w:hint="eastAsia" w:ascii="宋体" w:hAnsi="宋体" w:eastAsia="宋体" w:cs="宋体"/>
                <w:color w:val="auto"/>
                <w:highlight w:val="none"/>
              </w:rPr>
            </w:pPr>
          </w:p>
        </w:tc>
        <w:tc>
          <w:tcPr>
            <w:tcW w:w="797" w:type="dxa"/>
            <w:noWrap w:val="0"/>
            <w:vAlign w:val="center"/>
          </w:tcPr>
          <w:p w14:paraId="332F48AB">
            <w:pPr>
              <w:pStyle w:val="13"/>
              <w:jc w:val="center"/>
              <w:rPr>
                <w:rFonts w:hint="eastAsia" w:ascii="宋体" w:hAnsi="宋体" w:eastAsia="宋体" w:cs="宋体"/>
                <w:color w:val="auto"/>
                <w:highlight w:val="none"/>
              </w:rPr>
            </w:pPr>
          </w:p>
        </w:tc>
        <w:tc>
          <w:tcPr>
            <w:tcW w:w="907" w:type="dxa"/>
            <w:noWrap w:val="0"/>
            <w:vAlign w:val="center"/>
          </w:tcPr>
          <w:p w14:paraId="72DCE27A">
            <w:pPr>
              <w:pStyle w:val="13"/>
              <w:jc w:val="center"/>
              <w:rPr>
                <w:rFonts w:hint="eastAsia" w:ascii="宋体" w:hAnsi="宋体" w:eastAsia="宋体" w:cs="宋体"/>
                <w:color w:val="auto"/>
                <w:highlight w:val="none"/>
              </w:rPr>
            </w:pPr>
          </w:p>
        </w:tc>
        <w:tc>
          <w:tcPr>
            <w:tcW w:w="907" w:type="dxa"/>
            <w:noWrap w:val="0"/>
            <w:vAlign w:val="center"/>
          </w:tcPr>
          <w:p w14:paraId="1DE60F15">
            <w:pPr>
              <w:pStyle w:val="13"/>
              <w:jc w:val="center"/>
              <w:rPr>
                <w:rFonts w:hint="eastAsia" w:ascii="宋体" w:hAnsi="宋体" w:eastAsia="宋体" w:cs="宋体"/>
                <w:color w:val="auto"/>
                <w:highlight w:val="none"/>
              </w:rPr>
            </w:pPr>
          </w:p>
        </w:tc>
        <w:tc>
          <w:tcPr>
            <w:tcW w:w="907" w:type="dxa"/>
            <w:noWrap w:val="0"/>
            <w:vAlign w:val="center"/>
          </w:tcPr>
          <w:p w14:paraId="5A35D652">
            <w:pPr>
              <w:pStyle w:val="13"/>
              <w:jc w:val="center"/>
              <w:rPr>
                <w:rFonts w:hint="eastAsia" w:ascii="宋体" w:hAnsi="宋体" w:eastAsia="宋体" w:cs="宋体"/>
                <w:color w:val="auto"/>
                <w:highlight w:val="none"/>
              </w:rPr>
            </w:pPr>
          </w:p>
        </w:tc>
        <w:tc>
          <w:tcPr>
            <w:tcW w:w="1220" w:type="dxa"/>
            <w:noWrap w:val="0"/>
            <w:vAlign w:val="center"/>
          </w:tcPr>
          <w:p w14:paraId="2C251D47">
            <w:pPr>
              <w:pStyle w:val="13"/>
              <w:jc w:val="center"/>
              <w:rPr>
                <w:rFonts w:hint="eastAsia" w:ascii="宋体" w:hAnsi="宋体" w:eastAsia="宋体" w:cs="宋体"/>
                <w:color w:val="auto"/>
                <w:highlight w:val="none"/>
              </w:rPr>
            </w:pPr>
          </w:p>
        </w:tc>
      </w:tr>
      <w:tr w14:paraId="00F2C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exact"/>
        </w:trPr>
        <w:tc>
          <w:tcPr>
            <w:tcW w:w="526" w:type="dxa"/>
            <w:tcBorders>
              <w:left w:val="single" w:color="000000" w:sz="8" w:space="0"/>
            </w:tcBorders>
            <w:noWrap w:val="0"/>
            <w:vAlign w:val="center"/>
          </w:tcPr>
          <w:p w14:paraId="3823B6B4">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604" w:type="dxa"/>
            <w:noWrap w:val="0"/>
            <w:vAlign w:val="center"/>
          </w:tcPr>
          <w:p w14:paraId="17EA1840">
            <w:pPr>
              <w:pStyle w:val="13"/>
              <w:jc w:val="center"/>
              <w:rPr>
                <w:rFonts w:hint="eastAsia" w:ascii="宋体" w:hAnsi="宋体" w:eastAsia="宋体" w:cs="宋体"/>
                <w:color w:val="auto"/>
                <w:highlight w:val="none"/>
              </w:rPr>
            </w:pPr>
          </w:p>
        </w:tc>
        <w:tc>
          <w:tcPr>
            <w:tcW w:w="1209" w:type="dxa"/>
            <w:noWrap w:val="0"/>
            <w:vAlign w:val="center"/>
          </w:tcPr>
          <w:p w14:paraId="127A7BEA">
            <w:pPr>
              <w:pStyle w:val="13"/>
              <w:jc w:val="center"/>
              <w:rPr>
                <w:rFonts w:hint="eastAsia" w:ascii="宋体" w:hAnsi="宋体" w:eastAsia="宋体" w:cs="宋体"/>
                <w:color w:val="auto"/>
                <w:highlight w:val="none"/>
              </w:rPr>
            </w:pPr>
          </w:p>
        </w:tc>
        <w:tc>
          <w:tcPr>
            <w:tcW w:w="988" w:type="dxa"/>
            <w:noWrap w:val="0"/>
            <w:vAlign w:val="center"/>
          </w:tcPr>
          <w:p w14:paraId="23653A12">
            <w:pPr>
              <w:pStyle w:val="13"/>
              <w:jc w:val="center"/>
              <w:rPr>
                <w:rFonts w:hint="eastAsia" w:ascii="宋体" w:hAnsi="宋体" w:eastAsia="宋体" w:cs="宋体"/>
                <w:color w:val="auto"/>
                <w:highlight w:val="none"/>
              </w:rPr>
            </w:pPr>
          </w:p>
        </w:tc>
        <w:tc>
          <w:tcPr>
            <w:tcW w:w="870" w:type="dxa"/>
            <w:noWrap w:val="0"/>
            <w:vAlign w:val="center"/>
          </w:tcPr>
          <w:p w14:paraId="2103FFBE">
            <w:pPr>
              <w:pStyle w:val="13"/>
              <w:jc w:val="center"/>
              <w:rPr>
                <w:rFonts w:hint="eastAsia" w:ascii="宋体" w:hAnsi="宋体" w:eastAsia="宋体" w:cs="宋体"/>
                <w:color w:val="auto"/>
                <w:highlight w:val="none"/>
              </w:rPr>
            </w:pPr>
          </w:p>
        </w:tc>
        <w:tc>
          <w:tcPr>
            <w:tcW w:w="797" w:type="dxa"/>
            <w:noWrap w:val="0"/>
            <w:vAlign w:val="center"/>
          </w:tcPr>
          <w:p w14:paraId="636EFAFD">
            <w:pPr>
              <w:pStyle w:val="13"/>
              <w:jc w:val="center"/>
              <w:rPr>
                <w:rFonts w:hint="eastAsia" w:ascii="宋体" w:hAnsi="宋体" w:eastAsia="宋体" w:cs="宋体"/>
                <w:color w:val="auto"/>
                <w:highlight w:val="none"/>
              </w:rPr>
            </w:pPr>
          </w:p>
        </w:tc>
        <w:tc>
          <w:tcPr>
            <w:tcW w:w="907" w:type="dxa"/>
            <w:noWrap w:val="0"/>
            <w:vAlign w:val="center"/>
          </w:tcPr>
          <w:p w14:paraId="20C7B07F">
            <w:pPr>
              <w:pStyle w:val="13"/>
              <w:jc w:val="center"/>
              <w:rPr>
                <w:rFonts w:hint="eastAsia" w:ascii="宋体" w:hAnsi="宋体" w:eastAsia="宋体" w:cs="宋体"/>
                <w:color w:val="auto"/>
                <w:highlight w:val="none"/>
              </w:rPr>
            </w:pPr>
          </w:p>
        </w:tc>
        <w:tc>
          <w:tcPr>
            <w:tcW w:w="907" w:type="dxa"/>
            <w:noWrap w:val="0"/>
            <w:vAlign w:val="center"/>
          </w:tcPr>
          <w:p w14:paraId="794E4B71">
            <w:pPr>
              <w:pStyle w:val="13"/>
              <w:jc w:val="center"/>
              <w:rPr>
                <w:rFonts w:hint="eastAsia" w:ascii="宋体" w:hAnsi="宋体" w:eastAsia="宋体" w:cs="宋体"/>
                <w:color w:val="auto"/>
                <w:highlight w:val="none"/>
              </w:rPr>
            </w:pPr>
          </w:p>
        </w:tc>
        <w:tc>
          <w:tcPr>
            <w:tcW w:w="907" w:type="dxa"/>
            <w:noWrap w:val="0"/>
            <w:vAlign w:val="center"/>
          </w:tcPr>
          <w:p w14:paraId="0F210D7F">
            <w:pPr>
              <w:pStyle w:val="13"/>
              <w:jc w:val="center"/>
              <w:rPr>
                <w:rFonts w:hint="eastAsia" w:ascii="宋体" w:hAnsi="宋体" w:eastAsia="宋体" w:cs="宋体"/>
                <w:color w:val="auto"/>
                <w:highlight w:val="none"/>
              </w:rPr>
            </w:pPr>
          </w:p>
        </w:tc>
        <w:tc>
          <w:tcPr>
            <w:tcW w:w="1220" w:type="dxa"/>
            <w:noWrap w:val="0"/>
            <w:vAlign w:val="center"/>
          </w:tcPr>
          <w:p w14:paraId="1D7E62A0">
            <w:pPr>
              <w:pStyle w:val="13"/>
              <w:jc w:val="center"/>
              <w:rPr>
                <w:rFonts w:hint="eastAsia" w:ascii="宋体" w:hAnsi="宋体" w:eastAsia="宋体" w:cs="宋体"/>
                <w:color w:val="auto"/>
                <w:highlight w:val="none"/>
              </w:rPr>
            </w:pPr>
          </w:p>
        </w:tc>
      </w:tr>
    </w:tbl>
    <w:p w14:paraId="1FDCE926">
      <w:pPr>
        <w:pStyle w:val="3"/>
        <w:widowControl w:val="0"/>
        <w:numPr>
          <w:ilvl w:val="0"/>
          <w:numId w:val="0"/>
        </w:numPr>
        <w:jc w:val="both"/>
        <w:rPr>
          <w:rFonts w:hint="eastAsia" w:ascii="宋体" w:hAnsi="宋体" w:eastAsia="宋体" w:cs="宋体"/>
          <w:color w:val="auto"/>
          <w:highlight w:val="none"/>
        </w:rPr>
      </w:pPr>
    </w:p>
    <w:p w14:paraId="21CBA8B7">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合同总额包括完成采购范围内全部货物采购及相关伴随服务等全过程的费用。注：货物名称内容必须与</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val="en-US"/>
        </w:rPr>
        <w:t>文件中货物名称内容一致。</w:t>
      </w:r>
    </w:p>
    <w:p w14:paraId="2234299D">
      <w:pPr>
        <w:widowControl/>
        <w:numPr>
          <w:ilvl w:val="0"/>
          <w:numId w:val="0"/>
        </w:numPr>
        <w:spacing w:line="360" w:lineRule="auto"/>
        <w:jc w:val="left"/>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二、合同金额：</w:t>
      </w:r>
    </w:p>
    <w:p w14:paraId="553E072A">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合同金额为</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en-US"/>
        </w:rPr>
        <w:t>人民币（大写：</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lang w:val="en-US"/>
        </w:rPr>
        <w:tab/>
      </w:r>
      <w:r>
        <w:rPr>
          <w:rFonts w:hint="eastAsia" w:ascii="宋体" w:hAnsi="宋体" w:eastAsia="宋体" w:cs="宋体"/>
          <w:color w:val="auto"/>
          <w:highlight w:val="none"/>
          <w:lang w:val="en-US"/>
        </w:rPr>
        <w:t>）（</w:t>
      </w:r>
      <w:r>
        <w:rPr>
          <w:rFonts w:hint="eastAsia" w:ascii="宋体" w:hAnsi="宋体" w:eastAsia="宋体" w:cs="宋体"/>
          <w:color w:val="auto"/>
          <w:highlight w:val="none"/>
          <w:lang w:val="en-US" w:eastAsia="zh-CN"/>
        </w:rPr>
        <w:t>小写：</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lang w:val="en-US"/>
        </w:rPr>
        <w:tab/>
      </w:r>
      <w:r>
        <w:rPr>
          <w:rFonts w:hint="eastAsia" w:ascii="宋体" w:hAnsi="宋体" w:eastAsia="宋体" w:cs="宋体"/>
          <w:color w:val="auto"/>
          <w:highlight w:val="none"/>
          <w:lang w:val="en-US"/>
        </w:rPr>
        <w:t>）。</w:t>
      </w:r>
    </w:p>
    <w:p w14:paraId="44463F13">
      <w:pPr>
        <w:widowControl/>
        <w:numPr>
          <w:ilvl w:val="0"/>
          <w:numId w:val="0"/>
        </w:numPr>
        <w:spacing w:line="360" w:lineRule="auto"/>
        <w:jc w:val="left"/>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三、货物要求：</w:t>
      </w:r>
    </w:p>
    <w:p w14:paraId="645DF77D">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货物为原制造商制造的全新产品，无污染，无侵权行为、表面无划损、无任何缺陷隐患，在中国境内可依常规安全合法使用。</w:t>
      </w:r>
    </w:p>
    <w:p w14:paraId="26B2D1C3">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交付验收标准依次序对照适用标准为：</w:t>
      </w:r>
    </w:p>
    <w:p w14:paraId="6370BD54">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①符合中华人民共和国国家安全质量标准、环保标准或行业标准；</w:t>
      </w:r>
    </w:p>
    <w:p w14:paraId="67E376D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②符合</w:t>
      </w:r>
      <w:r>
        <w:rPr>
          <w:rFonts w:hint="eastAsia" w:ascii="宋体" w:hAnsi="宋体" w:eastAsia="宋体" w:cs="宋体"/>
          <w:color w:val="auto"/>
          <w:highlight w:val="none"/>
          <w:lang w:val="en-US" w:eastAsia="zh-CN"/>
        </w:rPr>
        <w:t>招标文件</w:t>
      </w:r>
      <w:r>
        <w:rPr>
          <w:rFonts w:hint="eastAsia" w:ascii="宋体" w:hAnsi="宋体" w:eastAsia="宋体" w:cs="宋体"/>
          <w:color w:val="auto"/>
          <w:highlight w:val="none"/>
          <w:lang w:val="en-US"/>
        </w:rPr>
        <w:t>和</w:t>
      </w:r>
      <w:r>
        <w:rPr>
          <w:rFonts w:hint="eastAsia" w:ascii="宋体" w:hAnsi="宋体" w:eastAsia="宋体" w:cs="宋体"/>
          <w:color w:val="auto"/>
          <w:highlight w:val="none"/>
          <w:lang w:val="en-US" w:eastAsia="zh-CN"/>
        </w:rPr>
        <w:t>投标文件</w:t>
      </w:r>
      <w:r>
        <w:rPr>
          <w:rFonts w:hint="eastAsia" w:ascii="宋体" w:hAnsi="宋体" w:eastAsia="宋体" w:cs="宋体"/>
          <w:color w:val="auto"/>
          <w:highlight w:val="none"/>
          <w:lang w:val="en-US"/>
        </w:rPr>
        <w:t>中甲方认可的各项要求；</w:t>
      </w:r>
    </w:p>
    <w:p w14:paraId="770C618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highlight w:val="none"/>
          <w:lang w:val="en-US"/>
        </w:rPr>
        <w:t>③货物来源</w:t>
      </w:r>
      <w:r>
        <w:rPr>
          <w:rFonts w:hint="eastAsia" w:ascii="宋体" w:hAnsi="宋体" w:eastAsia="宋体" w:cs="宋体"/>
          <w:color w:val="auto"/>
          <w:highlight w:val="none"/>
          <w:lang w:val="en-US" w:eastAsia="zh-CN"/>
        </w:rPr>
        <w:t>符合相关</w:t>
      </w:r>
      <w:r>
        <w:rPr>
          <w:rFonts w:hint="eastAsia" w:ascii="宋体" w:hAnsi="宋体" w:eastAsia="宋体" w:cs="宋体"/>
          <w:color w:val="auto"/>
          <w:highlight w:val="none"/>
          <w:lang w:val="en-US"/>
        </w:rPr>
        <w:t>标准。</w:t>
      </w:r>
    </w:p>
    <w:p w14:paraId="740815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四、</w:t>
      </w:r>
      <w:r>
        <w:rPr>
          <w:rFonts w:hint="eastAsia" w:ascii="宋体" w:hAnsi="宋体" w:cs="宋体"/>
          <w:b/>
          <w:color w:val="auto"/>
          <w:sz w:val="24"/>
          <w:szCs w:val="24"/>
          <w:highlight w:val="none"/>
          <w:lang w:val="en-US" w:eastAsia="zh-CN"/>
        </w:rPr>
        <w:t>交货时间</w:t>
      </w:r>
      <w:r>
        <w:rPr>
          <w:rFonts w:hint="eastAsia" w:ascii="宋体" w:hAnsi="宋体" w:eastAsia="宋体" w:cs="宋体"/>
          <w:b/>
          <w:color w:val="auto"/>
          <w:sz w:val="24"/>
          <w:szCs w:val="24"/>
          <w:highlight w:val="none"/>
          <w:lang w:val="en-US"/>
        </w:rPr>
        <w:t>及</w:t>
      </w:r>
      <w:r>
        <w:rPr>
          <w:rFonts w:hint="eastAsia" w:ascii="宋体" w:hAnsi="宋体" w:cs="宋体"/>
          <w:b/>
          <w:color w:val="auto"/>
          <w:sz w:val="24"/>
          <w:szCs w:val="24"/>
          <w:highlight w:val="none"/>
          <w:lang w:val="en-US" w:eastAsia="zh-CN"/>
        </w:rPr>
        <w:t>交货地</w:t>
      </w:r>
      <w:r>
        <w:rPr>
          <w:rFonts w:hint="eastAsia" w:ascii="宋体" w:hAnsi="宋体" w:eastAsia="宋体" w:cs="宋体"/>
          <w:b/>
          <w:color w:val="auto"/>
          <w:sz w:val="24"/>
          <w:szCs w:val="24"/>
          <w:highlight w:val="none"/>
          <w:lang w:val="en-US"/>
        </w:rPr>
        <w:t>点：</w:t>
      </w:r>
    </w:p>
    <w:p w14:paraId="7FEB637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b w:val="0"/>
          <w:bCs/>
          <w:color w:val="auto"/>
          <w:sz w:val="24"/>
          <w:szCs w:val="24"/>
          <w:highlight w:val="none"/>
          <w:lang w:val="en-US" w:eastAsia="zh-CN"/>
        </w:rPr>
        <w:t>交货时间</w:t>
      </w:r>
      <w:r>
        <w:rPr>
          <w:rFonts w:hint="eastAsia" w:ascii="宋体" w:hAnsi="宋体" w:eastAsia="宋体" w:cs="宋体"/>
          <w:color w:val="auto"/>
          <w:highlight w:val="none"/>
          <w:lang w:val="en-US"/>
        </w:rPr>
        <w:t>：</w:t>
      </w:r>
      <w:r>
        <w:rPr>
          <w:rFonts w:hint="eastAsia" w:ascii="宋体" w:hAnsi="宋体" w:eastAsia="宋体" w:cs="宋体"/>
          <w:b w:val="0"/>
          <w:bCs/>
          <w:color w:val="auto"/>
          <w:kern w:val="1"/>
          <w:sz w:val="24"/>
          <w:highlight w:val="none"/>
          <w:u w:val="single"/>
          <w:lang w:val="en-US" w:eastAsia="zh-CN"/>
        </w:rPr>
        <w:t xml:space="preserve">                 </w:t>
      </w:r>
      <w:r>
        <w:rPr>
          <w:rFonts w:hint="eastAsia" w:ascii="宋体" w:hAnsi="宋体" w:eastAsia="宋体" w:cs="宋体"/>
          <w:color w:val="auto"/>
          <w:highlight w:val="none"/>
          <w:lang w:val="en-US"/>
        </w:rPr>
        <w:t>。</w:t>
      </w:r>
    </w:p>
    <w:p w14:paraId="36B3F2F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b w:val="0"/>
          <w:bCs/>
          <w:color w:val="auto"/>
          <w:sz w:val="24"/>
          <w:szCs w:val="24"/>
          <w:highlight w:val="none"/>
          <w:lang w:val="en-US" w:eastAsia="zh-CN"/>
        </w:rPr>
        <w:t>交货</w:t>
      </w:r>
      <w:r>
        <w:rPr>
          <w:rFonts w:hint="eastAsia" w:ascii="宋体" w:hAnsi="宋体" w:eastAsia="宋体" w:cs="宋体"/>
          <w:color w:val="auto"/>
          <w:highlight w:val="none"/>
          <w:lang w:val="en-US"/>
        </w:rPr>
        <w:t>地点：</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rPr>
        <w:t>。</w:t>
      </w:r>
    </w:p>
    <w:p w14:paraId="4FC73D63">
      <w:pPr>
        <w:pStyle w:val="14"/>
        <w:keepNext w:val="0"/>
        <w:keepLines w:val="0"/>
        <w:pageBreakBefore w:val="0"/>
        <w:widowControl w:val="0"/>
        <w:numPr>
          <w:ilvl w:val="0"/>
          <w:numId w:val="1"/>
        </w:numPr>
        <w:tabs>
          <w:tab w:val="left" w:pos="1480"/>
        </w:tabs>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付款方式</w:t>
      </w:r>
      <w:r>
        <w:rPr>
          <w:rFonts w:hint="eastAsia" w:ascii="宋体" w:hAnsi="宋体" w:cs="宋体"/>
          <w:b/>
          <w:color w:val="auto"/>
          <w:kern w:val="2"/>
          <w:sz w:val="24"/>
          <w:szCs w:val="24"/>
          <w:highlight w:val="none"/>
          <w:lang w:val="en-US" w:eastAsia="zh-CN" w:bidi="ar-SA"/>
        </w:rPr>
        <w:t>、</w:t>
      </w:r>
      <w:r>
        <w:rPr>
          <w:rFonts w:hint="eastAsia" w:ascii="宋体" w:hAnsi="宋体" w:eastAsia="宋体" w:cs="宋体"/>
          <w:b/>
          <w:color w:val="auto"/>
          <w:kern w:val="2"/>
          <w:sz w:val="24"/>
          <w:szCs w:val="24"/>
          <w:highlight w:val="none"/>
          <w:lang w:val="en-US" w:eastAsia="zh-CN" w:bidi="ar-SA"/>
        </w:rPr>
        <w:t>产品有效期</w:t>
      </w:r>
      <w:r>
        <w:rPr>
          <w:rFonts w:hint="eastAsia" w:ascii="宋体" w:hAnsi="宋体" w:cs="宋体"/>
          <w:b/>
          <w:color w:val="auto"/>
          <w:kern w:val="2"/>
          <w:sz w:val="24"/>
          <w:szCs w:val="24"/>
          <w:highlight w:val="none"/>
          <w:lang w:val="en-US" w:eastAsia="zh-CN" w:bidi="ar-SA"/>
        </w:rPr>
        <w:t>及其他要求</w:t>
      </w:r>
      <w:r>
        <w:rPr>
          <w:rFonts w:hint="eastAsia" w:ascii="宋体" w:hAnsi="宋体" w:eastAsia="宋体" w:cs="宋体"/>
          <w:b/>
          <w:color w:val="auto"/>
          <w:kern w:val="2"/>
          <w:sz w:val="24"/>
          <w:szCs w:val="24"/>
          <w:highlight w:val="none"/>
          <w:lang w:val="en-US" w:eastAsia="zh-CN" w:bidi="ar-SA"/>
        </w:rPr>
        <w:t>：</w:t>
      </w:r>
    </w:p>
    <w:p w14:paraId="0F26BAD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b w:val="0"/>
          <w:bCs/>
          <w:color w:val="auto"/>
          <w:kern w:val="2"/>
          <w:sz w:val="24"/>
          <w:szCs w:val="24"/>
          <w:highlight w:val="none"/>
          <w:lang w:val="en-US" w:eastAsia="zh-CN" w:bidi="ar-SA"/>
        </w:rPr>
        <w:t>付款方式</w:t>
      </w:r>
      <w:r>
        <w:rPr>
          <w:rFonts w:hint="eastAsia" w:ascii="宋体" w:hAnsi="宋体" w:eastAsia="宋体" w:cs="宋体"/>
          <w:b w:val="0"/>
          <w:bCs/>
          <w:color w:val="auto"/>
          <w:kern w:val="2"/>
          <w:sz w:val="24"/>
          <w:szCs w:val="24"/>
          <w:highlight w:val="none"/>
          <w:u w:val="none"/>
          <w:lang w:val="en-US" w:eastAsia="zh-CN" w:bidi="ar-SA"/>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23BFDFF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olor w:val="auto"/>
          <w:sz w:val="24"/>
          <w:highlight w:val="none"/>
          <w:lang w:val="en-US" w:eastAsia="zh-CN"/>
        </w:rPr>
      </w:pPr>
      <w:r>
        <w:rPr>
          <w:rFonts w:hint="eastAsia" w:ascii="宋体" w:hAnsi="宋体" w:eastAsia="宋体" w:cs="宋体"/>
          <w:i w:val="0"/>
          <w:iCs w:val="0"/>
          <w:color w:val="auto"/>
          <w:sz w:val="24"/>
          <w:highlight w:val="none"/>
          <w:lang w:val="en-US" w:eastAsia="zh-CN"/>
        </w:rPr>
        <w:t>产品有效期：</w:t>
      </w:r>
      <w:r>
        <w:rPr>
          <w:rFonts w:hint="eastAsia" w:ascii="宋体" w:hAnsi="宋体" w:eastAsia="宋体" w:cs="宋体"/>
          <w:i w:val="0"/>
          <w:iCs w:val="0"/>
          <w:color w:val="auto"/>
          <w:sz w:val="24"/>
          <w:highlight w:val="none"/>
          <w:u w:val="single"/>
          <w:lang w:val="en-US" w:eastAsia="zh-CN"/>
        </w:rPr>
        <w:t xml:space="preserve">                      </w:t>
      </w:r>
      <w:r>
        <w:rPr>
          <w:rFonts w:hint="eastAsia" w:ascii="宋体" w:hAnsi="宋体" w:eastAsia="宋体" w:cs="宋体"/>
          <w:i w:val="0"/>
          <w:iCs w:val="0"/>
          <w:color w:val="auto"/>
          <w:sz w:val="24"/>
          <w:highlight w:val="none"/>
          <w:lang w:val="en-US" w:eastAsia="zh-CN"/>
        </w:rPr>
        <w:t>。</w:t>
      </w:r>
    </w:p>
    <w:p w14:paraId="643FE413">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i w:val="0"/>
          <w:iCs w:val="0"/>
          <w:color w:val="auto"/>
          <w:sz w:val="24"/>
          <w:highlight w:val="none"/>
          <w:lang w:val="en-US" w:eastAsia="zh-CN"/>
        </w:rPr>
      </w:pPr>
      <w:r>
        <w:rPr>
          <w:rFonts w:hint="eastAsia" w:ascii="宋体" w:hAnsi="宋体" w:eastAsia="宋体" w:cs="宋体"/>
          <w:i w:val="0"/>
          <w:iCs w:val="0"/>
          <w:color w:val="auto"/>
          <w:sz w:val="24"/>
          <w:highlight w:val="none"/>
          <w:lang w:val="en-US" w:eastAsia="zh-CN"/>
        </w:rPr>
        <w:t>其他要求：</w:t>
      </w:r>
      <w:r>
        <w:rPr>
          <w:rFonts w:hint="eastAsia" w:ascii="宋体" w:hAnsi="宋体" w:eastAsia="宋体" w:cs="宋体"/>
          <w:i w:val="0"/>
          <w:iCs w:val="0"/>
          <w:color w:val="auto"/>
          <w:sz w:val="24"/>
          <w:highlight w:val="none"/>
          <w:u w:val="single"/>
          <w:lang w:val="en-US" w:eastAsia="zh-CN"/>
        </w:rPr>
        <w:t xml:space="preserve">                        </w:t>
      </w:r>
      <w:r>
        <w:rPr>
          <w:rFonts w:hint="eastAsia" w:ascii="宋体" w:hAnsi="宋体" w:eastAsia="宋体" w:cs="宋体"/>
          <w:i w:val="0"/>
          <w:iCs w:val="0"/>
          <w:color w:val="auto"/>
          <w:sz w:val="24"/>
          <w:highlight w:val="none"/>
          <w:lang w:val="en-US" w:eastAsia="zh-CN"/>
        </w:rPr>
        <w:t>。</w:t>
      </w:r>
    </w:p>
    <w:p w14:paraId="410B2915">
      <w:pPr>
        <w:pStyle w:val="4"/>
        <w:spacing w:before="161"/>
        <w:ind w:left="0" w:leftChars="0" w:firstLine="0" w:firstLineChars="0"/>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六、甲方的权利与义务</w:t>
      </w:r>
    </w:p>
    <w:p w14:paraId="51321C1D">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1、甲方协助乙方做好本项目准备工作，包括前期的组织、协调工作；</w:t>
      </w:r>
    </w:p>
    <w:p w14:paraId="16C076CD">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2、甲方应按照国家法律、法规的规定及本合同的约定编制规划，为乙方的工作提供方便。</w:t>
      </w:r>
    </w:p>
    <w:p w14:paraId="794FFE28">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3、甲方应按照合同要求，向乙方及时支付费用。</w:t>
      </w:r>
    </w:p>
    <w:p w14:paraId="7BC6DA77">
      <w:pPr>
        <w:pStyle w:val="4"/>
        <w:spacing w:before="161"/>
        <w:ind w:left="0" w:leftChars="0" w:firstLine="0" w:firstLineChars="0"/>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七、乙方的权利与义务</w:t>
      </w:r>
    </w:p>
    <w:p w14:paraId="41D13D03">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1、从项目开始至项目结束，乙方应确保项目质量达到合格标准。</w:t>
      </w:r>
    </w:p>
    <w:p w14:paraId="1A8019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val="0"/>
          <w:bCs/>
          <w:color w:val="auto"/>
          <w:kern w:val="1"/>
          <w:sz w:val="24"/>
          <w:highlight w:val="none"/>
          <w:lang w:val="en-US" w:eastAsia="zh-CN"/>
        </w:rPr>
        <w:t>2、乙方有义务向甲方提供进度安排，如因客观原因进度需要变更，乙方必须提前通知甲方。</w:t>
      </w:r>
    </w:p>
    <w:p w14:paraId="2644BF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八、乙方的</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sz w:val="24"/>
          <w:szCs w:val="24"/>
          <w:highlight w:val="none"/>
          <w:lang w:val="en-US" w:eastAsia="zh-CN"/>
        </w:rPr>
        <w:fldChar w:fldCharType="separate"/>
      </w:r>
      <w:r>
        <w:rPr>
          <w:rFonts w:hint="eastAsia" w:ascii="宋体" w:hAnsi="宋体" w:eastAsia="宋体" w:cs="宋体"/>
          <w:b/>
          <w:color w:val="auto"/>
          <w:sz w:val="24"/>
          <w:szCs w:val="24"/>
          <w:highlight w:val="none"/>
          <w:lang w:val="en-US" w:eastAsia="zh-CN"/>
        </w:rPr>
        <w:t>违约责任</w: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w:t>
      </w:r>
    </w:p>
    <w:p w14:paraId="1DE0FE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1、乙方不能按期交货的，每逾期1日，乙方应向甲方赔付合同总价的</w:t>
      </w:r>
      <w:r>
        <w:rPr>
          <w:rFonts w:hint="eastAsia" w:ascii="宋体" w:hAnsi="宋体" w:eastAsia="宋体" w:cs="宋体"/>
          <w:color w:val="auto"/>
          <w:kern w:val="0"/>
          <w:sz w:val="24"/>
          <w:szCs w:val="24"/>
          <w:highlight w:val="none"/>
          <w:u w:val="single"/>
          <w:lang w:val="en-US" w:eastAsia="zh-CN"/>
        </w:rPr>
        <w:t xml:space="preserve">2 ‰   </w:t>
      </w:r>
      <w:r>
        <w:rPr>
          <w:rFonts w:hint="eastAsia" w:ascii="宋体" w:hAnsi="宋体" w:eastAsia="宋体" w:cs="宋体"/>
          <w:color w:val="auto"/>
          <w:kern w:val="0"/>
          <w:sz w:val="24"/>
          <w:szCs w:val="24"/>
          <w:highlight w:val="none"/>
        </w:rPr>
        <w:t>作为违约金。</w:t>
      </w:r>
    </w:p>
    <w:p w14:paraId="4441E441">
      <w:pPr>
        <w:keepNext w:val="0"/>
        <w:keepLines w:val="0"/>
        <w:pageBreakBefore w:val="0"/>
        <w:widowControl w:val="0"/>
        <w:kinsoku/>
        <w:wordWrap/>
        <w:overflowPunct/>
        <w:topLinePunct w:val="0"/>
        <w:autoSpaceDE/>
        <w:autoSpaceDN/>
        <w:bidi w:val="0"/>
        <w:adjustRightInd/>
        <w:snapToGrid/>
        <w:spacing w:line="360" w:lineRule="auto"/>
        <w:ind w:right="-195" w:rightChars="-93"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2、乙方所交</w:t>
      </w:r>
      <w:r>
        <w:rPr>
          <w:rFonts w:hint="eastAsia" w:ascii="宋体" w:hAnsi="宋体" w:eastAsia="宋体" w:cs="宋体"/>
          <w:color w:val="auto"/>
          <w:kern w:val="0"/>
          <w:sz w:val="24"/>
          <w:szCs w:val="24"/>
          <w:highlight w:val="none"/>
          <w:lang w:val="en-US" w:eastAsia="zh-CN"/>
        </w:rPr>
        <w:t>货物</w:t>
      </w:r>
      <w:r>
        <w:rPr>
          <w:rFonts w:hint="eastAsia" w:ascii="宋体" w:hAnsi="宋体" w:eastAsia="宋体" w:cs="宋体"/>
          <w:color w:val="auto"/>
          <w:kern w:val="0"/>
          <w:sz w:val="24"/>
          <w:szCs w:val="24"/>
          <w:highlight w:val="none"/>
        </w:rPr>
        <w:t>不符合国家法律法规和合同规定的，甲方有权拒收，并由乙方承担一切费用。</w:t>
      </w:r>
    </w:p>
    <w:p w14:paraId="1D60FCD0">
      <w:pPr>
        <w:pStyle w:val="14"/>
        <w:keepNext w:val="0"/>
        <w:keepLines w:val="0"/>
        <w:pageBreakBefore w:val="0"/>
        <w:widowControl w:val="0"/>
        <w:tabs>
          <w:tab w:val="left" w:pos="1480"/>
        </w:tabs>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九、甲方的</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违约责任</w:t>
      </w:r>
      <w:r>
        <w:rPr>
          <w:rFonts w:hint="eastAsia" w:ascii="宋体" w:hAnsi="宋体" w:eastAsia="宋体" w:cs="宋体"/>
          <w:b/>
          <w:color w:val="auto"/>
          <w:kern w:val="2"/>
          <w:sz w:val="24"/>
          <w:szCs w:val="24"/>
          <w:highlight w:val="none"/>
          <w:lang w:val="en-US" w:eastAsia="zh-CN" w:bidi="ar-SA"/>
        </w:rPr>
        <w:fldChar w:fldCharType="end"/>
      </w:r>
      <w:r>
        <w:rPr>
          <w:rFonts w:hint="eastAsia" w:ascii="宋体" w:hAnsi="宋体" w:eastAsia="宋体" w:cs="宋体"/>
          <w:b/>
          <w:color w:val="auto"/>
          <w:kern w:val="2"/>
          <w:sz w:val="24"/>
          <w:szCs w:val="24"/>
          <w:highlight w:val="none"/>
          <w:lang w:val="en-US" w:eastAsia="zh-CN" w:bidi="ar-SA"/>
        </w:rPr>
        <w:t>：</w:t>
      </w:r>
    </w:p>
    <w:p w14:paraId="0C9662D3">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甲方违反合同规定拒绝接货的，原服务期限相应顺延。</w:t>
      </w:r>
    </w:p>
    <w:p w14:paraId="33B115A6">
      <w:pPr>
        <w:spacing w:line="360" w:lineRule="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十、技术术服务承诺</w:t>
      </w:r>
    </w:p>
    <w:p w14:paraId="2D6049FA">
      <w:pPr>
        <w:pStyle w:val="7"/>
        <w:spacing w:before="0" w:beforeAutospacing="0" w:after="120" w:afterAutospacing="0" w:line="360" w:lineRule="auto"/>
        <w:ind w:firstLine="420" w:firstLineChars="17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1、乙方负责提供产品相应的技术资料，包括产品合格证、产品保修单、安装使用及维护说明书以及运输装箱清单等。</w:t>
      </w:r>
    </w:p>
    <w:p w14:paraId="116CE7E5">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2、人员培训：乙方免费为甲方培训产品使用人员，培训内容包括：产品操作、维护、简单维修等。</w:t>
      </w:r>
    </w:p>
    <w:p w14:paraId="4B95C3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3、售后服务：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E880F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十一、验收方法及标准</w:t>
      </w:r>
    </w:p>
    <w:p w14:paraId="47C123FC">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1、产品到货后，甲、乙双方共同开箱验收。在检查产品原产地、型号、规格、配置符合合同要求后，验收以国内行业标准或合同文本供货清单中描述的有关技术要求为准</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满足实验室需求</w:t>
      </w:r>
      <w:r>
        <w:rPr>
          <w:rFonts w:hint="eastAsia" w:ascii="宋体" w:hAnsi="宋体" w:eastAsia="宋体" w:cs="宋体"/>
          <w:color w:val="auto"/>
          <w:kern w:val="0"/>
          <w:sz w:val="24"/>
          <w:szCs w:val="24"/>
          <w:highlight w:val="none"/>
        </w:rPr>
        <w:t>。</w:t>
      </w:r>
    </w:p>
    <w:p w14:paraId="71FAF5D4">
      <w:pPr>
        <w:pStyle w:val="14"/>
        <w:tabs>
          <w:tab w:val="left" w:pos="1480"/>
        </w:tabs>
        <w:spacing w:line="520" w:lineRule="exact"/>
        <w:ind w:left="0" w:leftChars="0" w:firstLine="456" w:firstLineChars="20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spacing w:val="-6"/>
          <w:kern w:val="0"/>
          <w:sz w:val="24"/>
          <w:szCs w:val="24"/>
          <w:highlight w:val="none"/>
        </w:rPr>
        <w:t>2、</w:t>
      </w:r>
      <w:r>
        <w:rPr>
          <w:rFonts w:hint="eastAsia" w:ascii="宋体" w:hAnsi="宋体" w:eastAsia="宋体" w:cs="宋体"/>
          <w:color w:val="auto"/>
          <w:spacing w:val="-6"/>
          <w:kern w:val="0"/>
          <w:sz w:val="24"/>
          <w:szCs w:val="24"/>
          <w:highlight w:val="none"/>
          <w:lang w:val="en-US" w:eastAsia="zh-CN"/>
        </w:rPr>
        <w:t>甲方</w:t>
      </w:r>
      <w:r>
        <w:rPr>
          <w:rFonts w:hint="eastAsia" w:ascii="宋体" w:hAnsi="宋体" w:eastAsia="宋体" w:cs="宋体"/>
          <w:color w:val="auto"/>
          <w:spacing w:val="-6"/>
          <w:kern w:val="0"/>
          <w:sz w:val="24"/>
          <w:szCs w:val="24"/>
          <w:highlight w:val="none"/>
        </w:rPr>
        <w:t>根据最终使用单位技术验收结果，组织有关专家进行产品的最终验收。</w:t>
      </w:r>
      <w:r>
        <w:rPr>
          <w:rFonts w:hint="eastAsia" w:ascii="宋体" w:hAnsi="宋体" w:eastAsia="宋体" w:cs="宋体"/>
          <w:b/>
          <w:color w:val="auto"/>
          <w:kern w:val="2"/>
          <w:sz w:val="24"/>
          <w:szCs w:val="24"/>
          <w:highlight w:val="none"/>
          <w:lang w:val="en-US" w:eastAsia="zh-CN" w:bidi="ar-SA"/>
        </w:rPr>
        <w:t>十二、</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不可抗力</w:t>
      </w:r>
      <w:r>
        <w:rPr>
          <w:rFonts w:hint="eastAsia" w:ascii="宋体" w:hAnsi="宋体" w:eastAsia="宋体" w:cs="宋体"/>
          <w:b/>
          <w:color w:val="auto"/>
          <w:kern w:val="2"/>
          <w:sz w:val="24"/>
          <w:szCs w:val="24"/>
          <w:highlight w:val="none"/>
          <w:lang w:val="en-US" w:eastAsia="zh-CN" w:bidi="ar-SA"/>
        </w:rPr>
        <w:fldChar w:fldCharType="end"/>
      </w:r>
    </w:p>
    <w:p w14:paraId="6285C80C">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1、在合同有效期内，任何一方因不可抗力事件导致不能履行合同，则合同履行期可延长，其延长期与不可抗力影响期相同。</w:t>
      </w:r>
    </w:p>
    <w:p w14:paraId="35FBD573">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2、不可抗力事件发生后，应立即通知对方，并寄送有关权威机构出具的证明。</w:t>
      </w:r>
    </w:p>
    <w:p w14:paraId="32155CF8">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3、因国家政策调整或单位职能调整导致合同无法正常履行，双方可协商终止合同。</w:t>
      </w:r>
    </w:p>
    <w:p w14:paraId="406037A2">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4、不可抗力事件延续90天以上，双方应通过友好协商，确定是否继续履行合同。</w:t>
      </w:r>
    </w:p>
    <w:p w14:paraId="26519291">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十三、争议解决</w:t>
      </w:r>
    </w:p>
    <w:p w14:paraId="4493ADD0">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双方本着友好合作的态度,对合同履行过程中发生的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纠纷</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应及时协商解决,协商不成，</w:t>
      </w:r>
      <w:r>
        <w:rPr>
          <w:rFonts w:hint="eastAsia" w:ascii="宋体" w:hAnsi="宋体" w:eastAsia="宋体" w:cs="宋体"/>
          <w:color w:val="auto"/>
          <w:sz w:val="24"/>
          <w:szCs w:val="24"/>
          <w:highlight w:val="none"/>
        </w:rPr>
        <w:t>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6F93C765">
      <w:pPr>
        <w:widowControl/>
        <w:numPr>
          <w:ilvl w:val="0"/>
          <w:numId w:val="2"/>
        </w:numPr>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向甲方所在地有管辖权的人民法院诉讼解决</w:t>
      </w:r>
    </w:p>
    <w:p w14:paraId="05AF0A9C">
      <w:pPr>
        <w:widowControl/>
        <w:numPr>
          <w:ilvl w:val="0"/>
          <w:numId w:val="2"/>
        </w:numPr>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提请</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仲裁机构进行仲裁</w:t>
      </w:r>
      <w:r>
        <w:rPr>
          <w:rFonts w:hint="eastAsia" w:ascii="宋体" w:hAnsi="宋体" w:eastAsia="宋体" w:cs="宋体"/>
          <w:color w:val="auto"/>
          <w:kern w:val="0"/>
          <w:sz w:val="24"/>
          <w:szCs w:val="24"/>
          <w:highlight w:val="none"/>
        </w:rPr>
        <w:t>。</w:t>
      </w:r>
    </w:p>
    <w:p w14:paraId="77FE4FD9">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十四、监督和管理</w:t>
      </w:r>
    </w:p>
    <w:p w14:paraId="45D75F99">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1、政府采购合同履行中，采购人需追加与合同标的相同的货物、工程或者服务的，在不改变合同其他条款的前提下，可以与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协商签订补充合同，但所有补充合同的采购金额不得超过原合同采购金额的10%。</w:t>
      </w:r>
    </w:p>
    <w:p w14:paraId="21E9E7A9">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2、甲乙双方均应自觉配合有关监督管理部门对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合同履行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情况的监督检查，如实反映情况，提供有关资料；否则，将对有关单位、当事人按照有关规定予以处罚。</w:t>
      </w:r>
    </w:p>
    <w:p w14:paraId="539F8124">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十五、</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无效合同</w:t>
      </w:r>
      <w:r>
        <w:rPr>
          <w:rFonts w:hint="eastAsia" w:ascii="宋体" w:hAnsi="宋体" w:eastAsia="宋体" w:cs="宋体"/>
          <w:b/>
          <w:color w:val="auto"/>
          <w:kern w:val="2"/>
          <w:sz w:val="24"/>
          <w:szCs w:val="24"/>
          <w:highlight w:val="none"/>
          <w:lang w:val="en-US" w:eastAsia="zh-CN" w:bidi="ar-SA"/>
        </w:rPr>
        <w:fldChar w:fldCharType="end"/>
      </w:r>
    </w:p>
    <w:p w14:paraId="106445CF">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甲乙双方如因违反政府采购法及相关法律法规的规定，被宣告</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合同无效</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的，一切责任概由过错方自行承担。</w:t>
      </w:r>
    </w:p>
    <w:p w14:paraId="5DDB97BE">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十六、附则</w:t>
      </w:r>
    </w:p>
    <w:p w14:paraId="3FEA5C72">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的</w:t>
      </w:r>
      <w:r>
        <w:rPr>
          <w:rFonts w:hint="eastAsia" w:ascii="宋体" w:hAnsi="宋体" w:cs="宋体"/>
          <w:color w:val="auto"/>
          <w:spacing w:val="-6"/>
          <w:sz w:val="24"/>
          <w:szCs w:val="24"/>
          <w:highlight w:val="none"/>
          <w:lang w:val="en-US" w:eastAsia="zh-CN"/>
        </w:rPr>
        <w:t>招标文件</w:t>
      </w:r>
      <w:r>
        <w:rPr>
          <w:rFonts w:hint="eastAsia" w:ascii="宋体" w:hAnsi="宋体" w:eastAsia="宋体" w:cs="宋体"/>
          <w:color w:val="auto"/>
          <w:kern w:val="0"/>
          <w:sz w:val="24"/>
          <w:szCs w:val="24"/>
          <w:highlight w:val="none"/>
        </w:rPr>
        <w:t>、乙方</w:t>
      </w:r>
      <w:r>
        <w:rPr>
          <w:rFonts w:hint="eastAsia" w:ascii="宋体" w:hAnsi="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lang w:val="en-US" w:eastAsia="zh-CN"/>
        </w:rPr>
        <w:t>文件</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lang w:val="en-US" w:eastAsia="zh-CN"/>
        </w:rPr>
        <w:t>成交</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通知书及澄清说明文件都是本合同的组成部分，甲、乙双方必须全面遵守，如有违反，应承担违约责任。</w:t>
      </w:r>
    </w:p>
    <w:p w14:paraId="714A6C4D">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2、本合同一式四份,甲乙双方各执</w:t>
      </w:r>
      <w:r>
        <w:rPr>
          <w:rFonts w:hint="eastAsia" w:ascii="宋体" w:hAnsi="宋体" w:eastAsia="宋体" w:cs="宋体"/>
          <w:color w:val="auto"/>
          <w:kern w:val="0"/>
          <w:sz w:val="24"/>
          <w:szCs w:val="24"/>
          <w:highlight w:val="none"/>
          <w:lang w:val="en-US" w:eastAsia="zh-CN"/>
        </w:rPr>
        <w:t>两</w:t>
      </w:r>
      <w:r>
        <w:rPr>
          <w:rFonts w:hint="eastAsia" w:ascii="宋体" w:hAnsi="宋体" w:eastAsia="宋体" w:cs="宋体"/>
          <w:color w:val="auto"/>
          <w:kern w:val="0"/>
          <w:sz w:val="24"/>
          <w:szCs w:val="24"/>
          <w:highlight w:val="none"/>
        </w:rPr>
        <w:t>份。</w:t>
      </w:r>
    </w:p>
    <w:p w14:paraId="6387717D">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3、本合同自签订之日起生效。</w:t>
      </w:r>
    </w:p>
    <w:p w14:paraId="31DDA982">
      <w:pPr>
        <w:pStyle w:val="2"/>
        <w:rPr>
          <w:rFonts w:hint="eastAsia" w:ascii="宋体" w:hAnsi="宋体" w:eastAsia="宋体" w:cs="宋体"/>
          <w:color w:val="auto"/>
          <w:highlight w:val="none"/>
        </w:rPr>
      </w:pPr>
    </w:p>
    <w:p w14:paraId="121252F9">
      <w:pPr>
        <w:pStyle w:val="3"/>
        <w:rPr>
          <w:rFonts w:hint="eastAsia"/>
        </w:rPr>
      </w:pPr>
    </w:p>
    <w:p w14:paraId="1EE25DB4">
      <w:pPr>
        <w:widowControl/>
        <w:spacing w:line="360" w:lineRule="auto"/>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采购人(甲方)：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(乙方)：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p>
    <w:p w14:paraId="2A2F21F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 xml:space="preserve">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或</w:t>
      </w:r>
    </w:p>
    <w:p w14:paraId="6ACC610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p>
    <w:p w14:paraId="3FBBA74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21A6E99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0E4C73E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3D69EB6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57874AAC">
      <w:pPr>
        <w:keepNext w:val="0"/>
        <w:keepLines w:val="0"/>
        <w:pageBreakBefore w:val="0"/>
        <w:widowControl/>
        <w:kinsoku/>
        <w:wordWrap/>
        <w:overflowPunct/>
        <w:topLinePunct w:val="0"/>
        <w:bidi w:val="0"/>
        <w:snapToGrid/>
        <w:spacing w:line="408"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p>
    <w:p w14:paraId="492E7F68">
      <w:pPr>
        <w:keepNext w:val="0"/>
        <w:keepLines w:val="0"/>
        <w:pageBreakBefore w:val="0"/>
        <w:kinsoku/>
        <w:wordWrap/>
        <w:overflowPunct/>
        <w:topLinePunct w:val="0"/>
        <w:bidi w:val="0"/>
        <w:snapToGrid/>
        <w:spacing w:line="408" w:lineRule="auto"/>
        <w:jc w:val="both"/>
        <w:textAlignment w:val="auto"/>
        <w:rPr>
          <w:rFonts w:hint="eastAsia" w:ascii="宋体" w:hAnsi="宋体" w:eastAsia="宋体" w:cs="宋体"/>
          <w:b/>
          <w:bCs/>
          <w:color w:val="auto"/>
          <w:sz w:val="24"/>
          <w:szCs w:val="24"/>
          <w:highlight w:val="none"/>
        </w:rPr>
      </w:pPr>
    </w:p>
    <w:p w14:paraId="18B228FD">
      <w:pPr>
        <w:keepNext w:val="0"/>
        <w:keepLines w:val="0"/>
        <w:pageBreakBefore w:val="0"/>
        <w:kinsoku/>
        <w:wordWrap/>
        <w:overflowPunct/>
        <w:topLinePunct w:val="0"/>
        <w:bidi w:val="0"/>
        <w:snapToGrid/>
        <w:spacing w:line="408" w:lineRule="auto"/>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注：本合同条款仅供参考，甲乙双方可根据实际情况进行补充。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D0D5A3"/>
    <w:multiLevelType w:val="singleLevel"/>
    <w:tmpl w:val="54D0D5A3"/>
    <w:lvl w:ilvl="0" w:tentative="0">
      <w:start w:val="5"/>
      <w:numFmt w:val="chineseCounting"/>
      <w:suff w:val="nothing"/>
      <w:lvlText w:val="%1、"/>
      <w:lvlJc w:val="left"/>
      <w:rPr>
        <w:rFonts w:hint="eastAsia"/>
      </w:rPr>
    </w:lvl>
  </w:abstractNum>
  <w:abstractNum w:abstractNumId="1">
    <w:nsid w:val="625CEF40"/>
    <w:multiLevelType w:val="singleLevel"/>
    <w:tmpl w:val="625CEF4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10162"/>
    <w:rsid w:val="47910162"/>
    <w:rsid w:val="6CBF6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8"/>
    <w:basedOn w:val="1"/>
    <w:next w:val="1"/>
    <w:qFormat/>
    <w:uiPriority w:val="1"/>
    <w:pPr>
      <w:spacing w:before="1"/>
      <w:ind w:left="223"/>
      <w:outlineLvl w:val="7"/>
    </w:pPr>
    <w:rPr>
      <w:rFonts w:ascii="宋体" w:hAnsi="宋体" w:cs="宋体"/>
      <w:b/>
      <w:bCs/>
      <w:sz w:val="24"/>
      <w:szCs w:val="24"/>
      <w:lang w:val="zh-CN" w:bidi="zh-CN"/>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style>
  <w:style w:type="paragraph" w:styleId="5">
    <w:name w:val="Body Text Indent"/>
    <w:basedOn w:val="1"/>
    <w:next w:val="1"/>
    <w:unhideWhenUsed/>
    <w:qFormat/>
    <w:uiPriority w:val="99"/>
    <w:pPr>
      <w:ind w:left="420" w:leftChars="200"/>
    </w:pPr>
  </w:style>
  <w:style w:type="paragraph" w:styleId="6">
    <w:name w:val="toc 2"/>
    <w:basedOn w:val="1"/>
    <w:next w:val="1"/>
    <w:qFormat/>
    <w:uiPriority w:val="39"/>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5"/>
    <w:next w:val="6"/>
    <w:qFormat/>
    <w:uiPriority w:val="0"/>
    <w:pPr>
      <w:ind w:firstLine="420" w:firstLineChars="200"/>
    </w:pPr>
  </w:style>
  <w:style w:type="paragraph" w:customStyle="1" w:styleId="11">
    <w:name w:val="Footer"/>
    <w:basedOn w:val="1"/>
    <w:autoRedefine/>
    <w:qFormat/>
    <w:uiPriority w:val="0"/>
    <w:pPr>
      <w:tabs>
        <w:tab w:val="center" w:pos="4153"/>
        <w:tab w:val="right" w:pos="8306"/>
      </w:tabs>
      <w:snapToGrid w:val="0"/>
      <w:jc w:val="left"/>
    </w:pPr>
    <w:rPr>
      <w:sz w:val="18"/>
      <w:szCs w:val="18"/>
    </w:rPr>
  </w:style>
  <w:style w:type="paragraph" w:customStyle="1" w:styleId="12">
    <w:name w:val="样式 首行缩进:  2 字符"/>
    <w:basedOn w:val="1"/>
    <w:autoRedefine/>
    <w:qFormat/>
    <w:uiPriority w:val="0"/>
    <w:pPr>
      <w:spacing w:line="400" w:lineRule="exact"/>
      <w:ind w:firstLine="200" w:firstLineChars="200"/>
    </w:pPr>
    <w:rPr>
      <w:rFonts w:cs="宋体" w:asciiTheme="minorHAnsi" w:hAnsiTheme="minorHAnsi" w:eastAsiaTheme="minorEastAsia"/>
      <w:sz w:val="24"/>
      <w:szCs w:val="24"/>
    </w:rPr>
  </w:style>
  <w:style w:type="paragraph" w:customStyle="1" w:styleId="13">
    <w:name w:val="Table Paragraph"/>
    <w:basedOn w:val="1"/>
    <w:autoRedefine/>
    <w:qFormat/>
    <w:uiPriority w:val="1"/>
    <w:pPr>
      <w:autoSpaceDE w:val="0"/>
      <w:autoSpaceDN w:val="0"/>
      <w:adjustRightInd w:val="0"/>
      <w:jc w:val="left"/>
    </w:pPr>
    <w:rPr>
      <w:rFonts w:ascii="Times New Roman" w:hAnsi="Times New Roman"/>
      <w:kern w:val="0"/>
      <w:sz w:val="24"/>
      <w:szCs w:val="24"/>
    </w:rPr>
  </w:style>
  <w:style w:type="paragraph" w:styleId="14">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2019</Words>
  <Characters>2026</Characters>
  <Lines>0</Lines>
  <Paragraphs>0</Paragraphs>
  <TotalTime>6</TotalTime>
  <ScaleCrop>false</ScaleCrop>
  <LinksUpToDate>false</LinksUpToDate>
  <CharactersWithSpaces>2458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2025-06-11T10:45:00Z</dcterms:created>
  <dc:creator>admin</dc:creator>
  <cp:lastModifiedBy>Deprecating。</cp:lastModifiedBy>
  <dcterms:modified xsi:type="dcterms:W3CDTF">2026-06-17T13:21:23Z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4575AA07CD9C4C179608E31F3D606A07_11</vt:lpwstr>
  </property>
  <property fmtid="{D5CDD505-2E9C-101B-9397-08002B2CF9AE}" pid="4" name="KSOTemplateDocerSaveRecord">
    <vt:lpwstr>eyJoZGlkIjoiN2FmNmNhNDBlZmVmZDI2YmEwY2ExNjQ4NGUyMWVhZmEiLCJ1c2VySWQiOiI0NDQ4Nzk5NjcifQ==</vt:lpwstr>
  </property>
</Properties>
</file>