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35AD12">
      <w:pPr>
        <w:jc w:val="center"/>
        <w:rPr>
          <w:rFonts w:ascii="仿宋" w:hAnsi="仿宋" w:eastAsia="仿宋" w:cs="Times New Roman"/>
          <w:b/>
          <w:color w:val="auto"/>
          <w:sz w:val="32"/>
          <w:szCs w:val="32"/>
        </w:rPr>
      </w:pPr>
      <w:bookmarkStart w:id="12" w:name="_GoBack"/>
      <w:bookmarkEnd w:id="12"/>
      <w:r>
        <w:rPr>
          <w:rFonts w:ascii="仿宋" w:hAnsi="仿宋" w:eastAsia="仿宋" w:cs="Times New Roman"/>
          <w:b/>
          <w:color w:val="auto"/>
          <w:sz w:val="32"/>
          <w:szCs w:val="32"/>
        </w:rPr>
        <w:t>招标内容及采购</w:t>
      </w:r>
      <w:r>
        <w:rPr>
          <w:rFonts w:hint="eastAsia" w:ascii="仿宋" w:hAnsi="仿宋" w:eastAsia="仿宋" w:cs="Times New Roman"/>
          <w:b/>
          <w:color w:val="auto"/>
          <w:sz w:val="32"/>
          <w:szCs w:val="32"/>
        </w:rPr>
        <w:t>需</w:t>
      </w:r>
      <w:r>
        <w:rPr>
          <w:rFonts w:ascii="仿宋" w:hAnsi="仿宋" w:eastAsia="仿宋" w:cs="Times New Roman"/>
          <w:b/>
          <w:color w:val="auto"/>
          <w:sz w:val="32"/>
          <w:szCs w:val="32"/>
        </w:rPr>
        <w:t>求</w:t>
      </w:r>
    </w:p>
    <w:p w14:paraId="02CFEE58">
      <w:pPr>
        <w:keepNext w:val="0"/>
        <w:keepLines w:val="0"/>
        <w:pageBreakBefore w:val="0"/>
        <w:widowControl w:val="0"/>
        <w:numPr>
          <w:ilvl w:val="0"/>
          <w:numId w:val="0"/>
        </w:numPr>
        <w:kinsoku/>
        <w:wordWrap/>
        <w:overflowPunct/>
        <w:topLinePunct w:val="0"/>
        <w:bidi w:val="0"/>
        <w:adjustRightInd/>
        <w:snapToGrid w:val="0"/>
        <w:spacing w:line="500" w:lineRule="exact"/>
        <w:ind w:firstLine="562" w:firstLineChars="200"/>
        <w:textAlignment w:val="auto"/>
        <w:rPr>
          <w:rFonts w:hint="eastAsia" w:ascii="仿宋" w:hAnsi="仿宋" w:eastAsia="仿宋" w:cs="仿宋"/>
          <w:b/>
          <w:bCs/>
          <w:kern w:val="2"/>
          <w:sz w:val="28"/>
          <w:szCs w:val="28"/>
          <w:highlight w:val="none"/>
        </w:rPr>
      </w:pPr>
      <w:r>
        <w:rPr>
          <w:rFonts w:hint="eastAsia" w:ascii="仿宋" w:hAnsi="仿宋" w:eastAsia="仿宋" w:cs="仿宋"/>
          <w:b/>
          <w:bCs w:val="0"/>
          <w:sz w:val="28"/>
          <w:szCs w:val="28"/>
          <w:lang w:val="en-US" w:eastAsia="zh-CN"/>
        </w:rPr>
        <w:t xml:space="preserve">  </w:t>
      </w:r>
      <w:bookmarkStart w:id="0" w:name="_Toc17312"/>
      <w:bookmarkStart w:id="1" w:name="_Toc5112"/>
      <w:bookmarkStart w:id="2" w:name="_Toc2486"/>
      <w:r>
        <w:rPr>
          <w:rFonts w:hint="eastAsia" w:ascii="仿宋" w:hAnsi="仿宋" w:eastAsia="仿宋" w:cs="仿宋"/>
          <w:b/>
          <w:bCs/>
          <w:kern w:val="2"/>
          <w:sz w:val="28"/>
          <w:szCs w:val="28"/>
          <w:highlight w:val="none"/>
        </w:rPr>
        <w:t>1</w:t>
      </w:r>
      <w:r>
        <w:rPr>
          <w:rFonts w:hint="eastAsia" w:ascii="仿宋" w:hAnsi="仿宋" w:eastAsia="仿宋" w:cs="仿宋"/>
          <w:b/>
          <w:bCs/>
          <w:kern w:val="2"/>
          <w:sz w:val="28"/>
          <w:szCs w:val="28"/>
          <w:highlight w:val="none"/>
          <w:lang w:val="en-US" w:eastAsia="zh-CN"/>
        </w:rPr>
        <w:t>.</w:t>
      </w:r>
      <w:r>
        <w:rPr>
          <w:rFonts w:hint="eastAsia" w:ascii="仿宋" w:hAnsi="仿宋" w:eastAsia="仿宋" w:cs="仿宋"/>
          <w:b/>
          <w:bCs/>
          <w:kern w:val="2"/>
          <w:sz w:val="28"/>
          <w:szCs w:val="28"/>
          <w:highlight w:val="none"/>
        </w:rPr>
        <w:t>项目基本情况</w:t>
      </w:r>
      <w:bookmarkEnd w:id="0"/>
    </w:p>
    <w:p w14:paraId="2CD91918">
      <w:pPr>
        <w:pageBreakBefore w:val="0"/>
        <w:widowControl/>
        <w:kinsoku/>
        <w:wordWrap/>
        <w:overflowPunct/>
        <w:topLinePunct w:val="0"/>
        <w:autoSpaceDE w:val="0"/>
        <w:autoSpaceDN w:val="0"/>
        <w:bidi w:val="0"/>
        <w:adjustRightInd/>
        <w:snapToGrid w:val="0"/>
        <w:spacing w:line="500" w:lineRule="exact"/>
        <w:ind w:firstLine="562" w:firstLineChars="200"/>
        <w:jc w:val="both"/>
        <w:textAlignment w:val="auto"/>
        <w:outlineLvl w:val="2"/>
        <w:rPr>
          <w:rFonts w:hint="eastAsia"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1.1物业情况</w:t>
      </w:r>
    </w:p>
    <w:tbl>
      <w:tblPr>
        <w:tblStyle w:val="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51"/>
        <w:gridCol w:w="4569"/>
      </w:tblGrid>
      <w:tr w14:paraId="4F94A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noWrap w:val="0"/>
            <w:vAlign w:val="center"/>
          </w:tcPr>
          <w:p w14:paraId="0BC35F14">
            <w:pPr>
              <w:pageBreakBefore w:val="0"/>
              <w:widowControl w:val="0"/>
              <w:kinsoku/>
              <w:wordWrap/>
              <w:overflowPunct/>
              <w:topLinePunct w:val="0"/>
              <w:bidi w:val="0"/>
              <w:adjustRightInd/>
              <w:snapToGrid w:val="0"/>
              <w:spacing w:line="500" w:lineRule="exact"/>
              <w:jc w:val="center"/>
              <w:textAlignment w:val="auto"/>
              <w:rPr>
                <w:rFonts w:hint="eastAsia" w:ascii="仿宋" w:hAnsi="仿宋" w:eastAsia="仿宋" w:cs="仿宋"/>
                <w:color w:val="auto"/>
                <w:sz w:val="28"/>
                <w:szCs w:val="28"/>
                <w:highlight w:val="none"/>
              </w:rPr>
            </w:pPr>
            <w:r>
              <w:rPr>
                <w:rFonts w:hint="eastAsia" w:ascii="仿宋" w:hAnsi="仿宋" w:eastAsia="仿宋" w:cs="仿宋"/>
                <w:sz w:val="28"/>
                <w:szCs w:val="28"/>
                <w:highlight w:val="none"/>
              </w:rPr>
              <w:t>物业名称</w:t>
            </w:r>
          </w:p>
        </w:tc>
        <w:tc>
          <w:tcPr>
            <w:tcW w:w="2681" w:type="pct"/>
            <w:noWrap w:val="0"/>
            <w:vAlign w:val="center"/>
          </w:tcPr>
          <w:p w14:paraId="672B4DAE">
            <w:pPr>
              <w:pageBreakBefore w:val="0"/>
              <w:widowControl w:val="0"/>
              <w:kinsoku/>
              <w:wordWrap/>
              <w:overflowPunct/>
              <w:topLinePunct w:val="0"/>
              <w:bidi w:val="0"/>
              <w:adjustRightInd/>
              <w:snapToGrid w:val="0"/>
              <w:spacing w:line="500" w:lineRule="exact"/>
              <w:jc w:val="center"/>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物业地址</w:t>
            </w:r>
          </w:p>
        </w:tc>
      </w:tr>
      <w:tr w14:paraId="4F904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noWrap w:val="0"/>
            <w:vAlign w:val="center"/>
          </w:tcPr>
          <w:p w14:paraId="38141094">
            <w:pPr>
              <w:pageBreakBefore w:val="0"/>
              <w:widowControl w:val="0"/>
              <w:kinsoku/>
              <w:wordWrap/>
              <w:overflowPunct/>
              <w:topLinePunct w:val="0"/>
              <w:bidi w:val="0"/>
              <w:adjustRightInd/>
              <w:snapToGrid w:val="0"/>
              <w:spacing w:line="500" w:lineRule="exac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神木市石峁遗址博物馆物业</w:t>
            </w:r>
          </w:p>
        </w:tc>
        <w:tc>
          <w:tcPr>
            <w:tcW w:w="2681" w:type="pct"/>
            <w:noWrap w:val="0"/>
            <w:vAlign w:val="center"/>
          </w:tcPr>
          <w:p w14:paraId="31D6CAAA">
            <w:pPr>
              <w:pageBreakBefore w:val="0"/>
              <w:widowControl w:val="0"/>
              <w:kinsoku/>
              <w:wordWrap/>
              <w:overflowPunct/>
              <w:topLinePunct w:val="0"/>
              <w:bidi w:val="0"/>
              <w:adjustRightInd/>
              <w:snapToGrid w:val="0"/>
              <w:spacing w:line="500" w:lineRule="exact"/>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神木市高家堡镇石峁遗址博物馆</w:t>
            </w:r>
          </w:p>
        </w:tc>
      </w:tr>
    </w:tbl>
    <w:p w14:paraId="4FE9D5E0">
      <w:pPr>
        <w:keepNext/>
        <w:keepLines/>
        <w:pageBreakBefore w:val="0"/>
        <w:widowControl w:val="0"/>
        <w:kinsoku/>
        <w:wordWrap/>
        <w:overflowPunct/>
        <w:topLinePunct w:val="0"/>
        <w:bidi w:val="0"/>
        <w:adjustRightInd/>
        <w:snapToGrid w:val="0"/>
        <w:spacing w:line="500" w:lineRule="exact"/>
        <w:ind w:firstLine="562" w:firstLineChars="200"/>
        <w:jc w:val="both"/>
        <w:textAlignment w:val="auto"/>
        <w:outlineLvl w:val="1"/>
        <w:rPr>
          <w:rFonts w:hint="eastAsia" w:ascii="仿宋" w:hAnsi="仿宋" w:eastAsia="仿宋" w:cs="仿宋"/>
          <w:b/>
          <w:bCs/>
          <w:color w:val="auto"/>
          <w:kern w:val="2"/>
          <w:sz w:val="28"/>
          <w:szCs w:val="28"/>
          <w:highlight w:val="none"/>
          <w:u w:val="none"/>
          <w:lang w:val="en-US" w:eastAsia="zh-CN" w:bidi="ar-SA"/>
        </w:rPr>
      </w:pPr>
      <w:r>
        <w:rPr>
          <w:rFonts w:hint="eastAsia" w:ascii="仿宋" w:hAnsi="仿宋" w:eastAsia="仿宋" w:cs="仿宋"/>
          <w:b/>
          <w:bCs/>
          <w:color w:val="auto"/>
          <w:kern w:val="2"/>
          <w:sz w:val="28"/>
          <w:szCs w:val="28"/>
          <w:highlight w:val="none"/>
          <w:u w:val="none"/>
          <w:lang w:val="en-US" w:eastAsia="zh-CN" w:bidi="ar-SA"/>
        </w:rPr>
        <w:t>1.2采购人提供供应商使用的场地、设施、设备、材料等</w:t>
      </w:r>
    </w:p>
    <w:p w14:paraId="431AA2B1">
      <w:pPr>
        <w:pageBreakBefore w:val="0"/>
        <w:widowControl w:val="0"/>
        <w:numPr>
          <w:ilvl w:val="0"/>
          <w:numId w:val="1"/>
        </w:numPr>
        <w:kinsoku/>
        <w:wordWrap/>
        <w:overflowPunct/>
        <w:topLinePunct w:val="0"/>
        <w:bidi w:val="0"/>
        <w:adjustRightInd/>
        <w:snapToGrid w:val="0"/>
        <w:spacing w:line="500" w:lineRule="exact"/>
        <w:ind w:firstLine="560" w:firstLineChars="200"/>
        <w:textAlignment w:val="auto"/>
        <w:outlineLvl w:val="9"/>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采购人可提供的办公室，1间，80平方米</w:t>
      </w:r>
    </w:p>
    <w:p w14:paraId="4870A39B">
      <w:pPr>
        <w:pageBreakBefore w:val="0"/>
        <w:widowControl w:val="0"/>
        <w:kinsoku/>
        <w:wordWrap/>
        <w:overflowPunct/>
        <w:topLinePunct w:val="0"/>
        <w:bidi w:val="0"/>
        <w:adjustRightInd/>
        <w:snapToGrid w:val="0"/>
        <w:spacing w:line="500" w:lineRule="exact"/>
        <w:ind w:firstLine="560" w:firstLineChars="200"/>
        <w:textAlignment w:val="auto"/>
        <w:outlineLvl w:val="9"/>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（2）采购人可提供的食堂，餐费由供应商自理；</w:t>
      </w:r>
    </w:p>
    <w:p w14:paraId="5BCF782E">
      <w:pPr>
        <w:pageBreakBefore w:val="0"/>
        <w:widowControl w:val="0"/>
        <w:kinsoku/>
        <w:wordWrap/>
        <w:overflowPunct/>
        <w:topLinePunct w:val="0"/>
        <w:bidi w:val="0"/>
        <w:adjustRightInd/>
        <w:snapToGrid w:val="0"/>
        <w:spacing w:line="500" w:lineRule="exact"/>
        <w:ind w:firstLine="560" w:firstLineChars="200"/>
        <w:textAlignment w:val="auto"/>
        <w:outlineLvl w:val="9"/>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（3）采购人可提供的住宿，房间数量9间、床位数量36张；</w:t>
      </w:r>
    </w:p>
    <w:p w14:paraId="4ABE7F80">
      <w:pPr>
        <w:pageBreakBefore w:val="0"/>
        <w:widowControl w:val="0"/>
        <w:kinsoku/>
        <w:wordWrap/>
        <w:overflowPunct/>
        <w:topLinePunct w:val="0"/>
        <w:bidi w:val="0"/>
        <w:adjustRightInd/>
        <w:snapToGrid w:val="0"/>
        <w:spacing w:line="500" w:lineRule="exact"/>
        <w:ind w:firstLine="560" w:firstLineChars="200"/>
        <w:textAlignment w:val="auto"/>
        <w:outlineLvl w:val="9"/>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（4）采购人可提供的</w:t>
      </w:r>
      <w:r>
        <w:rPr>
          <w:rFonts w:hint="eastAsia" w:ascii="仿宋" w:hAnsi="仿宋" w:eastAsia="仿宋" w:cs="仿宋"/>
          <w:sz w:val="28"/>
          <w:szCs w:val="28"/>
          <w:highlight w:val="none"/>
          <w:lang w:val="en-US" w:eastAsia="zh-CN"/>
        </w:rPr>
        <w:t>客耗品，如</w:t>
      </w:r>
      <w:r>
        <w:rPr>
          <w:rFonts w:hint="eastAsia" w:ascii="仿宋" w:hAnsi="仿宋" w:eastAsia="仿宋" w:cs="仿宋"/>
          <w:color w:val="auto"/>
          <w:kern w:val="0"/>
          <w:sz w:val="28"/>
          <w:szCs w:val="28"/>
          <w:highlight w:val="none"/>
          <w:u w:val="none"/>
          <w:lang w:val="en-US" w:eastAsia="zh-CN" w:bidi="ar"/>
        </w:rPr>
        <w:t>厕纸、洗手液、擦手纸等。</w:t>
      </w:r>
    </w:p>
    <w:p w14:paraId="4A5B3B8D">
      <w:pPr>
        <w:pageBreakBefore w:val="0"/>
        <w:widowControl w:val="0"/>
        <w:kinsoku/>
        <w:wordWrap/>
        <w:overflowPunct/>
        <w:topLinePunct w:val="0"/>
        <w:bidi w:val="0"/>
        <w:adjustRightInd/>
        <w:snapToGrid w:val="0"/>
        <w:spacing w:line="500" w:lineRule="exact"/>
        <w:ind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供应商应当承担除以上所列</w:t>
      </w:r>
      <w:r>
        <w:rPr>
          <w:rFonts w:hint="eastAsia" w:ascii="仿宋" w:hAnsi="仿宋" w:eastAsia="仿宋" w:cs="仿宋"/>
          <w:color w:val="auto"/>
          <w:kern w:val="2"/>
          <w:sz w:val="28"/>
          <w:szCs w:val="28"/>
          <w:highlight w:val="none"/>
          <w:u w:val="none"/>
          <w:lang w:val="en-US" w:eastAsia="zh-CN" w:bidi="ar-SA"/>
        </w:rPr>
        <w:t>场地、设施、设备、材料</w:t>
      </w:r>
      <w:r>
        <w:rPr>
          <w:rFonts w:hint="eastAsia" w:ascii="仿宋" w:hAnsi="仿宋" w:eastAsia="仿宋" w:cs="仿宋"/>
          <w:color w:val="auto"/>
          <w:sz w:val="28"/>
          <w:szCs w:val="28"/>
          <w:highlight w:val="none"/>
          <w:lang w:val="en-US" w:eastAsia="zh-CN"/>
        </w:rPr>
        <w:t>外，与物业管理服务有关的其他</w:t>
      </w:r>
      <w:r>
        <w:rPr>
          <w:rFonts w:hint="eastAsia" w:ascii="仿宋" w:hAnsi="仿宋" w:eastAsia="仿宋" w:cs="仿宋"/>
          <w:color w:val="auto"/>
          <w:kern w:val="2"/>
          <w:sz w:val="28"/>
          <w:szCs w:val="28"/>
          <w:highlight w:val="none"/>
          <w:u w:val="none"/>
          <w:lang w:val="en-US" w:eastAsia="zh-CN" w:bidi="ar-SA"/>
        </w:rPr>
        <w:t>场地、设施、设备、材料等</w:t>
      </w:r>
      <w:r>
        <w:rPr>
          <w:rFonts w:hint="eastAsia" w:ascii="仿宋" w:hAnsi="仿宋" w:eastAsia="仿宋" w:cs="仿宋"/>
          <w:color w:val="auto"/>
          <w:sz w:val="28"/>
          <w:szCs w:val="28"/>
          <w:highlight w:val="none"/>
          <w:lang w:val="en-US" w:eastAsia="zh-CN"/>
        </w:rPr>
        <w:t>。</w:t>
      </w:r>
    </w:p>
    <w:p w14:paraId="0F6EE165">
      <w:pPr>
        <w:keepNext/>
        <w:keepLines/>
        <w:pageBreakBefore w:val="0"/>
        <w:widowControl w:val="0"/>
        <w:kinsoku/>
        <w:wordWrap/>
        <w:overflowPunct/>
        <w:topLinePunct w:val="0"/>
        <w:bidi w:val="0"/>
        <w:adjustRightInd/>
        <w:snapToGrid w:val="0"/>
        <w:spacing w:line="500" w:lineRule="exact"/>
        <w:ind w:firstLine="562" w:firstLineChars="200"/>
        <w:jc w:val="both"/>
        <w:textAlignment w:val="auto"/>
        <w:outlineLvl w:val="1"/>
        <w:rPr>
          <w:rFonts w:hint="eastAsia" w:ascii="仿宋" w:hAnsi="仿宋" w:eastAsia="仿宋" w:cs="仿宋"/>
          <w:b/>
          <w:bCs/>
          <w:kern w:val="2"/>
          <w:sz w:val="28"/>
          <w:szCs w:val="28"/>
          <w:highlight w:val="none"/>
          <w:lang w:val="en-US" w:eastAsia="zh-CN" w:bidi="ar-SA"/>
        </w:rPr>
      </w:pPr>
      <w:r>
        <w:rPr>
          <w:rFonts w:hint="eastAsia" w:ascii="仿宋" w:hAnsi="仿宋" w:eastAsia="仿宋" w:cs="仿宋"/>
          <w:b/>
          <w:bCs/>
          <w:kern w:val="2"/>
          <w:sz w:val="28"/>
          <w:szCs w:val="28"/>
          <w:highlight w:val="none"/>
          <w:lang w:val="en-US" w:eastAsia="zh-CN" w:bidi="ar-SA"/>
        </w:rPr>
        <w:t>2.物业服务范围</w:t>
      </w:r>
    </w:p>
    <w:p w14:paraId="320666DD">
      <w:pPr>
        <w:pageBreakBefore w:val="0"/>
        <w:widowControl/>
        <w:kinsoku/>
        <w:wordWrap/>
        <w:overflowPunct/>
        <w:topLinePunct w:val="0"/>
        <w:autoSpaceDE w:val="0"/>
        <w:autoSpaceDN w:val="0"/>
        <w:bidi w:val="0"/>
        <w:adjustRightInd/>
        <w:snapToGrid w:val="0"/>
        <w:spacing w:line="500" w:lineRule="exact"/>
        <w:ind w:firstLine="562" w:firstLineChars="200"/>
        <w:jc w:val="both"/>
        <w:textAlignment w:val="auto"/>
        <w:outlineLvl w:val="2"/>
        <w:rPr>
          <w:rFonts w:hint="eastAsia"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（1）物业管理（建筑物）</w:t>
      </w:r>
    </w:p>
    <w:tbl>
      <w:tblPr>
        <w:tblStyle w:val="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8"/>
        <w:gridCol w:w="1558"/>
        <w:gridCol w:w="3803"/>
        <w:gridCol w:w="2077"/>
      </w:tblGrid>
      <w:tr w14:paraId="493E3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2909" w:type="dxa"/>
            <w:gridSpan w:val="2"/>
            <w:noWrap w:val="0"/>
            <w:vAlign w:val="center"/>
          </w:tcPr>
          <w:p w14:paraId="47E9D741">
            <w:pPr>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sz w:val="21"/>
                <w:szCs w:val="21"/>
                <w:highlight w:val="none"/>
                <w:lang w:val="en-US" w:eastAsia="zh-CN"/>
              </w:rPr>
              <w:t>名称</w:t>
            </w:r>
          </w:p>
        </w:tc>
        <w:tc>
          <w:tcPr>
            <w:tcW w:w="4196" w:type="dxa"/>
            <w:noWrap w:val="0"/>
            <w:vAlign w:val="center"/>
          </w:tcPr>
          <w:p w14:paraId="7B77EEF3">
            <w:pPr>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sz w:val="21"/>
                <w:szCs w:val="21"/>
                <w:highlight w:val="none"/>
              </w:rPr>
              <w:t>明细</w:t>
            </w:r>
          </w:p>
        </w:tc>
        <w:tc>
          <w:tcPr>
            <w:tcW w:w="2291" w:type="dxa"/>
            <w:noWrap w:val="0"/>
            <w:vAlign w:val="center"/>
          </w:tcPr>
          <w:p w14:paraId="2F74C99E">
            <w:pPr>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服务内容及标准</w:t>
            </w:r>
          </w:p>
        </w:tc>
      </w:tr>
      <w:tr w14:paraId="42EA9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09" w:type="dxa"/>
            <w:gridSpan w:val="2"/>
            <w:noWrap w:val="0"/>
            <w:vAlign w:val="center"/>
          </w:tcPr>
          <w:p w14:paraId="1CBD69E6">
            <w:pPr>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sz w:val="21"/>
                <w:szCs w:val="21"/>
                <w:highlight w:val="none"/>
                <w:lang w:val="en-US" w:eastAsia="zh-CN"/>
              </w:rPr>
              <w:t>石峁遗址博物馆</w:t>
            </w:r>
          </w:p>
        </w:tc>
        <w:tc>
          <w:tcPr>
            <w:tcW w:w="4196" w:type="dxa"/>
            <w:noWrap w:val="0"/>
            <w:vAlign w:val="center"/>
          </w:tcPr>
          <w:p w14:paraId="75FDC757">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p>
        </w:tc>
        <w:tc>
          <w:tcPr>
            <w:tcW w:w="2291" w:type="dxa"/>
            <w:noWrap w:val="0"/>
            <w:vAlign w:val="center"/>
          </w:tcPr>
          <w:p w14:paraId="4334D68C">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p>
        </w:tc>
      </w:tr>
      <w:tr w14:paraId="46D43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restart"/>
            <w:noWrap w:val="0"/>
            <w:vAlign w:val="center"/>
          </w:tcPr>
          <w:p w14:paraId="0C30B96B">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sz w:val="21"/>
                <w:szCs w:val="21"/>
                <w:highlight w:val="none"/>
                <w:lang w:val="en-US" w:eastAsia="zh-CN"/>
              </w:rPr>
              <w:t>总面积</w:t>
            </w:r>
          </w:p>
        </w:tc>
        <w:tc>
          <w:tcPr>
            <w:tcW w:w="1719" w:type="dxa"/>
            <w:noWrap w:val="0"/>
            <w:vAlign w:val="center"/>
          </w:tcPr>
          <w:p w14:paraId="1BFB9636">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建筑面积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4196" w:type="dxa"/>
            <w:noWrap w:val="0"/>
            <w:vAlign w:val="center"/>
          </w:tcPr>
          <w:p w14:paraId="25A55A30">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12890平方米</w:t>
            </w:r>
          </w:p>
        </w:tc>
        <w:tc>
          <w:tcPr>
            <w:tcW w:w="2291" w:type="dxa"/>
            <w:noWrap w:val="0"/>
            <w:vAlign w:val="center"/>
          </w:tcPr>
          <w:p w14:paraId="3E432996">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color w:val="auto"/>
                <w:sz w:val="21"/>
                <w:szCs w:val="21"/>
                <w:highlight w:val="none"/>
                <w:lang w:val="en-US" w:eastAsia="zh-CN"/>
              </w:rPr>
              <w:t>见“3.6保安服务”</w:t>
            </w:r>
          </w:p>
        </w:tc>
      </w:tr>
      <w:tr w14:paraId="6781F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3AB2474D">
            <w:pPr>
              <w:pageBreakBefore w:val="0"/>
              <w:widowControl w:val="0"/>
              <w:kinsoku/>
              <w:wordWrap/>
              <w:overflowPunct/>
              <w:topLinePunct w:val="0"/>
              <w:autoSpaceDE/>
              <w:autoSpaceDN/>
              <w:bidi w:val="0"/>
              <w:adjustRightInd/>
              <w:snapToGrid w:val="0"/>
              <w:spacing w:line="240" w:lineRule="auto"/>
              <w:ind w:left="0" w:firstLine="0" w:firstLineChars="0"/>
              <w:jc w:val="center"/>
              <w:textAlignment w:val="auto"/>
              <w:rPr>
                <w:rFonts w:hint="eastAsia" w:ascii="仿宋" w:hAnsi="仿宋" w:eastAsia="仿宋" w:cs="仿宋"/>
                <w:color w:val="auto"/>
                <w:sz w:val="21"/>
                <w:szCs w:val="21"/>
                <w:highlight w:val="none"/>
              </w:rPr>
            </w:pPr>
          </w:p>
        </w:tc>
        <w:tc>
          <w:tcPr>
            <w:tcW w:w="1719" w:type="dxa"/>
            <w:noWrap w:val="0"/>
            <w:vAlign w:val="center"/>
          </w:tcPr>
          <w:p w14:paraId="6FE7F29C">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需保洁面积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4196" w:type="dxa"/>
            <w:noWrap w:val="0"/>
            <w:vAlign w:val="center"/>
          </w:tcPr>
          <w:p w14:paraId="0E9361F5">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总</w:t>
            </w:r>
            <w:r>
              <w:rPr>
                <w:rFonts w:hint="eastAsia" w:ascii="仿宋" w:hAnsi="仿宋" w:eastAsia="仿宋" w:cs="仿宋"/>
                <w:sz w:val="21"/>
                <w:szCs w:val="21"/>
                <w:highlight w:val="none"/>
              </w:rPr>
              <w:t>保洁面积</w:t>
            </w:r>
            <w:r>
              <w:rPr>
                <w:rFonts w:hint="eastAsia" w:ascii="仿宋" w:hAnsi="仿宋" w:eastAsia="仿宋" w:cs="仿宋"/>
                <w:sz w:val="21"/>
                <w:szCs w:val="21"/>
                <w:highlight w:val="none"/>
                <w:lang w:val="en-US" w:eastAsia="zh-CN"/>
              </w:rPr>
              <w:t>12890平方米</w:t>
            </w:r>
          </w:p>
        </w:tc>
        <w:tc>
          <w:tcPr>
            <w:tcW w:w="2291" w:type="dxa"/>
            <w:noWrap w:val="0"/>
            <w:vAlign w:val="center"/>
          </w:tcPr>
          <w:p w14:paraId="7656D899">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见“3.4保洁服务”</w:t>
            </w:r>
          </w:p>
        </w:tc>
      </w:tr>
      <w:tr w14:paraId="496C6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noWrap w:val="0"/>
            <w:vAlign w:val="center"/>
          </w:tcPr>
          <w:p w14:paraId="4036157D">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sz w:val="21"/>
                <w:szCs w:val="21"/>
                <w:highlight w:val="none"/>
                <w:lang w:val="en-US" w:eastAsia="zh-CN"/>
              </w:rPr>
              <w:t>门窗</w:t>
            </w:r>
          </w:p>
        </w:tc>
        <w:tc>
          <w:tcPr>
            <w:tcW w:w="1719" w:type="dxa"/>
            <w:noWrap w:val="0"/>
            <w:vAlign w:val="center"/>
          </w:tcPr>
          <w:p w14:paraId="78C7DE48">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门窗总数量（个）及总面积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4196" w:type="dxa"/>
            <w:noWrap w:val="0"/>
            <w:vAlign w:val="center"/>
          </w:tcPr>
          <w:p w14:paraId="7CF61C72">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门窗63个、总面积600平方米</w:t>
            </w:r>
          </w:p>
        </w:tc>
        <w:tc>
          <w:tcPr>
            <w:tcW w:w="2291" w:type="dxa"/>
            <w:noWrap w:val="0"/>
            <w:vAlign w:val="center"/>
          </w:tcPr>
          <w:p w14:paraId="1C4E81E9">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见“3.2房屋维护服务”“3.4保洁服务”</w:t>
            </w:r>
          </w:p>
        </w:tc>
      </w:tr>
      <w:tr w14:paraId="034CD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noWrap w:val="0"/>
            <w:vAlign w:val="center"/>
          </w:tcPr>
          <w:p w14:paraId="08A881FC">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sz w:val="21"/>
                <w:szCs w:val="21"/>
                <w:highlight w:val="none"/>
              </w:rPr>
              <w:t>地面</w:t>
            </w:r>
          </w:p>
        </w:tc>
        <w:tc>
          <w:tcPr>
            <w:tcW w:w="1719" w:type="dxa"/>
            <w:noWrap w:val="0"/>
            <w:vAlign w:val="center"/>
          </w:tcPr>
          <w:p w14:paraId="7AA4F114">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地面</w:t>
            </w:r>
            <w:r>
              <w:rPr>
                <w:rFonts w:hint="eastAsia" w:ascii="仿宋" w:hAnsi="仿宋" w:eastAsia="仿宋" w:cs="仿宋"/>
                <w:sz w:val="21"/>
                <w:szCs w:val="21"/>
                <w:highlight w:val="none"/>
                <w:lang w:val="en-US" w:eastAsia="zh-CN"/>
              </w:rPr>
              <w:t>各</w:t>
            </w:r>
            <w:r>
              <w:rPr>
                <w:rFonts w:hint="eastAsia" w:ascii="仿宋" w:hAnsi="仿宋" w:eastAsia="仿宋" w:cs="仿宋"/>
                <w:sz w:val="21"/>
                <w:szCs w:val="21"/>
                <w:highlight w:val="none"/>
              </w:rPr>
              <w:t>材质</w:t>
            </w:r>
            <w:r>
              <w:rPr>
                <w:rFonts w:hint="eastAsia" w:ascii="仿宋" w:hAnsi="仿宋" w:eastAsia="仿宋" w:cs="仿宋"/>
                <w:sz w:val="21"/>
                <w:szCs w:val="21"/>
                <w:highlight w:val="none"/>
                <w:lang w:val="en-US" w:eastAsia="zh-CN"/>
              </w:rPr>
              <w:t>及总面积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4196" w:type="dxa"/>
            <w:noWrap w:val="0"/>
            <w:vAlign w:val="center"/>
          </w:tcPr>
          <w:p w14:paraId="5C80C0F0">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环氧地坪总面积100平方米、耐磨漆总面积1200平方米、瓷砖总面积6000平方米、石材总面积2500平方米、水磨石总面积1500平方米、地胶板总面积2500平方米、地毯总面积150平方米，玻璃栈道和玻璃扶手300平方米</w:t>
            </w:r>
          </w:p>
        </w:tc>
        <w:tc>
          <w:tcPr>
            <w:tcW w:w="2291" w:type="dxa"/>
            <w:noWrap w:val="0"/>
            <w:vAlign w:val="center"/>
          </w:tcPr>
          <w:p w14:paraId="2AEC3EBF">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见“3.2房屋维护服务”“3.4保洁服务”</w:t>
            </w:r>
          </w:p>
        </w:tc>
      </w:tr>
      <w:tr w14:paraId="0C6D2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noWrap w:val="0"/>
            <w:vAlign w:val="center"/>
          </w:tcPr>
          <w:p w14:paraId="18F594A7">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b w:val="0"/>
                <w:bCs w:val="0"/>
                <w:sz w:val="21"/>
                <w:szCs w:val="21"/>
                <w:highlight w:val="none"/>
                <w:lang w:val="en-US" w:eastAsia="zh-CN"/>
              </w:rPr>
              <w:t>内墙饰面</w:t>
            </w:r>
          </w:p>
        </w:tc>
        <w:tc>
          <w:tcPr>
            <w:tcW w:w="1719" w:type="dxa"/>
            <w:noWrap w:val="0"/>
            <w:vAlign w:val="center"/>
          </w:tcPr>
          <w:p w14:paraId="013E1E14">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b w:val="0"/>
                <w:bCs w:val="0"/>
                <w:sz w:val="21"/>
                <w:szCs w:val="21"/>
                <w:highlight w:val="none"/>
                <w:lang w:val="en-US" w:eastAsia="zh-CN"/>
              </w:rPr>
              <w:t>内墙饰面</w:t>
            </w:r>
            <w:r>
              <w:rPr>
                <w:rFonts w:hint="eastAsia" w:ascii="仿宋" w:hAnsi="仿宋" w:eastAsia="仿宋" w:cs="仿宋"/>
                <w:sz w:val="21"/>
                <w:szCs w:val="21"/>
                <w:highlight w:val="none"/>
                <w:lang w:val="en-US" w:eastAsia="zh-CN"/>
              </w:rPr>
              <w:t>各</w:t>
            </w:r>
            <w:r>
              <w:rPr>
                <w:rFonts w:hint="eastAsia" w:ascii="仿宋" w:hAnsi="仿宋" w:eastAsia="仿宋" w:cs="仿宋"/>
                <w:sz w:val="21"/>
                <w:szCs w:val="21"/>
                <w:highlight w:val="none"/>
              </w:rPr>
              <w:t>材质</w:t>
            </w:r>
            <w:r>
              <w:rPr>
                <w:rFonts w:hint="eastAsia" w:ascii="仿宋" w:hAnsi="仿宋" w:eastAsia="仿宋" w:cs="仿宋"/>
                <w:sz w:val="21"/>
                <w:szCs w:val="21"/>
                <w:highlight w:val="none"/>
                <w:lang w:val="en-US" w:eastAsia="zh-CN"/>
              </w:rPr>
              <w:t>及总面积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4196" w:type="dxa"/>
            <w:noWrap w:val="0"/>
            <w:vAlign w:val="center"/>
          </w:tcPr>
          <w:p w14:paraId="596DDEF9">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rPr>
            </w:pPr>
            <w:r>
              <w:rPr>
                <w:rFonts w:hint="eastAsia" w:ascii="仿宋" w:hAnsi="仿宋" w:eastAsia="仿宋" w:cs="仿宋"/>
                <w:b w:val="0"/>
                <w:bCs w:val="0"/>
                <w:sz w:val="21"/>
                <w:szCs w:val="21"/>
                <w:highlight w:val="none"/>
                <w:lang w:val="en-US" w:eastAsia="zh-CN"/>
              </w:rPr>
              <w:t>内墙饰面</w:t>
            </w:r>
            <w:r>
              <w:rPr>
                <w:rFonts w:hint="eastAsia" w:ascii="仿宋" w:hAnsi="仿宋" w:eastAsia="仿宋" w:cs="仿宋"/>
                <w:sz w:val="21"/>
                <w:szCs w:val="21"/>
                <w:highlight w:val="none"/>
                <w:lang w:val="en-US" w:eastAsia="zh-CN"/>
              </w:rPr>
              <w:t>乳胶漆总面积35000平方米、墙纸总面积2500平方米、木饰面总面积900平方米、石材总面积4000平方米、金属板总面积1200平方米.</w:t>
            </w:r>
          </w:p>
        </w:tc>
        <w:tc>
          <w:tcPr>
            <w:tcW w:w="2291" w:type="dxa"/>
            <w:noWrap w:val="0"/>
            <w:vAlign w:val="center"/>
          </w:tcPr>
          <w:p w14:paraId="39D1FFEE">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见“3.2房屋维护服务”“3.4保洁服务”</w:t>
            </w:r>
          </w:p>
        </w:tc>
      </w:tr>
      <w:tr w14:paraId="112CE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noWrap w:val="0"/>
            <w:vAlign w:val="center"/>
          </w:tcPr>
          <w:p w14:paraId="3F1A46BB">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顶面</w:t>
            </w:r>
          </w:p>
        </w:tc>
        <w:tc>
          <w:tcPr>
            <w:tcW w:w="1719" w:type="dxa"/>
            <w:noWrap w:val="0"/>
            <w:vAlign w:val="center"/>
          </w:tcPr>
          <w:p w14:paraId="64A66C98">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顶面各</w:t>
            </w:r>
            <w:r>
              <w:rPr>
                <w:rFonts w:hint="eastAsia" w:ascii="仿宋" w:hAnsi="仿宋" w:eastAsia="仿宋" w:cs="仿宋"/>
                <w:sz w:val="21"/>
                <w:szCs w:val="21"/>
                <w:highlight w:val="none"/>
              </w:rPr>
              <w:t>材质</w:t>
            </w:r>
            <w:r>
              <w:rPr>
                <w:rFonts w:hint="eastAsia" w:ascii="仿宋" w:hAnsi="仿宋" w:eastAsia="仿宋" w:cs="仿宋"/>
                <w:sz w:val="21"/>
                <w:szCs w:val="21"/>
                <w:highlight w:val="none"/>
                <w:lang w:val="en-US" w:eastAsia="zh-CN"/>
              </w:rPr>
              <w:t>及总面积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4196" w:type="dxa"/>
            <w:noWrap w:val="0"/>
            <w:vAlign w:val="center"/>
          </w:tcPr>
          <w:p w14:paraId="49514078">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顶面乳胶漆总面积3500平方米、格栅总面积1100平方米、木饰面总面积800平方米、蜂窝铝板总面积500平方米</w:t>
            </w:r>
          </w:p>
        </w:tc>
        <w:tc>
          <w:tcPr>
            <w:tcW w:w="2291" w:type="dxa"/>
            <w:noWrap w:val="0"/>
            <w:vAlign w:val="center"/>
          </w:tcPr>
          <w:p w14:paraId="0393F458">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见“3.2房屋维护服务”“3.4保洁服务”</w:t>
            </w:r>
          </w:p>
        </w:tc>
      </w:tr>
      <w:tr w14:paraId="594FA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90" w:type="dxa"/>
            <w:vMerge w:val="restart"/>
            <w:noWrap w:val="0"/>
            <w:vAlign w:val="center"/>
          </w:tcPr>
          <w:p w14:paraId="3F03ADAF">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rPr>
            </w:pPr>
            <w:r>
              <w:rPr>
                <w:rFonts w:hint="eastAsia" w:ascii="仿宋" w:hAnsi="仿宋" w:eastAsia="仿宋" w:cs="仿宋"/>
                <w:sz w:val="21"/>
                <w:szCs w:val="21"/>
                <w:highlight w:val="none"/>
              </w:rPr>
              <w:t>外墙</w:t>
            </w:r>
          </w:p>
        </w:tc>
        <w:tc>
          <w:tcPr>
            <w:tcW w:w="1719" w:type="dxa"/>
            <w:noWrap w:val="0"/>
            <w:vAlign w:val="center"/>
          </w:tcPr>
          <w:p w14:paraId="42EEB19E">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eastAsia="zh-CN"/>
              </w:rPr>
            </w:pPr>
            <w:r>
              <w:rPr>
                <w:rFonts w:hint="eastAsia" w:ascii="仿宋" w:hAnsi="仿宋" w:eastAsia="仿宋" w:cs="仿宋"/>
                <w:sz w:val="21"/>
                <w:szCs w:val="21"/>
                <w:highlight w:val="none"/>
              </w:rPr>
              <w:t>外墙</w:t>
            </w:r>
            <w:r>
              <w:rPr>
                <w:rFonts w:hint="eastAsia" w:ascii="仿宋" w:hAnsi="仿宋" w:eastAsia="仿宋" w:cs="仿宋"/>
                <w:sz w:val="21"/>
                <w:szCs w:val="21"/>
                <w:highlight w:val="none"/>
                <w:lang w:val="en-US" w:eastAsia="zh-CN"/>
              </w:rPr>
              <w:t>各</w:t>
            </w:r>
            <w:r>
              <w:rPr>
                <w:rFonts w:hint="eastAsia" w:ascii="仿宋" w:hAnsi="仿宋" w:eastAsia="仿宋" w:cs="仿宋"/>
                <w:sz w:val="21"/>
                <w:szCs w:val="21"/>
                <w:highlight w:val="none"/>
              </w:rPr>
              <w:t>材质</w:t>
            </w:r>
            <w:r>
              <w:rPr>
                <w:rFonts w:hint="eastAsia" w:ascii="仿宋" w:hAnsi="仿宋" w:eastAsia="仿宋" w:cs="仿宋"/>
                <w:sz w:val="21"/>
                <w:szCs w:val="21"/>
                <w:highlight w:val="none"/>
                <w:lang w:val="en-US" w:eastAsia="zh-CN"/>
              </w:rPr>
              <w:t>及总面积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4196" w:type="dxa"/>
            <w:noWrap w:val="0"/>
            <w:vAlign w:val="center"/>
          </w:tcPr>
          <w:p w14:paraId="1296DB81">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rPr>
            </w:pPr>
            <w:r>
              <w:rPr>
                <w:rFonts w:hint="eastAsia" w:ascii="仿宋" w:hAnsi="仿宋" w:eastAsia="仿宋" w:cs="仿宋"/>
                <w:sz w:val="21"/>
                <w:szCs w:val="21"/>
                <w:highlight w:val="none"/>
                <w:lang w:val="en-US" w:eastAsia="zh-CN"/>
              </w:rPr>
              <w:t>钢板总面积380平方米、干挂石材总面积10500平方米、玻璃幕墙总面积3000平方米，玻璃门320平方米</w:t>
            </w:r>
          </w:p>
        </w:tc>
        <w:tc>
          <w:tcPr>
            <w:tcW w:w="2291" w:type="dxa"/>
            <w:noWrap w:val="0"/>
            <w:vAlign w:val="center"/>
          </w:tcPr>
          <w:p w14:paraId="69C925CF">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见“3.2房屋维护服务”“3.4保洁服务”</w:t>
            </w:r>
          </w:p>
        </w:tc>
      </w:tr>
      <w:tr w14:paraId="00E39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0D07562B">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rPr>
            </w:pPr>
          </w:p>
        </w:tc>
        <w:tc>
          <w:tcPr>
            <w:tcW w:w="1719" w:type="dxa"/>
            <w:noWrap w:val="0"/>
            <w:vAlign w:val="center"/>
          </w:tcPr>
          <w:p w14:paraId="6D8F42CE">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外墙</w:t>
            </w:r>
            <w:r>
              <w:rPr>
                <w:rFonts w:hint="eastAsia" w:ascii="仿宋" w:hAnsi="仿宋" w:eastAsia="仿宋" w:cs="仿宋"/>
                <w:sz w:val="21"/>
                <w:szCs w:val="21"/>
                <w:highlight w:val="none"/>
              </w:rPr>
              <w:t>需</w:t>
            </w:r>
            <w:r>
              <w:rPr>
                <w:rFonts w:hint="eastAsia" w:ascii="仿宋" w:hAnsi="仿宋" w:eastAsia="仿宋" w:cs="仿宋"/>
                <w:sz w:val="21"/>
                <w:szCs w:val="21"/>
                <w:highlight w:val="none"/>
                <w:lang w:val="en-US" w:eastAsia="zh-CN"/>
              </w:rPr>
              <w:t>清洗面积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4196" w:type="dxa"/>
            <w:noWrap w:val="0"/>
            <w:vAlign w:val="center"/>
          </w:tcPr>
          <w:p w14:paraId="037215C4">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1600平方米</w:t>
            </w:r>
          </w:p>
        </w:tc>
        <w:tc>
          <w:tcPr>
            <w:tcW w:w="2291" w:type="dxa"/>
            <w:noWrap w:val="0"/>
            <w:vAlign w:val="center"/>
          </w:tcPr>
          <w:p w14:paraId="72559DC8">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见“3.4保洁服务”</w:t>
            </w:r>
          </w:p>
        </w:tc>
      </w:tr>
      <w:tr w14:paraId="7695B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restart"/>
            <w:noWrap w:val="0"/>
            <w:vAlign w:val="center"/>
          </w:tcPr>
          <w:p w14:paraId="5D1682B6">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会议室</w:t>
            </w:r>
          </w:p>
        </w:tc>
        <w:tc>
          <w:tcPr>
            <w:tcW w:w="1719" w:type="dxa"/>
            <w:noWrap w:val="0"/>
            <w:vAlign w:val="center"/>
          </w:tcPr>
          <w:p w14:paraId="0C83A323">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室内</w:t>
            </w:r>
            <w:r>
              <w:rPr>
                <w:rFonts w:hint="eastAsia" w:ascii="仿宋" w:hAnsi="仿宋" w:eastAsia="仿宋" w:cs="仿宋"/>
                <w:sz w:val="21"/>
                <w:szCs w:val="21"/>
                <w:highlight w:val="none"/>
              </w:rPr>
              <w:t>设施</w:t>
            </w:r>
            <w:r>
              <w:rPr>
                <w:rFonts w:hint="eastAsia" w:ascii="仿宋" w:hAnsi="仿宋" w:eastAsia="仿宋" w:cs="仿宋"/>
                <w:sz w:val="21"/>
                <w:szCs w:val="21"/>
                <w:highlight w:val="none"/>
                <w:lang w:val="en-US" w:eastAsia="zh-CN"/>
              </w:rPr>
              <w:t>说明</w:t>
            </w:r>
          </w:p>
        </w:tc>
        <w:tc>
          <w:tcPr>
            <w:tcW w:w="4196" w:type="dxa"/>
            <w:noWrap w:val="0"/>
            <w:vAlign w:val="center"/>
          </w:tcPr>
          <w:p w14:paraId="219DD7C9">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会议桌30张、会议椅70把、话筒18个、电子大屏1个、1张大会议桌</w:t>
            </w:r>
          </w:p>
        </w:tc>
        <w:tc>
          <w:tcPr>
            <w:tcW w:w="2291" w:type="dxa"/>
            <w:noWrap w:val="0"/>
            <w:vAlign w:val="center"/>
          </w:tcPr>
          <w:p w14:paraId="0251B5B4">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见“3.2房屋维护服务”“3.4保洁服务”“3.7会议服务”</w:t>
            </w:r>
          </w:p>
        </w:tc>
      </w:tr>
      <w:tr w14:paraId="27EB2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2738BB29">
            <w:pPr>
              <w:pageBreakBefore w:val="0"/>
              <w:widowControl w:val="0"/>
              <w:kinsoku/>
              <w:wordWrap/>
              <w:overflowPunct/>
              <w:topLinePunct w:val="0"/>
              <w:autoSpaceDE/>
              <w:autoSpaceDN/>
              <w:bidi w:val="0"/>
              <w:adjustRightInd/>
              <w:snapToGrid w:val="0"/>
              <w:spacing w:line="240" w:lineRule="auto"/>
              <w:ind w:left="0" w:firstLine="0" w:firstLineChars="0"/>
              <w:jc w:val="center"/>
              <w:textAlignment w:val="auto"/>
              <w:rPr>
                <w:rFonts w:hint="eastAsia" w:ascii="仿宋" w:hAnsi="仿宋" w:eastAsia="仿宋" w:cs="仿宋"/>
                <w:color w:val="auto"/>
                <w:sz w:val="21"/>
                <w:szCs w:val="21"/>
                <w:highlight w:val="none"/>
              </w:rPr>
            </w:pPr>
          </w:p>
        </w:tc>
        <w:tc>
          <w:tcPr>
            <w:tcW w:w="1719" w:type="dxa"/>
            <w:noWrap w:val="0"/>
            <w:vAlign w:val="center"/>
          </w:tcPr>
          <w:p w14:paraId="319BBDD1">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会议室数量</w:t>
            </w:r>
            <w:r>
              <w:rPr>
                <w:rFonts w:hint="eastAsia" w:ascii="仿宋" w:hAnsi="仿宋" w:eastAsia="仿宋" w:cs="仿宋"/>
                <w:sz w:val="21"/>
                <w:szCs w:val="21"/>
                <w:highlight w:val="none"/>
                <w:lang w:val="en-US" w:eastAsia="zh-CN"/>
              </w:rPr>
              <w:t>（个）</w:t>
            </w:r>
            <w:r>
              <w:rPr>
                <w:rFonts w:hint="eastAsia" w:ascii="仿宋" w:hAnsi="仿宋" w:eastAsia="仿宋" w:cs="仿宋"/>
                <w:color w:val="auto"/>
                <w:sz w:val="21"/>
                <w:szCs w:val="21"/>
                <w:highlight w:val="none"/>
                <w:lang w:val="en-US" w:eastAsia="zh-CN"/>
              </w:rPr>
              <w:t>及总面积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4196" w:type="dxa"/>
            <w:noWrap w:val="0"/>
            <w:vAlign w:val="center"/>
          </w:tcPr>
          <w:p w14:paraId="4137D553">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rPr>
            </w:pPr>
            <w:r>
              <w:rPr>
                <w:rFonts w:hint="eastAsia" w:ascii="仿宋" w:hAnsi="仿宋" w:eastAsia="仿宋" w:cs="仿宋"/>
                <w:sz w:val="21"/>
                <w:szCs w:val="21"/>
                <w:highlight w:val="none"/>
                <w:lang w:val="en-US" w:eastAsia="zh-CN"/>
              </w:rPr>
              <w:t>会议室1间，总面积320平方米</w:t>
            </w:r>
          </w:p>
        </w:tc>
        <w:tc>
          <w:tcPr>
            <w:tcW w:w="2291" w:type="dxa"/>
            <w:noWrap w:val="0"/>
            <w:vAlign w:val="center"/>
          </w:tcPr>
          <w:p w14:paraId="74B5E428">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见“3.4保洁服务”“3.7会议服务”</w:t>
            </w:r>
          </w:p>
        </w:tc>
      </w:tr>
      <w:tr w14:paraId="27D0A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restart"/>
            <w:noWrap w:val="0"/>
            <w:vAlign w:val="center"/>
          </w:tcPr>
          <w:p w14:paraId="4852A1BA">
            <w:pPr>
              <w:pageBreakBefore w:val="0"/>
              <w:widowControl w:val="0"/>
              <w:kinsoku/>
              <w:wordWrap/>
              <w:overflowPunct/>
              <w:topLinePunct w:val="0"/>
              <w:autoSpaceDE/>
              <w:autoSpaceDN/>
              <w:bidi w:val="0"/>
              <w:adjustRightInd/>
              <w:snapToGrid w:val="0"/>
              <w:spacing w:line="240" w:lineRule="auto"/>
              <w:ind w:left="0" w:firstLine="0" w:firstLineChars="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报告厅</w:t>
            </w:r>
          </w:p>
        </w:tc>
        <w:tc>
          <w:tcPr>
            <w:tcW w:w="1719" w:type="dxa"/>
            <w:noWrap w:val="0"/>
            <w:vAlign w:val="center"/>
          </w:tcPr>
          <w:p w14:paraId="4E6365FE">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室内</w:t>
            </w:r>
            <w:r>
              <w:rPr>
                <w:rFonts w:hint="eastAsia" w:ascii="仿宋" w:hAnsi="仿宋" w:eastAsia="仿宋" w:cs="仿宋"/>
                <w:sz w:val="21"/>
                <w:szCs w:val="21"/>
                <w:highlight w:val="none"/>
              </w:rPr>
              <w:t>设施</w:t>
            </w:r>
            <w:r>
              <w:rPr>
                <w:rFonts w:hint="eastAsia" w:ascii="仿宋" w:hAnsi="仿宋" w:eastAsia="仿宋" w:cs="仿宋"/>
                <w:sz w:val="21"/>
                <w:szCs w:val="21"/>
                <w:highlight w:val="none"/>
                <w:lang w:val="en-US" w:eastAsia="zh-CN"/>
              </w:rPr>
              <w:t>说明</w:t>
            </w:r>
          </w:p>
        </w:tc>
        <w:tc>
          <w:tcPr>
            <w:tcW w:w="4196" w:type="dxa"/>
            <w:noWrap w:val="0"/>
            <w:vAlign w:val="center"/>
          </w:tcPr>
          <w:p w14:paraId="523ACB60">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电子大屏1个、控制柜2台、座椅80张</w:t>
            </w:r>
          </w:p>
        </w:tc>
        <w:tc>
          <w:tcPr>
            <w:tcW w:w="2291" w:type="dxa"/>
            <w:noWrap w:val="0"/>
            <w:vAlign w:val="center"/>
          </w:tcPr>
          <w:p w14:paraId="71BC20C0">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见“3.4保洁服务”“3.7会议服务”</w:t>
            </w:r>
          </w:p>
        </w:tc>
      </w:tr>
      <w:tr w14:paraId="16F88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66423A09">
            <w:pPr>
              <w:pageBreakBefore w:val="0"/>
              <w:widowControl w:val="0"/>
              <w:kinsoku/>
              <w:wordWrap/>
              <w:overflowPunct/>
              <w:topLinePunct w:val="0"/>
              <w:autoSpaceDE/>
              <w:autoSpaceDN/>
              <w:bidi w:val="0"/>
              <w:adjustRightInd/>
              <w:snapToGrid w:val="0"/>
              <w:spacing w:line="240" w:lineRule="auto"/>
              <w:ind w:left="0" w:firstLine="0" w:firstLineChars="0"/>
              <w:jc w:val="center"/>
              <w:textAlignment w:val="auto"/>
              <w:rPr>
                <w:rFonts w:hint="eastAsia" w:ascii="仿宋" w:hAnsi="仿宋" w:eastAsia="仿宋" w:cs="仿宋"/>
                <w:color w:val="auto"/>
                <w:sz w:val="21"/>
                <w:szCs w:val="21"/>
                <w:highlight w:val="none"/>
              </w:rPr>
            </w:pPr>
          </w:p>
        </w:tc>
        <w:tc>
          <w:tcPr>
            <w:tcW w:w="1719" w:type="dxa"/>
            <w:noWrap w:val="0"/>
            <w:vAlign w:val="center"/>
          </w:tcPr>
          <w:p w14:paraId="4847D471">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color w:val="auto"/>
                <w:sz w:val="21"/>
                <w:szCs w:val="21"/>
                <w:highlight w:val="none"/>
                <w:lang w:val="en-US" w:eastAsia="zh-CN"/>
              </w:rPr>
              <w:t>报告厅数量</w:t>
            </w:r>
            <w:r>
              <w:rPr>
                <w:rFonts w:hint="eastAsia" w:ascii="仿宋" w:hAnsi="仿宋" w:eastAsia="仿宋" w:cs="仿宋"/>
                <w:sz w:val="21"/>
                <w:szCs w:val="21"/>
                <w:highlight w:val="none"/>
                <w:lang w:val="en-US" w:eastAsia="zh-CN"/>
              </w:rPr>
              <w:t>（个）</w:t>
            </w:r>
            <w:r>
              <w:rPr>
                <w:rFonts w:hint="eastAsia" w:ascii="仿宋" w:hAnsi="仿宋" w:eastAsia="仿宋" w:cs="仿宋"/>
                <w:color w:val="auto"/>
                <w:sz w:val="21"/>
                <w:szCs w:val="21"/>
                <w:highlight w:val="none"/>
                <w:lang w:val="en-US" w:eastAsia="zh-CN"/>
              </w:rPr>
              <w:t>及总面积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4196" w:type="dxa"/>
            <w:noWrap w:val="0"/>
            <w:vAlign w:val="center"/>
          </w:tcPr>
          <w:p w14:paraId="18DD90B7">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rPr>
            </w:pPr>
            <w:r>
              <w:rPr>
                <w:rFonts w:hint="eastAsia" w:ascii="仿宋" w:hAnsi="仿宋" w:eastAsia="仿宋" w:cs="仿宋"/>
                <w:sz w:val="21"/>
                <w:szCs w:val="21"/>
                <w:highlight w:val="none"/>
                <w:lang w:val="en-US" w:eastAsia="zh-CN"/>
              </w:rPr>
              <w:t>报告厅1间、总面积报告厅300平方米，控制室100平方米</w:t>
            </w:r>
          </w:p>
        </w:tc>
        <w:tc>
          <w:tcPr>
            <w:tcW w:w="2291" w:type="dxa"/>
            <w:noWrap w:val="0"/>
            <w:vAlign w:val="center"/>
          </w:tcPr>
          <w:p w14:paraId="67957A6F">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见“3.4保洁服务”“3.7会议服务”</w:t>
            </w:r>
          </w:p>
        </w:tc>
      </w:tr>
      <w:tr w14:paraId="277C3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noWrap w:val="0"/>
            <w:vAlign w:val="center"/>
          </w:tcPr>
          <w:p w14:paraId="2EBC0760">
            <w:pPr>
              <w:pageBreakBefore w:val="0"/>
              <w:widowControl w:val="0"/>
              <w:kinsoku/>
              <w:wordWrap/>
              <w:overflowPunct/>
              <w:topLinePunct w:val="0"/>
              <w:autoSpaceDE/>
              <w:autoSpaceDN/>
              <w:bidi w:val="0"/>
              <w:adjustRightInd/>
              <w:snapToGrid w:val="0"/>
              <w:spacing w:line="240" w:lineRule="auto"/>
              <w:ind w:left="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卫生间</w:t>
            </w:r>
          </w:p>
        </w:tc>
        <w:tc>
          <w:tcPr>
            <w:tcW w:w="1719" w:type="dxa"/>
            <w:noWrap w:val="0"/>
            <w:vAlign w:val="center"/>
          </w:tcPr>
          <w:p w14:paraId="505E9ECE">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卫生间</w:t>
            </w:r>
            <w:r>
              <w:rPr>
                <w:rFonts w:hint="eastAsia" w:ascii="仿宋" w:hAnsi="仿宋" w:eastAsia="仿宋" w:cs="仿宋"/>
                <w:color w:val="auto"/>
                <w:sz w:val="21"/>
                <w:szCs w:val="21"/>
                <w:highlight w:val="none"/>
                <w:lang w:val="en-US" w:eastAsia="zh-CN"/>
              </w:rPr>
              <w:t>数量</w:t>
            </w:r>
            <w:r>
              <w:rPr>
                <w:rFonts w:hint="eastAsia" w:ascii="仿宋" w:hAnsi="仿宋" w:eastAsia="仿宋" w:cs="仿宋"/>
                <w:sz w:val="21"/>
                <w:szCs w:val="21"/>
                <w:highlight w:val="none"/>
                <w:lang w:val="en-US" w:eastAsia="zh-CN"/>
              </w:rPr>
              <w:t>（个）</w:t>
            </w:r>
            <w:r>
              <w:rPr>
                <w:rFonts w:hint="eastAsia" w:ascii="仿宋" w:hAnsi="仿宋" w:eastAsia="仿宋" w:cs="仿宋"/>
                <w:color w:val="auto"/>
                <w:sz w:val="21"/>
                <w:szCs w:val="21"/>
                <w:highlight w:val="none"/>
                <w:lang w:val="en-US" w:eastAsia="zh-CN"/>
              </w:rPr>
              <w:t>及总面积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p>
        </w:tc>
        <w:tc>
          <w:tcPr>
            <w:tcW w:w="4196" w:type="dxa"/>
            <w:noWrap w:val="0"/>
            <w:vAlign w:val="center"/>
          </w:tcPr>
          <w:p w14:paraId="2B0965A6">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卫生间11间、总面积1150平方米</w:t>
            </w:r>
          </w:p>
        </w:tc>
        <w:tc>
          <w:tcPr>
            <w:tcW w:w="2291" w:type="dxa"/>
            <w:noWrap w:val="0"/>
            <w:vAlign w:val="center"/>
          </w:tcPr>
          <w:p w14:paraId="0AA1BBC2">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p>
        </w:tc>
      </w:tr>
      <w:tr w14:paraId="1CC76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noWrap w:val="0"/>
            <w:vAlign w:val="center"/>
          </w:tcPr>
          <w:p w14:paraId="29F562BD">
            <w:pPr>
              <w:pageBreakBefore w:val="0"/>
              <w:widowControl w:val="0"/>
              <w:kinsoku/>
              <w:wordWrap/>
              <w:overflowPunct/>
              <w:topLinePunct w:val="0"/>
              <w:autoSpaceDE/>
              <w:autoSpaceDN/>
              <w:bidi w:val="0"/>
              <w:adjustRightInd/>
              <w:snapToGrid w:val="0"/>
              <w:spacing w:line="240" w:lineRule="auto"/>
              <w:ind w:left="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垃圾存放点</w:t>
            </w:r>
          </w:p>
        </w:tc>
        <w:tc>
          <w:tcPr>
            <w:tcW w:w="1719" w:type="dxa"/>
            <w:noWrap w:val="0"/>
            <w:vAlign w:val="center"/>
          </w:tcPr>
          <w:p w14:paraId="711F36D4">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各垃圾存放点位置、</w:t>
            </w:r>
            <w:r>
              <w:rPr>
                <w:rFonts w:hint="eastAsia" w:ascii="仿宋" w:hAnsi="仿宋" w:eastAsia="仿宋" w:cs="仿宋"/>
                <w:sz w:val="21"/>
                <w:szCs w:val="21"/>
                <w:highlight w:val="none"/>
              </w:rPr>
              <w:t>面积</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及数量（个）</w:t>
            </w:r>
          </w:p>
        </w:tc>
        <w:tc>
          <w:tcPr>
            <w:tcW w:w="4196" w:type="dxa"/>
            <w:noWrap w:val="0"/>
            <w:vAlign w:val="center"/>
          </w:tcPr>
          <w:p w14:paraId="3D6FE9C8">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垃圾存放点位置：卫生间内，走廊，展区，40个，面积20平方米；</w:t>
            </w:r>
          </w:p>
        </w:tc>
        <w:tc>
          <w:tcPr>
            <w:tcW w:w="2291" w:type="dxa"/>
            <w:noWrap w:val="0"/>
            <w:vAlign w:val="center"/>
          </w:tcPr>
          <w:p w14:paraId="064C61B7">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p>
        </w:tc>
      </w:tr>
      <w:tr w14:paraId="7DE3C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restart"/>
            <w:noWrap w:val="0"/>
            <w:vAlign w:val="center"/>
          </w:tcPr>
          <w:p w14:paraId="0E789FE7">
            <w:pPr>
              <w:pageBreakBefore w:val="0"/>
              <w:widowControl w:val="0"/>
              <w:kinsoku/>
              <w:wordWrap/>
              <w:overflowPunct/>
              <w:topLinePunct w:val="0"/>
              <w:autoSpaceDE/>
              <w:autoSpaceDN/>
              <w:bidi w:val="0"/>
              <w:adjustRightInd/>
              <w:snapToGrid w:val="0"/>
              <w:spacing w:line="240" w:lineRule="auto"/>
              <w:ind w:left="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sz w:val="21"/>
                <w:szCs w:val="21"/>
                <w:highlight w:val="none"/>
              </w:rPr>
              <w:t>车位数</w:t>
            </w:r>
          </w:p>
        </w:tc>
        <w:tc>
          <w:tcPr>
            <w:tcW w:w="1719" w:type="dxa"/>
            <w:noWrap w:val="0"/>
            <w:vAlign w:val="center"/>
          </w:tcPr>
          <w:p w14:paraId="0F1B3A13">
            <w:pPr>
              <w:pageBreakBefore w:val="0"/>
              <w:widowControl w:val="0"/>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地下车位数</w:t>
            </w:r>
          </w:p>
        </w:tc>
        <w:tc>
          <w:tcPr>
            <w:tcW w:w="4196" w:type="dxa"/>
            <w:noWrap w:val="0"/>
            <w:vAlign w:val="center"/>
          </w:tcPr>
          <w:p w14:paraId="6C024376">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无</w:t>
            </w:r>
          </w:p>
        </w:tc>
        <w:tc>
          <w:tcPr>
            <w:tcW w:w="2291" w:type="dxa"/>
            <w:noWrap w:val="0"/>
            <w:vAlign w:val="center"/>
          </w:tcPr>
          <w:p w14:paraId="0BA22546">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w:t>
            </w:r>
          </w:p>
        </w:tc>
      </w:tr>
      <w:tr w14:paraId="479C3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1D5BDCC0">
            <w:pPr>
              <w:pageBreakBefore w:val="0"/>
              <w:widowControl w:val="0"/>
              <w:kinsoku/>
              <w:wordWrap/>
              <w:overflowPunct/>
              <w:topLinePunct w:val="0"/>
              <w:autoSpaceDE/>
              <w:autoSpaceDN/>
              <w:bidi w:val="0"/>
              <w:adjustRightInd/>
              <w:snapToGrid w:val="0"/>
              <w:spacing w:line="240" w:lineRule="auto"/>
              <w:ind w:left="0" w:firstLine="0" w:firstLineChars="0"/>
              <w:jc w:val="both"/>
              <w:textAlignment w:val="auto"/>
              <w:rPr>
                <w:rFonts w:hint="eastAsia" w:ascii="仿宋" w:hAnsi="仿宋" w:eastAsia="仿宋" w:cs="仿宋"/>
                <w:color w:val="auto"/>
                <w:sz w:val="21"/>
                <w:szCs w:val="21"/>
                <w:highlight w:val="none"/>
                <w:lang w:val="en-US" w:eastAsia="zh-CN"/>
              </w:rPr>
            </w:pPr>
          </w:p>
        </w:tc>
        <w:tc>
          <w:tcPr>
            <w:tcW w:w="1719" w:type="dxa"/>
            <w:noWrap w:val="0"/>
            <w:vAlign w:val="center"/>
          </w:tcPr>
          <w:p w14:paraId="5C9FA877">
            <w:pPr>
              <w:pageBreakBefore w:val="0"/>
              <w:widowControl w:val="0"/>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地面车位数</w:t>
            </w:r>
          </w:p>
        </w:tc>
        <w:tc>
          <w:tcPr>
            <w:tcW w:w="4196" w:type="dxa"/>
            <w:noWrap w:val="0"/>
            <w:vAlign w:val="center"/>
          </w:tcPr>
          <w:p w14:paraId="5CC2C046">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b w:val="0"/>
                <w:bCs w:val="0"/>
                <w:sz w:val="21"/>
                <w:szCs w:val="21"/>
                <w:highlight w:val="none"/>
                <w:lang w:val="en-US" w:eastAsia="zh-CN"/>
              </w:rPr>
              <w:t>充电桩车位数量1</w:t>
            </w:r>
          </w:p>
        </w:tc>
        <w:tc>
          <w:tcPr>
            <w:tcW w:w="2291" w:type="dxa"/>
            <w:noWrap w:val="0"/>
            <w:vAlign w:val="center"/>
          </w:tcPr>
          <w:p w14:paraId="2E1D55AF">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w:t>
            </w:r>
          </w:p>
        </w:tc>
      </w:tr>
      <w:tr w14:paraId="4F112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restart"/>
            <w:noWrap w:val="0"/>
            <w:vAlign w:val="center"/>
          </w:tcPr>
          <w:p w14:paraId="5D1D30FC">
            <w:pPr>
              <w:pageBreakBefore w:val="0"/>
              <w:widowControl w:val="0"/>
              <w:kinsoku/>
              <w:wordWrap/>
              <w:overflowPunct/>
              <w:topLinePunct w:val="0"/>
              <w:autoSpaceDE/>
              <w:autoSpaceDN/>
              <w:bidi w:val="0"/>
              <w:adjustRightInd/>
              <w:snapToGrid w:val="0"/>
              <w:spacing w:line="240" w:lineRule="auto"/>
              <w:ind w:left="0" w:firstLine="0" w:firstLineChars="0"/>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车行/人行口</w:t>
            </w:r>
          </w:p>
        </w:tc>
        <w:tc>
          <w:tcPr>
            <w:tcW w:w="1719" w:type="dxa"/>
            <w:noWrap w:val="0"/>
            <w:vAlign w:val="center"/>
          </w:tcPr>
          <w:p w14:paraId="71899928">
            <w:pPr>
              <w:pageBreakBefore w:val="0"/>
              <w:widowControl w:val="0"/>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车行口</w:t>
            </w:r>
          </w:p>
        </w:tc>
        <w:tc>
          <w:tcPr>
            <w:tcW w:w="4196" w:type="dxa"/>
            <w:noWrap w:val="0"/>
            <w:vAlign w:val="center"/>
          </w:tcPr>
          <w:p w14:paraId="63F882C4">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0</w:t>
            </w:r>
          </w:p>
        </w:tc>
        <w:tc>
          <w:tcPr>
            <w:tcW w:w="2291" w:type="dxa"/>
            <w:noWrap w:val="0"/>
            <w:vAlign w:val="center"/>
          </w:tcPr>
          <w:p w14:paraId="232EBA4E">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w:t>
            </w:r>
          </w:p>
        </w:tc>
      </w:tr>
      <w:tr w14:paraId="14E9A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313565F2">
            <w:pPr>
              <w:pageBreakBefore w:val="0"/>
              <w:widowControl w:val="0"/>
              <w:kinsoku/>
              <w:wordWrap/>
              <w:overflowPunct/>
              <w:topLinePunct w:val="0"/>
              <w:autoSpaceDE/>
              <w:autoSpaceDN/>
              <w:bidi w:val="0"/>
              <w:adjustRightInd/>
              <w:snapToGrid w:val="0"/>
              <w:spacing w:line="240" w:lineRule="auto"/>
              <w:ind w:left="0" w:firstLine="0" w:firstLineChars="0"/>
              <w:jc w:val="both"/>
              <w:textAlignment w:val="auto"/>
              <w:rPr>
                <w:rFonts w:hint="eastAsia" w:ascii="仿宋" w:hAnsi="仿宋" w:eastAsia="仿宋" w:cs="仿宋"/>
                <w:sz w:val="21"/>
                <w:szCs w:val="21"/>
                <w:highlight w:val="none"/>
                <w:lang w:val="en-US" w:eastAsia="zh-CN"/>
              </w:rPr>
            </w:pPr>
          </w:p>
        </w:tc>
        <w:tc>
          <w:tcPr>
            <w:tcW w:w="1719" w:type="dxa"/>
            <w:noWrap w:val="0"/>
            <w:vAlign w:val="center"/>
          </w:tcPr>
          <w:p w14:paraId="5A7454A3">
            <w:pPr>
              <w:pageBreakBefore w:val="0"/>
              <w:widowControl w:val="0"/>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人行口</w:t>
            </w:r>
          </w:p>
        </w:tc>
        <w:tc>
          <w:tcPr>
            <w:tcW w:w="4196" w:type="dxa"/>
            <w:noWrap w:val="0"/>
            <w:vAlign w:val="center"/>
          </w:tcPr>
          <w:p w14:paraId="57F01999">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6</w:t>
            </w:r>
          </w:p>
        </w:tc>
        <w:tc>
          <w:tcPr>
            <w:tcW w:w="2291" w:type="dxa"/>
            <w:noWrap w:val="0"/>
            <w:vAlign w:val="center"/>
          </w:tcPr>
          <w:p w14:paraId="7F194904">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w:t>
            </w:r>
          </w:p>
        </w:tc>
      </w:tr>
      <w:tr w14:paraId="745EF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restart"/>
            <w:noWrap w:val="0"/>
            <w:vAlign w:val="center"/>
          </w:tcPr>
          <w:p w14:paraId="5EE3FD43">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设施设备（可另行附表）</w:t>
            </w:r>
          </w:p>
          <w:p w14:paraId="3C61823F">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rPr>
            </w:pPr>
          </w:p>
        </w:tc>
        <w:tc>
          <w:tcPr>
            <w:tcW w:w="1719" w:type="dxa"/>
            <w:noWrap w:val="0"/>
            <w:vAlign w:val="center"/>
          </w:tcPr>
          <w:p w14:paraId="641587DE">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电梯</w:t>
            </w:r>
            <w:r>
              <w:rPr>
                <w:rFonts w:hint="eastAsia" w:ascii="仿宋" w:hAnsi="仿宋" w:eastAsia="仿宋" w:cs="仿宋"/>
                <w:sz w:val="21"/>
                <w:szCs w:val="21"/>
                <w:highlight w:val="none"/>
                <w:lang w:val="en-US" w:eastAsia="zh-CN"/>
              </w:rPr>
              <w:t>系统</w:t>
            </w:r>
          </w:p>
        </w:tc>
        <w:tc>
          <w:tcPr>
            <w:tcW w:w="4196" w:type="dxa"/>
            <w:noWrap w:val="0"/>
            <w:vAlign w:val="center"/>
          </w:tcPr>
          <w:p w14:paraId="4AE83F7D">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1号消防电梯功率12.7千瓦，已过质保期</w:t>
            </w:r>
          </w:p>
          <w:p w14:paraId="6A9EA976">
            <w:pPr>
              <w:keepNext/>
              <w:keepLines/>
              <w:pageBreakBefore w:val="0"/>
              <w:widowControl w:val="0"/>
              <w:kinsoku/>
              <w:wordWrap/>
              <w:overflowPunct/>
              <w:topLinePunct w:val="0"/>
              <w:autoSpaceDE/>
              <w:autoSpaceDN/>
              <w:bidi w:val="0"/>
              <w:adjustRightInd/>
              <w:snapToGrid w:val="0"/>
              <w:spacing w:line="240" w:lineRule="auto"/>
              <w:ind w:left="0" w:leftChars="0" w:firstLine="0" w:firstLineChars="0"/>
              <w:jc w:val="both"/>
              <w:textAlignment w:val="auto"/>
              <w:outlineLvl w:val="1"/>
              <w:rPr>
                <w:rFonts w:hint="eastAsia" w:ascii="仿宋" w:hAnsi="仿宋" w:eastAsia="仿宋" w:cs="仿宋"/>
                <w:b w:val="0"/>
                <w:bCs w:val="0"/>
                <w:kern w:val="2"/>
                <w:sz w:val="21"/>
                <w:szCs w:val="21"/>
                <w:highlight w:val="none"/>
                <w:lang w:val="en-US" w:eastAsia="zh-CN" w:bidi="ar-SA"/>
              </w:rPr>
            </w:pPr>
            <w:r>
              <w:rPr>
                <w:rFonts w:hint="eastAsia" w:ascii="仿宋" w:hAnsi="仿宋" w:eastAsia="仿宋" w:cs="仿宋"/>
                <w:b w:val="0"/>
                <w:bCs w:val="0"/>
                <w:kern w:val="2"/>
                <w:sz w:val="21"/>
                <w:szCs w:val="21"/>
                <w:highlight w:val="none"/>
                <w:lang w:val="en-US" w:eastAsia="zh-CN" w:bidi="ar-SA"/>
              </w:rPr>
              <w:t>2号消防电梯功率12.7千瓦，已过质保期</w:t>
            </w:r>
          </w:p>
          <w:p w14:paraId="33686282">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3号消防电梯功率12.7千瓦，已过质保期</w:t>
            </w:r>
          </w:p>
          <w:p w14:paraId="3F19E4D7">
            <w:pPr>
              <w:keepNext/>
              <w:keepLines/>
              <w:pageBreakBefore w:val="0"/>
              <w:widowControl w:val="0"/>
              <w:kinsoku/>
              <w:wordWrap/>
              <w:overflowPunct/>
              <w:topLinePunct w:val="0"/>
              <w:autoSpaceDE/>
              <w:autoSpaceDN/>
              <w:bidi w:val="0"/>
              <w:adjustRightInd/>
              <w:snapToGrid w:val="0"/>
              <w:spacing w:line="240" w:lineRule="auto"/>
              <w:ind w:left="0" w:leftChars="0" w:firstLine="0" w:firstLineChars="0"/>
              <w:jc w:val="both"/>
              <w:textAlignment w:val="auto"/>
              <w:outlineLvl w:val="1"/>
              <w:rPr>
                <w:rFonts w:hint="eastAsia" w:ascii="仿宋" w:hAnsi="仿宋" w:eastAsia="仿宋" w:cs="仿宋"/>
                <w:b w:val="0"/>
                <w:bCs w:val="0"/>
                <w:kern w:val="2"/>
                <w:sz w:val="21"/>
                <w:szCs w:val="21"/>
                <w:highlight w:val="none"/>
                <w:lang w:val="en-US" w:eastAsia="zh-CN" w:bidi="ar-SA"/>
              </w:rPr>
            </w:pPr>
            <w:r>
              <w:rPr>
                <w:rFonts w:hint="eastAsia" w:ascii="仿宋" w:hAnsi="仿宋" w:eastAsia="仿宋" w:cs="仿宋"/>
                <w:b w:val="0"/>
                <w:bCs w:val="0"/>
                <w:kern w:val="2"/>
                <w:sz w:val="21"/>
                <w:szCs w:val="21"/>
                <w:highlight w:val="none"/>
                <w:lang w:val="en-US" w:eastAsia="zh-CN" w:bidi="ar-SA"/>
              </w:rPr>
              <w:t>4号消防电梯功率12.7千瓦，已过质保期</w:t>
            </w:r>
          </w:p>
          <w:p w14:paraId="7C0E8161">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lang w:val="en-US" w:eastAsia="zh-CN"/>
              </w:rPr>
            </w:pPr>
            <w:r>
              <w:rPr>
                <w:rFonts w:hint="eastAsia" w:ascii="仿宋" w:hAnsi="仿宋" w:eastAsia="仿宋" w:cs="仿宋"/>
                <w:b w:val="0"/>
                <w:bCs w:val="0"/>
                <w:kern w:val="2"/>
                <w:sz w:val="21"/>
                <w:szCs w:val="21"/>
                <w:highlight w:val="none"/>
                <w:lang w:val="en-US" w:eastAsia="zh-CN" w:bidi="ar-SA"/>
              </w:rPr>
              <w:t>货梯1部，功率5.5千瓦，已过质保期</w:t>
            </w:r>
          </w:p>
        </w:tc>
        <w:tc>
          <w:tcPr>
            <w:tcW w:w="2291" w:type="dxa"/>
            <w:noWrap w:val="0"/>
            <w:vAlign w:val="center"/>
          </w:tcPr>
          <w:p w14:paraId="6BFEA273">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见“3.6保安服务”“3.3公用设施设备维护服务”</w:t>
            </w:r>
          </w:p>
        </w:tc>
      </w:tr>
      <w:tr w14:paraId="31F8D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6CA7BFED">
            <w:pPr>
              <w:pageBreakBefore w:val="0"/>
              <w:widowControl w:val="0"/>
              <w:kinsoku/>
              <w:wordWrap/>
              <w:overflowPunct/>
              <w:topLinePunct w:val="0"/>
              <w:autoSpaceDE/>
              <w:autoSpaceDN/>
              <w:bidi w:val="0"/>
              <w:adjustRightInd/>
              <w:snapToGrid w:val="0"/>
              <w:spacing w:line="240" w:lineRule="auto"/>
              <w:ind w:left="0" w:firstLine="0" w:firstLineChars="0"/>
              <w:jc w:val="both"/>
              <w:textAlignment w:val="auto"/>
              <w:rPr>
                <w:rFonts w:hint="eastAsia" w:ascii="仿宋" w:hAnsi="仿宋" w:eastAsia="仿宋" w:cs="仿宋"/>
                <w:color w:val="auto"/>
                <w:sz w:val="21"/>
                <w:szCs w:val="21"/>
                <w:highlight w:val="none"/>
              </w:rPr>
            </w:pPr>
          </w:p>
        </w:tc>
        <w:tc>
          <w:tcPr>
            <w:tcW w:w="1719" w:type="dxa"/>
            <w:noWrap w:val="0"/>
            <w:vAlign w:val="center"/>
          </w:tcPr>
          <w:p w14:paraId="11136107">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空调</w:t>
            </w:r>
            <w:r>
              <w:rPr>
                <w:rFonts w:hint="eastAsia" w:ascii="仿宋" w:hAnsi="仿宋" w:eastAsia="仿宋" w:cs="仿宋"/>
                <w:sz w:val="21"/>
                <w:szCs w:val="21"/>
                <w:highlight w:val="none"/>
                <w:lang w:val="en-US" w:eastAsia="zh-CN"/>
              </w:rPr>
              <w:t>系统</w:t>
            </w:r>
          </w:p>
        </w:tc>
        <w:tc>
          <w:tcPr>
            <w:tcW w:w="4196" w:type="dxa"/>
            <w:noWrap w:val="0"/>
            <w:vAlign w:val="center"/>
          </w:tcPr>
          <w:p w14:paraId="39E73674">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多联式空调系统总功率445千瓦，已过质保期</w:t>
            </w:r>
          </w:p>
          <w:p w14:paraId="6D54E0DB">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立式单元式空调的数量1台、总功率5.5千瓦，在质保期内</w:t>
            </w:r>
          </w:p>
          <w:p w14:paraId="6893628D">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壁挂式单元式空调的数量18台、总功率27千瓦、已过质保期</w:t>
            </w:r>
          </w:p>
        </w:tc>
        <w:tc>
          <w:tcPr>
            <w:tcW w:w="2291" w:type="dxa"/>
            <w:noWrap w:val="0"/>
            <w:vAlign w:val="center"/>
          </w:tcPr>
          <w:p w14:paraId="2884B735">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见“3.6保安服务”“3.3公用设施设备维护服务”</w:t>
            </w:r>
          </w:p>
        </w:tc>
      </w:tr>
      <w:tr w14:paraId="37CB5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78C1AF7B">
            <w:pPr>
              <w:pageBreakBefore w:val="0"/>
              <w:widowControl w:val="0"/>
              <w:kinsoku/>
              <w:wordWrap/>
              <w:overflowPunct/>
              <w:topLinePunct w:val="0"/>
              <w:autoSpaceDE/>
              <w:autoSpaceDN/>
              <w:bidi w:val="0"/>
              <w:adjustRightInd/>
              <w:snapToGrid w:val="0"/>
              <w:spacing w:line="240" w:lineRule="auto"/>
              <w:ind w:left="0" w:firstLine="0" w:firstLineChars="0"/>
              <w:jc w:val="both"/>
              <w:textAlignment w:val="auto"/>
              <w:rPr>
                <w:rFonts w:hint="eastAsia" w:ascii="仿宋" w:hAnsi="仿宋" w:eastAsia="仿宋" w:cs="仿宋"/>
                <w:color w:val="auto"/>
                <w:sz w:val="21"/>
                <w:szCs w:val="21"/>
                <w:highlight w:val="none"/>
              </w:rPr>
            </w:pPr>
          </w:p>
        </w:tc>
        <w:tc>
          <w:tcPr>
            <w:tcW w:w="1719" w:type="dxa"/>
            <w:noWrap w:val="0"/>
            <w:vAlign w:val="center"/>
          </w:tcPr>
          <w:p w14:paraId="639AFC8C">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rPr>
              <w:t>采暖</w:t>
            </w:r>
            <w:r>
              <w:rPr>
                <w:rFonts w:hint="eastAsia" w:ascii="仿宋" w:hAnsi="仿宋" w:eastAsia="仿宋" w:cs="仿宋"/>
                <w:sz w:val="21"/>
                <w:szCs w:val="21"/>
                <w:highlight w:val="none"/>
                <w:lang w:val="en-US" w:eastAsia="zh-CN"/>
              </w:rPr>
              <w:t>系统</w:t>
            </w:r>
          </w:p>
        </w:tc>
        <w:tc>
          <w:tcPr>
            <w:tcW w:w="4196" w:type="dxa"/>
            <w:noWrap w:val="0"/>
            <w:vAlign w:val="center"/>
          </w:tcPr>
          <w:p w14:paraId="795C3287">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电热地采暖、锅炉散热片采暖</w:t>
            </w:r>
          </w:p>
          <w:p w14:paraId="42D06EAC">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电热地采暖总功率500千瓦，已过质保期</w:t>
            </w:r>
          </w:p>
          <w:p w14:paraId="380428A4">
            <w:pPr>
              <w:keepNext/>
              <w:keepLines/>
              <w:pageBreakBefore w:val="0"/>
              <w:widowControl w:val="0"/>
              <w:kinsoku/>
              <w:wordWrap/>
              <w:overflowPunct/>
              <w:topLinePunct w:val="0"/>
              <w:autoSpaceDE/>
              <w:autoSpaceDN/>
              <w:bidi w:val="0"/>
              <w:adjustRightInd/>
              <w:snapToGrid w:val="0"/>
              <w:spacing w:line="240" w:lineRule="auto"/>
              <w:ind w:left="0" w:leftChars="0" w:firstLine="0" w:firstLineChars="0"/>
              <w:jc w:val="both"/>
              <w:textAlignment w:val="auto"/>
              <w:outlineLvl w:val="1"/>
              <w:rPr>
                <w:rFonts w:hint="eastAsia" w:ascii="仿宋" w:hAnsi="仿宋" w:eastAsia="仿宋" w:cs="仿宋"/>
                <w:b/>
                <w:bCs/>
                <w:kern w:val="2"/>
                <w:sz w:val="21"/>
                <w:szCs w:val="21"/>
                <w:lang w:val="en-US" w:eastAsia="zh-CN" w:bidi="ar-SA"/>
              </w:rPr>
            </w:pPr>
            <w:r>
              <w:rPr>
                <w:rFonts w:hint="eastAsia" w:ascii="仿宋" w:hAnsi="仿宋" w:eastAsia="仿宋" w:cs="仿宋"/>
                <w:b w:val="0"/>
                <w:bCs w:val="0"/>
                <w:kern w:val="2"/>
                <w:sz w:val="21"/>
                <w:szCs w:val="21"/>
                <w:highlight w:val="none"/>
                <w:lang w:val="en-US" w:eastAsia="zh-CN" w:bidi="ar-SA"/>
              </w:rPr>
              <w:t>锅炉散热片采暖数量2300片，250组</w:t>
            </w:r>
          </w:p>
        </w:tc>
        <w:tc>
          <w:tcPr>
            <w:tcW w:w="2291" w:type="dxa"/>
            <w:noWrap w:val="0"/>
            <w:vAlign w:val="center"/>
          </w:tcPr>
          <w:p w14:paraId="6598D9AC">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见“3.6保安服务”“3.3公用设施设备维护服务”</w:t>
            </w:r>
          </w:p>
        </w:tc>
      </w:tr>
      <w:tr w14:paraId="1F265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190" w:type="dxa"/>
            <w:vMerge w:val="continue"/>
            <w:noWrap w:val="0"/>
            <w:vAlign w:val="center"/>
          </w:tcPr>
          <w:p w14:paraId="170B0301">
            <w:pPr>
              <w:pageBreakBefore w:val="0"/>
              <w:widowControl w:val="0"/>
              <w:kinsoku/>
              <w:wordWrap/>
              <w:overflowPunct/>
              <w:topLinePunct w:val="0"/>
              <w:autoSpaceDE/>
              <w:autoSpaceDN/>
              <w:bidi w:val="0"/>
              <w:adjustRightInd/>
              <w:snapToGrid w:val="0"/>
              <w:spacing w:line="240" w:lineRule="auto"/>
              <w:ind w:left="0" w:firstLine="0" w:firstLineChars="0"/>
              <w:jc w:val="both"/>
              <w:textAlignment w:val="auto"/>
              <w:rPr>
                <w:rFonts w:hint="eastAsia" w:ascii="仿宋" w:hAnsi="仿宋" w:eastAsia="仿宋" w:cs="仿宋"/>
                <w:color w:val="auto"/>
                <w:sz w:val="21"/>
                <w:szCs w:val="21"/>
                <w:highlight w:val="none"/>
              </w:rPr>
            </w:pPr>
          </w:p>
        </w:tc>
        <w:tc>
          <w:tcPr>
            <w:tcW w:w="1719" w:type="dxa"/>
            <w:noWrap w:val="0"/>
            <w:vAlign w:val="center"/>
          </w:tcPr>
          <w:p w14:paraId="6193CE67">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给排水</w:t>
            </w:r>
            <w:r>
              <w:rPr>
                <w:rFonts w:hint="eastAsia" w:ascii="仿宋" w:hAnsi="仿宋" w:eastAsia="仿宋" w:cs="仿宋"/>
                <w:sz w:val="21"/>
                <w:szCs w:val="21"/>
                <w:highlight w:val="none"/>
                <w:lang w:val="en-US" w:eastAsia="zh-CN"/>
              </w:rPr>
              <w:t>系统</w:t>
            </w:r>
          </w:p>
        </w:tc>
        <w:tc>
          <w:tcPr>
            <w:tcW w:w="4196" w:type="dxa"/>
            <w:noWrap w:val="0"/>
            <w:vAlign w:val="center"/>
          </w:tcPr>
          <w:p w14:paraId="0FD67A19">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集水井5处、排水泵7个，总功率18千瓦，已过质保期</w:t>
            </w:r>
          </w:p>
        </w:tc>
        <w:tc>
          <w:tcPr>
            <w:tcW w:w="2291" w:type="dxa"/>
            <w:noWrap w:val="0"/>
            <w:vAlign w:val="center"/>
          </w:tcPr>
          <w:p w14:paraId="144FA22E">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见“3.6保安服务”“3.3公用设施设备维护服务”</w:t>
            </w:r>
          </w:p>
        </w:tc>
      </w:tr>
      <w:tr w14:paraId="79752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434C6803">
            <w:pPr>
              <w:pageBreakBefore w:val="0"/>
              <w:widowControl w:val="0"/>
              <w:kinsoku/>
              <w:wordWrap/>
              <w:overflowPunct/>
              <w:topLinePunct w:val="0"/>
              <w:autoSpaceDE/>
              <w:autoSpaceDN/>
              <w:bidi w:val="0"/>
              <w:adjustRightInd/>
              <w:snapToGrid w:val="0"/>
              <w:spacing w:line="240" w:lineRule="auto"/>
              <w:ind w:left="0" w:firstLine="0" w:firstLineChars="0"/>
              <w:jc w:val="both"/>
              <w:textAlignment w:val="auto"/>
              <w:rPr>
                <w:rFonts w:hint="eastAsia" w:ascii="仿宋" w:hAnsi="仿宋" w:eastAsia="仿宋" w:cs="仿宋"/>
                <w:color w:val="auto"/>
                <w:sz w:val="21"/>
                <w:szCs w:val="21"/>
                <w:highlight w:val="none"/>
              </w:rPr>
            </w:pPr>
          </w:p>
        </w:tc>
        <w:tc>
          <w:tcPr>
            <w:tcW w:w="1719" w:type="dxa"/>
            <w:noWrap w:val="0"/>
            <w:vAlign w:val="center"/>
          </w:tcPr>
          <w:p w14:paraId="644535EE">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消防</w:t>
            </w:r>
            <w:r>
              <w:rPr>
                <w:rFonts w:hint="eastAsia" w:ascii="仿宋" w:hAnsi="仿宋" w:eastAsia="仿宋" w:cs="仿宋"/>
                <w:sz w:val="21"/>
                <w:szCs w:val="21"/>
                <w:highlight w:val="none"/>
                <w:lang w:val="en-US" w:eastAsia="zh-CN"/>
              </w:rPr>
              <w:t>系统</w:t>
            </w:r>
          </w:p>
        </w:tc>
        <w:tc>
          <w:tcPr>
            <w:tcW w:w="4196" w:type="dxa"/>
            <w:noWrap w:val="0"/>
            <w:vAlign w:val="center"/>
          </w:tcPr>
          <w:p w14:paraId="629BF887">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火灾自动报警系统、消火栓灭火系统、自动喷水灭火系统、防排烟系统、应急疏散与防火分隔</w:t>
            </w:r>
          </w:p>
          <w:p w14:paraId="0839AA1D">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2台喷淋泵，2台消火栓泵，1套预作用系统，1套湿式系统，3台控制柜，1台琴台室消防联动控制器，1台图形显示装置，已过质保期</w:t>
            </w:r>
          </w:p>
          <w:p w14:paraId="7E1A668C">
            <w:pPr>
              <w:keepNext/>
              <w:keepLines/>
              <w:pageBreakBefore w:val="0"/>
              <w:widowControl w:val="0"/>
              <w:kinsoku/>
              <w:wordWrap/>
              <w:overflowPunct/>
              <w:topLinePunct w:val="0"/>
              <w:autoSpaceDE/>
              <w:autoSpaceDN/>
              <w:bidi w:val="0"/>
              <w:adjustRightInd/>
              <w:snapToGrid w:val="0"/>
              <w:spacing w:line="240" w:lineRule="auto"/>
              <w:ind w:left="0" w:leftChars="0" w:firstLine="0" w:firstLineChars="0"/>
              <w:jc w:val="both"/>
              <w:textAlignment w:val="auto"/>
              <w:outlineLvl w:val="1"/>
              <w:rPr>
                <w:rFonts w:hint="eastAsia" w:ascii="仿宋" w:hAnsi="仿宋" w:eastAsia="仿宋" w:cs="仿宋"/>
                <w:b w:val="0"/>
                <w:bCs w:val="0"/>
                <w:kern w:val="2"/>
                <w:sz w:val="21"/>
                <w:szCs w:val="21"/>
                <w:lang w:val="en-US" w:eastAsia="zh-CN" w:bidi="ar-SA"/>
              </w:rPr>
            </w:pPr>
            <w:r>
              <w:rPr>
                <w:rFonts w:hint="eastAsia" w:ascii="仿宋" w:hAnsi="仿宋" w:eastAsia="仿宋" w:cs="仿宋"/>
                <w:b w:val="0"/>
                <w:bCs w:val="0"/>
                <w:kern w:val="2"/>
                <w:sz w:val="21"/>
                <w:szCs w:val="21"/>
                <w:lang w:val="en-US" w:eastAsia="zh-CN" w:bidi="ar-SA"/>
              </w:rPr>
              <w:t>消防栓75个</w:t>
            </w:r>
          </w:p>
          <w:p w14:paraId="418754B9">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lang w:val="en-US" w:eastAsia="zh-CN"/>
              </w:rPr>
            </w:pPr>
            <w:r>
              <w:rPr>
                <w:rFonts w:hint="eastAsia" w:ascii="仿宋" w:hAnsi="仿宋" w:eastAsia="仿宋" w:cs="仿宋"/>
                <w:b w:val="0"/>
                <w:bCs w:val="0"/>
                <w:sz w:val="21"/>
                <w:szCs w:val="21"/>
                <w:lang w:val="en-US" w:eastAsia="zh-CN"/>
              </w:rPr>
              <w:t>安全标识牌150个</w:t>
            </w:r>
          </w:p>
        </w:tc>
        <w:tc>
          <w:tcPr>
            <w:tcW w:w="2291" w:type="dxa"/>
            <w:noWrap w:val="0"/>
            <w:vAlign w:val="center"/>
          </w:tcPr>
          <w:p w14:paraId="194CB4BD">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见“3.6保安服务”“3.3公用设施设备维护服务”</w:t>
            </w:r>
          </w:p>
        </w:tc>
      </w:tr>
      <w:tr w14:paraId="0C91C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19A4AC9A">
            <w:pPr>
              <w:pageBreakBefore w:val="0"/>
              <w:widowControl w:val="0"/>
              <w:kinsoku/>
              <w:wordWrap/>
              <w:overflowPunct/>
              <w:topLinePunct w:val="0"/>
              <w:autoSpaceDE/>
              <w:autoSpaceDN/>
              <w:bidi w:val="0"/>
              <w:adjustRightInd/>
              <w:snapToGrid w:val="0"/>
              <w:spacing w:line="240" w:lineRule="auto"/>
              <w:ind w:left="0" w:firstLine="0" w:firstLineChars="0"/>
              <w:jc w:val="both"/>
              <w:textAlignment w:val="auto"/>
              <w:rPr>
                <w:rFonts w:hint="eastAsia" w:ascii="仿宋" w:hAnsi="仿宋" w:eastAsia="仿宋" w:cs="仿宋"/>
                <w:color w:val="auto"/>
                <w:sz w:val="21"/>
                <w:szCs w:val="21"/>
                <w:highlight w:val="none"/>
              </w:rPr>
            </w:pPr>
          </w:p>
        </w:tc>
        <w:tc>
          <w:tcPr>
            <w:tcW w:w="1719" w:type="dxa"/>
            <w:noWrap w:val="0"/>
            <w:vAlign w:val="center"/>
          </w:tcPr>
          <w:p w14:paraId="6E7B26BF">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rPr>
              <w:t>锅炉设备</w:t>
            </w:r>
          </w:p>
        </w:tc>
        <w:tc>
          <w:tcPr>
            <w:tcW w:w="4196" w:type="dxa"/>
            <w:noWrap w:val="0"/>
            <w:vAlign w:val="center"/>
          </w:tcPr>
          <w:p w14:paraId="6A515BC4">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汽水系统、燃烧系统、辅机系统、自控安全附件</w:t>
            </w:r>
          </w:p>
          <w:p w14:paraId="78AC6BA1">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2台蒸汽锅炉，4台循环水泵，4台补水泵，总功率56千瓦，在质保期内</w:t>
            </w:r>
          </w:p>
        </w:tc>
        <w:tc>
          <w:tcPr>
            <w:tcW w:w="2291" w:type="dxa"/>
            <w:noWrap w:val="0"/>
            <w:vAlign w:val="center"/>
          </w:tcPr>
          <w:p w14:paraId="541A844D">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见“3.6保安服务”“3.3公用设施设备维护服务”</w:t>
            </w:r>
          </w:p>
        </w:tc>
      </w:tr>
      <w:tr w14:paraId="723FE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6A8F1016">
            <w:pPr>
              <w:pageBreakBefore w:val="0"/>
              <w:widowControl w:val="0"/>
              <w:kinsoku/>
              <w:wordWrap/>
              <w:overflowPunct/>
              <w:topLinePunct w:val="0"/>
              <w:autoSpaceDE/>
              <w:autoSpaceDN/>
              <w:bidi w:val="0"/>
              <w:adjustRightInd/>
              <w:snapToGrid w:val="0"/>
              <w:spacing w:line="240" w:lineRule="auto"/>
              <w:ind w:left="0" w:firstLine="0" w:firstLineChars="0"/>
              <w:jc w:val="both"/>
              <w:textAlignment w:val="auto"/>
              <w:rPr>
                <w:rFonts w:hint="eastAsia" w:ascii="仿宋" w:hAnsi="仿宋" w:eastAsia="仿宋" w:cs="仿宋"/>
                <w:color w:val="auto"/>
                <w:sz w:val="21"/>
                <w:szCs w:val="21"/>
                <w:highlight w:val="none"/>
              </w:rPr>
            </w:pPr>
          </w:p>
        </w:tc>
        <w:tc>
          <w:tcPr>
            <w:tcW w:w="1719" w:type="dxa"/>
            <w:noWrap w:val="0"/>
            <w:vAlign w:val="center"/>
          </w:tcPr>
          <w:p w14:paraId="07100A4C">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rPr>
              <w:t>安防系统</w:t>
            </w:r>
          </w:p>
        </w:tc>
        <w:tc>
          <w:tcPr>
            <w:tcW w:w="4196" w:type="dxa"/>
            <w:noWrap w:val="0"/>
            <w:vAlign w:val="center"/>
          </w:tcPr>
          <w:p w14:paraId="0B5FABE0">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视频监控、入侵报警、出入口控制</w:t>
            </w:r>
          </w:p>
          <w:p w14:paraId="5CC1929D">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视频摄像头142个，已过质保期;硬盘录像机1、交换机1、人脸机5，在质保期内</w:t>
            </w:r>
          </w:p>
        </w:tc>
        <w:tc>
          <w:tcPr>
            <w:tcW w:w="2291" w:type="dxa"/>
            <w:noWrap w:val="0"/>
            <w:vAlign w:val="center"/>
          </w:tcPr>
          <w:p w14:paraId="6CB71194">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见“3.6保安服务”“3.3公用设施设备维护服务”</w:t>
            </w:r>
          </w:p>
        </w:tc>
      </w:tr>
      <w:tr w14:paraId="0CCD0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703FF0F1">
            <w:pPr>
              <w:pageBreakBefore w:val="0"/>
              <w:widowControl w:val="0"/>
              <w:kinsoku/>
              <w:wordWrap/>
              <w:overflowPunct/>
              <w:topLinePunct w:val="0"/>
              <w:autoSpaceDE/>
              <w:autoSpaceDN/>
              <w:bidi w:val="0"/>
              <w:adjustRightInd/>
              <w:snapToGrid w:val="0"/>
              <w:spacing w:line="240" w:lineRule="auto"/>
              <w:ind w:left="0" w:firstLine="0" w:firstLineChars="0"/>
              <w:jc w:val="both"/>
              <w:textAlignment w:val="auto"/>
              <w:rPr>
                <w:rFonts w:hint="eastAsia" w:ascii="仿宋" w:hAnsi="仿宋" w:eastAsia="仿宋" w:cs="仿宋"/>
                <w:color w:val="auto"/>
                <w:sz w:val="21"/>
                <w:szCs w:val="21"/>
                <w:highlight w:val="none"/>
              </w:rPr>
            </w:pPr>
          </w:p>
        </w:tc>
        <w:tc>
          <w:tcPr>
            <w:tcW w:w="1719" w:type="dxa"/>
            <w:noWrap w:val="0"/>
            <w:vAlign w:val="center"/>
          </w:tcPr>
          <w:p w14:paraId="7728378A">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rPr>
              <w:t>照明系统</w:t>
            </w:r>
          </w:p>
        </w:tc>
        <w:tc>
          <w:tcPr>
            <w:tcW w:w="4196" w:type="dxa"/>
            <w:noWrap w:val="0"/>
            <w:vAlign w:val="center"/>
          </w:tcPr>
          <w:p w14:paraId="7E1B17D0">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配电部分、控制部分、光源灯具、备用电源</w:t>
            </w:r>
          </w:p>
          <w:p w14:paraId="2FC088F4">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应急照明182个，楼梯吸顶灯77个，普通照明1120个，已过质保期</w:t>
            </w:r>
          </w:p>
          <w:p w14:paraId="6D6B9BA6">
            <w:pPr>
              <w:keepNext/>
              <w:keepLines/>
              <w:pageBreakBefore w:val="0"/>
              <w:widowControl w:val="0"/>
              <w:kinsoku/>
              <w:wordWrap/>
              <w:overflowPunct/>
              <w:topLinePunct w:val="0"/>
              <w:autoSpaceDE/>
              <w:autoSpaceDN/>
              <w:bidi w:val="0"/>
              <w:adjustRightInd/>
              <w:snapToGrid w:val="0"/>
              <w:spacing w:line="240" w:lineRule="auto"/>
              <w:ind w:firstLine="422" w:firstLineChars="200"/>
              <w:jc w:val="both"/>
              <w:textAlignment w:val="auto"/>
              <w:outlineLvl w:val="1"/>
              <w:rPr>
                <w:rFonts w:hint="eastAsia" w:ascii="仿宋" w:hAnsi="仿宋" w:eastAsia="仿宋" w:cs="仿宋"/>
                <w:b/>
                <w:bCs/>
                <w:kern w:val="2"/>
                <w:sz w:val="21"/>
                <w:szCs w:val="21"/>
                <w:lang w:val="en-US" w:eastAsia="zh-CN" w:bidi="ar-SA"/>
              </w:rPr>
            </w:pPr>
          </w:p>
        </w:tc>
        <w:tc>
          <w:tcPr>
            <w:tcW w:w="2291" w:type="dxa"/>
            <w:noWrap w:val="0"/>
            <w:vAlign w:val="center"/>
          </w:tcPr>
          <w:p w14:paraId="59B6111A">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见“3.6保安服务”“3.3公用设施设备维护服务”</w:t>
            </w:r>
          </w:p>
        </w:tc>
      </w:tr>
      <w:tr w14:paraId="1CE59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90" w:type="dxa"/>
            <w:vMerge w:val="continue"/>
            <w:noWrap w:val="0"/>
            <w:vAlign w:val="center"/>
          </w:tcPr>
          <w:p w14:paraId="05D10B9E">
            <w:pPr>
              <w:pageBreakBefore w:val="0"/>
              <w:widowControl w:val="0"/>
              <w:kinsoku/>
              <w:wordWrap/>
              <w:overflowPunct/>
              <w:topLinePunct w:val="0"/>
              <w:autoSpaceDE/>
              <w:autoSpaceDN/>
              <w:bidi w:val="0"/>
              <w:adjustRightInd/>
              <w:snapToGrid w:val="0"/>
              <w:spacing w:line="240" w:lineRule="auto"/>
              <w:ind w:left="0" w:firstLine="0" w:firstLineChars="0"/>
              <w:jc w:val="both"/>
              <w:textAlignment w:val="auto"/>
              <w:rPr>
                <w:rFonts w:hint="eastAsia" w:ascii="仿宋" w:hAnsi="仿宋" w:eastAsia="仿宋" w:cs="仿宋"/>
                <w:color w:val="auto"/>
                <w:sz w:val="21"/>
                <w:szCs w:val="21"/>
                <w:highlight w:val="none"/>
              </w:rPr>
            </w:pPr>
          </w:p>
        </w:tc>
        <w:tc>
          <w:tcPr>
            <w:tcW w:w="1719" w:type="dxa"/>
            <w:noWrap w:val="0"/>
            <w:vAlign w:val="center"/>
          </w:tcPr>
          <w:p w14:paraId="67179B44">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供配电系统</w:t>
            </w:r>
          </w:p>
        </w:tc>
        <w:tc>
          <w:tcPr>
            <w:tcW w:w="4196" w:type="dxa"/>
            <w:noWrap w:val="0"/>
            <w:vAlign w:val="center"/>
          </w:tcPr>
          <w:p w14:paraId="680FF488">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高压柜6台（功率10KV）、低压柜16台，变压器2台，功率1100千瓦、1台箱式变压器，功率800千瓦</w:t>
            </w:r>
          </w:p>
        </w:tc>
        <w:tc>
          <w:tcPr>
            <w:tcW w:w="2291" w:type="dxa"/>
            <w:noWrap w:val="0"/>
            <w:vAlign w:val="center"/>
          </w:tcPr>
          <w:p w14:paraId="03D387B9">
            <w:pPr>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见“3.3公用设施设备维护服务”</w:t>
            </w:r>
          </w:p>
        </w:tc>
      </w:tr>
    </w:tbl>
    <w:p w14:paraId="08DC490F">
      <w:pPr>
        <w:pageBreakBefore w:val="0"/>
        <w:widowControl/>
        <w:kinsoku/>
        <w:wordWrap/>
        <w:overflowPunct/>
        <w:topLinePunct w:val="0"/>
        <w:autoSpaceDE w:val="0"/>
        <w:autoSpaceDN w:val="0"/>
        <w:bidi w:val="0"/>
        <w:adjustRightInd/>
        <w:snapToGrid w:val="0"/>
        <w:spacing w:line="500" w:lineRule="exact"/>
        <w:ind w:firstLine="562" w:firstLineChars="200"/>
        <w:jc w:val="both"/>
        <w:textAlignment w:val="auto"/>
        <w:outlineLvl w:val="2"/>
        <w:rPr>
          <w:rFonts w:hint="eastAsia"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（2）物业管理（室外）</w:t>
      </w:r>
    </w:p>
    <w:tbl>
      <w:tblPr>
        <w:tblStyle w:val="4"/>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2"/>
        <w:gridCol w:w="3279"/>
        <w:gridCol w:w="3862"/>
      </w:tblGrid>
      <w:tr w14:paraId="2DBE2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79" w:type="dxa"/>
            <w:noWrap w:val="0"/>
            <w:vAlign w:val="center"/>
          </w:tcPr>
          <w:p w14:paraId="4CE0A25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sz w:val="21"/>
                <w:szCs w:val="21"/>
                <w:highlight w:val="none"/>
                <w:lang w:val="en-US" w:eastAsia="zh-CN"/>
              </w:rPr>
              <w:t>名称</w:t>
            </w:r>
          </w:p>
        </w:tc>
        <w:tc>
          <w:tcPr>
            <w:tcW w:w="3646" w:type="dxa"/>
            <w:noWrap w:val="0"/>
            <w:vAlign w:val="center"/>
          </w:tcPr>
          <w:p w14:paraId="40989FC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sz w:val="21"/>
                <w:szCs w:val="21"/>
                <w:highlight w:val="none"/>
              </w:rPr>
              <w:t>明细</w:t>
            </w:r>
          </w:p>
        </w:tc>
        <w:tc>
          <w:tcPr>
            <w:tcW w:w="4268" w:type="dxa"/>
            <w:noWrap w:val="0"/>
            <w:vAlign w:val="center"/>
          </w:tcPr>
          <w:p w14:paraId="1DA0D2B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服务内容及标准</w:t>
            </w:r>
          </w:p>
        </w:tc>
      </w:tr>
      <w:tr w14:paraId="48AE8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79" w:type="dxa"/>
            <w:noWrap w:val="0"/>
            <w:vAlign w:val="center"/>
          </w:tcPr>
          <w:p w14:paraId="434BA885">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室外面积</w:t>
            </w:r>
          </w:p>
        </w:tc>
        <w:tc>
          <w:tcPr>
            <w:tcW w:w="3646" w:type="dxa"/>
            <w:noWrap w:val="0"/>
            <w:vAlign w:val="center"/>
          </w:tcPr>
          <w:p w14:paraId="1A9F9696">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lang w:val="en-US" w:eastAsia="zh-CN"/>
              </w:rPr>
              <w:t>室外面积33000平方米</w:t>
            </w:r>
          </w:p>
        </w:tc>
        <w:tc>
          <w:tcPr>
            <w:tcW w:w="4268" w:type="dxa"/>
            <w:noWrap w:val="0"/>
            <w:vAlign w:val="center"/>
          </w:tcPr>
          <w:p w14:paraId="34B7C44D">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“3.6保安服务”</w:t>
            </w:r>
          </w:p>
        </w:tc>
      </w:tr>
      <w:tr w14:paraId="04970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79" w:type="dxa"/>
            <w:noWrap w:val="0"/>
            <w:vAlign w:val="center"/>
          </w:tcPr>
          <w:p w14:paraId="5B49BB35">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rPr>
              <w:t>绿化</w:t>
            </w:r>
          </w:p>
        </w:tc>
        <w:tc>
          <w:tcPr>
            <w:tcW w:w="3646" w:type="dxa"/>
            <w:noWrap w:val="0"/>
            <w:vAlign w:val="center"/>
          </w:tcPr>
          <w:p w14:paraId="2EEB3EBE">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lang w:val="en-US" w:eastAsia="zh-CN"/>
              </w:rPr>
              <w:t>绿化面积12000平方米</w:t>
            </w:r>
          </w:p>
        </w:tc>
        <w:tc>
          <w:tcPr>
            <w:tcW w:w="4268" w:type="dxa"/>
            <w:noWrap w:val="0"/>
            <w:vAlign w:val="center"/>
          </w:tcPr>
          <w:p w14:paraId="5A258396">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见“3.4保洁服务”“3.5绿化服务”</w:t>
            </w:r>
          </w:p>
        </w:tc>
      </w:tr>
      <w:tr w14:paraId="65309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79" w:type="dxa"/>
            <w:noWrap w:val="0"/>
            <w:vAlign w:val="center"/>
          </w:tcPr>
          <w:p w14:paraId="20EE643F">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广场</w:t>
            </w:r>
          </w:p>
        </w:tc>
        <w:tc>
          <w:tcPr>
            <w:tcW w:w="3646" w:type="dxa"/>
            <w:noWrap w:val="0"/>
            <w:vAlign w:val="center"/>
          </w:tcPr>
          <w:p w14:paraId="674AF21F">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lang w:val="en-US" w:eastAsia="zh-CN"/>
              </w:rPr>
              <w:t>1810平方米</w:t>
            </w:r>
          </w:p>
        </w:tc>
        <w:tc>
          <w:tcPr>
            <w:tcW w:w="4268" w:type="dxa"/>
            <w:noWrap w:val="0"/>
            <w:vAlign w:val="center"/>
          </w:tcPr>
          <w:p w14:paraId="36B357F9">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“3.6保安服务”</w:t>
            </w:r>
          </w:p>
        </w:tc>
      </w:tr>
      <w:tr w14:paraId="53217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479" w:type="dxa"/>
            <w:noWrap w:val="0"/>
            <w:vAlign w:val="center"/>
          </w:tcPr>
          <w:p w14:paraId="5533CFD3">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路灯、草坪灯、音箱</w:t>
            </w:r>
          </w:p>
        </w:tc>
        <w:tc>
          <w:tcPr>
            <w:tcW w:w="3646" w:type="dxa"/>
            <w:noWrap w:val="0"/>
            <w:vAlign w:val="center"/>
          </w:tcPr>
          <w:p w14:paraId="6D428690">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lang w:val="en-US" w:eastAsia="zh-CN"/>
              </w:rPr>
              <w:t>路灯16个、草坪灯75个、射灯10个</w:t>
            </w:r>
          </w:p>
        </w:tc>
        <w:tc>
          <w:tcPr>
            <w:tcW w:w="4268" w:type="dxa"/>
            <w:noWrap w:val="0"/>
            <w:vAlign w:val="center"/>
          </w:tcPr>
          <w:p w14:paraId="0F37A5E8">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“3.3公用设施设备维护服务”</w:t>
            </w:r>
          </w:p>
        </w:tc>
      </w:tr>
      <w:tr w14:paraId="30B32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79" w:type="dxa"/>
            <w:noWrap w:val="0"/>
            <w:vAlign w:val="center"/>
          </w:tcPr>
          <w:p w14:paraId="4457B6E5">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消防栓</w:t>
            </w:r>
          </w:p>
        </w:tc>
        <w:tc>
          <w:tcPr>
            <w:tcW w:w="3646" w:type="dxa"/>
            <w:noWrap w:val="0"/>
            <w:vAlign w:val="center"/>
          </w:tcPr>
          <w:p w14:paraId="537C225F">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6个</w:t>
            </w:r>
          </w:p>
        </w:tc>
        <w:tc>
          <w:tcPr>
            <w:tcW w:w="4268" w:type="dxa"/>
            <w:noWrap w:val="0"/>
            <w:vAlign w:val="center"/>
          </w:tcPr>
          <w:p w14:paraId="5419B57F">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“3.3公用设施设备维护服务”</w:t>
            </w:r>
          </w:p>
        </w:tc>
      </w:tr>
      <w:tr w14:paraId="1C5F5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79" w:type="dxa"/>
            <w:noWrap w:val="0"/>
            <w:vAlign w:val="center"/>
          </w:tcPr>
          <w:p w14:paraId="4C387434">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垃圾箱</w:t>
            </w:r>
          </w:p>
        </w:tc>
        <w:tc>
          <w:tcPr>
            <w:tcW w:w="3646" w:type="dxa"/>
            <w:noWrap w:val="0"/>
            <w:vAlign w:val="center"/>
          </w:tcPr>
          <w:p w14:paraId="7FC8C584">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16个</w:t>
            </w:r>
          </w:p>
        </w:tc>
        <w:tc>
          <w:tcPr>
            <w:tcW w:w="4268" w:type="dxa"/>
            <w:noWrap w:val="0"/>
            <w:vAlign w:val="center"/>
          </w:tcPr>
          <w:p w14:paraId="05AD777B">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p>
        </w:tc>
      </w:tr>
      <w:tr w14:paraId="3EAAA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79" w:type="dxa"/>
            <w:noWrap w:val="0"/>
            <w:vAlign w:val="center"/>
          </w:tcPr>
          <w:p w14:paraId="4179D483">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室外配电箱</w:t>
            </w:r>
          </w:p>
        </w:tc>
        <w:tc>
          <w:tcPr>
            <w:tcW w:w="3646" w:type="dxa"/>
            <w:noWrap w:val="0"/>
            <w:vAlign w:val="center"/>
          </w:tcPr>
          <w:p w14:paraId="6D8D225C">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lang w:val="en-US" w:eastAsia="zh-CN"/>
              </w:rPr>
              <w:t>室外配电箱8个</w:t>
            </w:r>
          </w:p>
        </w:tc>
        <w:tc>
          <w:tcPr>
            <w:tcW w:w="4268" w:type="dxa"/>
            <w:noWrap w:val="0"/>
            <w:vAlign w:val="center"/>
          </w:tcPr>
          <w:p w14:paraId="09046CAC">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“3.3公用设施设备维护服务”</w:t>
            </w:r>
          </w:p>
        </w:tc>
      </w:tr>
      <w:tr w14:paraId="1D5E6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79" w:type="dxa"/>
            <w:noWrap w:val="0"/>
            <w:vAlign w:val="center"/>
          </w:tcPr>
          <w:p w14:paraId="110C1EBF">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门前三包</w:t>
            </w:r>
          </w:p>
        </w:tc>
        <w:tc>
          <w:tcPr>
            <w:tcW w:w="3646" w:type="dxa"/>
            <w:noWrap w:val="0"/>
            <w:vAlign w:val="center"/>
          </w:tcPr>
          <w:p w14:paraId="139F30B4">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lang w:val="en-US" w:eastAsia="zh-CN"/>
              </w:rPr>
              <w:t>1400平方米</w:t>
            </w:r>
          </w:p>
        </w:tc>
        <w:tc>
          <w:tcPr>
            <w:tcW w:w="4268" w:type="dxa"/>
            <w:noWrap w:val="0"/>
            <w:vAlign w:val="center"/>
          </w:tcPr>
          <w:p w14:paraId="3B83A40D">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p>
        </w:tc>
      </w:tr>
      <w:tr w14:paraId="495B7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79" w:type="dxa"/>
            <w:noWrap w:val="0"/>
            <w:vAlign w:val="center"/>
          </w:tcPr>
          <w:p w14:paraId="416927E5">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露台</w:t>
            </w:r>
          </w:p>
        </w:tc>
        <w:tc>
          <w:tcPr>
            <w:tcW w:w="3646" w:type="dxa"/>
            <w:noWrap w:val="0"/>
            <w:vAlign w:val="center"/>
          </w:tcPr>
          <w:p w14:paraId="0D0EAC88">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lang w:val="en-US" w:eastAsia="zh-CN"/>
              </w:rPr>
              <w:t>3800平方米</w:t>
            </w:r>
          </w:p>
        </w:tc>
        <w:tc>
          <w:tcPr>
            <w:tcW w:w="4268" w:type="dxa"/>
            <w:noWrap w:val="0"/>
            <w:vAlign w:val="center"/>
          </w:tcPr>
          <w:p w14:paraId="5A21F479">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见“3.2房屋维护服务”“3.4保洁服务”</w:t>
            </w:r>
          </w:p>
        </w:tc>
      </w:tr>
      <w:tr w14:paraId="76D01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79" w:type="dxa"/>
            <w:noWrap w:val="0"/>
            <w:vAlign w:val="center"/>
          </w:tcPr>
          <w:p w14:paraId="2E49E39B">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监控</w:t>
            </w:r>
          </w:p>
        </w:tc>
        <w:tc>
          <w:tcPr>
            <w:tcW w:w="3646" w:type="dxa"/>
            <w:noWrap w:val="0"/>
            <w:vAlign w:val="center"/>
          </w:tcPr>
          <w:p w14:paraId="11594FC4">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lang w:val="en-US" w:eastAsia="zh-CN"/>
              </w:rPr>
              <w:t>6个球机，13个普通监控</w:t>
            </w:r>
          </w:p>
        </w:tc>
        <w:tc>
          <w:tcPr>
            <w:tcW w:w="4268" w:type="dxa"/>
            <w:noWrap w:val="0"/>
            <w:vAlign w:val="center"/>
          </w:tcPr>
          <w:p w14:paraId="5EB76356">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“3.3公用设施设备维护服务”</w:t>
            </w:r>
          </w:p>
        </w:tc>
      </w:tr>
      <w:tr w14:paraId="5CD99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79" w:type="dxa"/>
            <w:noWrap w:val="0"/>
            <w:vAlign w:val="center"/>
          </w:tcPr>
          <w:p w14:paraId="6146FDDF">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指示牌、显示屏</w:t>
            </w:r>
          </w:p>
        </w:tc>
        <w:tc>
          <w:tcPr>
            <w:tcW w:w="3646" w:type="dxa"/>
            <w:noWrap w:val="0"/>
            <w:vAlign w:val="center"/>
          </w:tcPr>
          <w:p w14:paraId="06EB037F">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6个</w:t>
            </w:r>
          </w:p>
        </w:tc>
        <w:tc>
          <w:tcPr>
            <w:tcW w:w="4268" w:type="dxa"/>
            <w:noWrap w:val="0"/>
            <w:vAlign w:val="center"/>
          </w:tcPr>
          <w:p w14:paraId="6F3BF8D7">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“3.3公用设施设备维护服务”</w:t>
            </w:r>
          </w:p>
        </w:tc>
      </w:tr>
      <w:tr w14:paraId="78577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79" w:type="dxa"/>
            <w:noWrap w:val="0"/>
            <w:vAlign w:val="center"/>
          </w:tcPr>
          <w:p w14:paraId="78540FA8">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highlight w:val="none"/>
                <w:vertAlign w:val="baseline"/>
                <w:lang w:val="en-US" w:eastAsia="zh-CN"/>
              </w:rPr>
              <w:t>室外卫生间保洁面积</w:t>
            </w:r>
          </w:p>
        </w:tc>
        <w:tc>
          <w:tcPr>
            <w:tcW w:w="3646" w:type="dxa"/>
            <w:noWrap w:val="0"/>
            <w:vAlign w:val="center"/>
          </w:tcPr>
          <w:p w14:paraId="75932286">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610平方米</w:t>
            </w:r>
          </w:p>
        </w:tc>
        <w:tc>
          <w:tcPr>
            <w:tcW w:w="4268" w:type="dxa"/>
            <w:noWrap w:val="0"/>
            <w:vAlign w:val="center"/>
          </w:tcPr>
          <w:p w14:paraId="482AFD6E">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“3.3公用设施设备维护服务”</w:t>
            </w:r>
          </w:p>
        </w:tc>
      </w:tr>
      <w:tr w14:paraId="43C79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79" w:type="dxa"/>
            <w:noWrap w:val="0"/>
            <w:vAlign w:val="center"/>
          </w:tcPr>
          <w:p w14:paraId="5A6EEAFD">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停车场车面积和车位数</w:t>
            </w:r>
          </w:p>
        </w:tc>
        <w:tc>
          <w:tcPr>
            <w:tcW w:w="3646" w:type="dxa"/>
            <w:noWrap w:val="0"/>
            <w:vAlign w:val="center"/>
          </w:tcPr>
          <w:p w14:paraId="37116AE4">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面积8120平方米，160个小车位，7个大车位，10个充电桩车位</w:t>
            </w:r>
          </w:p>
        </w:tc>
        <w:tc>
          <w:tcPr>
            <w:tcW w:w="4268" w:type="dxa"/>
            <w:noWrap w:val="0"/>
            <w:vAlign w:val="center"/>
          </w:tcPr>
          <w:p w14:paraId="1A4E34AD">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见“3.4保洁服务”</w:t>
            </w:r>
            <w:r>
              <w:rPr>
                <w:rFonts w:hint="eastAsia" w:ascii="仿宋" w:hAnsi="仿宋" w:eastAsia="仿宋" w:cs="仿宋"/>
                <w:color w:val="auto"/>
                <w:sz w:val="21"/>
                <w:szCs w:val="21"/>
                <w:highlight w:val="none"/>
                <w:lang w:val="en-US" w:eastAsia="zh-CN"/>
              </w:rPr>
              <w:t>“3.3公用设施设备维护服务”</w:t>
            </w:r>
          </w:p>
        </w:tc>
      </w:tr>
    </w:tbl>
    <w:p w14:paraId="65F0CD92">
      <w:pPr>
        <w:keepNext/>
        <w:keepLines/>
        <w:pageBreakBefore w:val="0"/>
        <w:widowControl w:val="0"/>
        <w:kinsoku/>
        <w:wordWrap/>
        <w:overflowPunct/>
        <w:topLinePunct w:val="0"/>
        <w:bidi w:val="0"/>
        <w:adjustRightInd/>
        <w:snapToGrid w:val="0"/>
        <w:spacing w:line="500" w:lineRule="exact"/>
        <w:ind w:firstLine="562" w:firstLineChars="200"/>
        <w:jc w:val="both"/>
        <w:textAlignment w:val="auto"/>
        <w:outlineLvl w:val="1"/>
        <w:rPr>
          <w:rFonts w:hint="eastAsia" w:ascii="仿宋" w:hAnsi="仿宋" w:eastAsia="仿宋" w:cs="仿宋"/>
          <w:b/>
          <w:bCs/>
          <w:kern w:val="2"/>
          <w:sz w:val="28"/>
          <w:szCs w:val="28"/>
          <w:highlight w:val="none"/>
          <w:lang w:val="en-US" w:eastAsia="zh-CN" w:bidi="ar-SA"/>
        </w:rPr>
      </w:pPr>
      <w:r>
        <w:rPr>
          <w:rFonts w:hint="eastAsia" w:ascii="仿宋" w:hAnsi="仿宋" w:eastAsia="仿宋" w:cs="仿宋"/>
          <w:b/>
          <w:bCs/>
          <w:kern w:val="2"/>
          <w:sz w:val="28"/>
          <w:szCs w:val="28"/>
          <w:highlight w:val="none"/>
          <w:lang w:val="en-US" w:eastAsia="zh-CN" w:bidi="ar-SA"/>
        </w:rPr>
        <w:t>3.物业管理服务内容及标准</w:t>
      </w:r>
    </w:p>
    <w:p w14:paraId="31448DA4">
      <w:pPr>
        <w:pageBreakBefore w:val="0"/>
        <w:widowControl w:val="0"/>
        <w:kinsoku/>
        <w:wordWrap/>
        <w:overflowPunct/>
        <w:topLinePunct w:val="0"/>
        <w:bidi w:val="0"/>
        <w:adjustRightInd/>
        <w:snapToGrid w:val="0"/>
        <w:spacing w:line="500" w:lineRule="exact"/>
        <w:ind w:firstLine="560" w:firstLineChars="200"/>
        <w:textAlignment w:val="auto"/>
        <w:outlineLvl w:val="9"/>
        <w:rPr>
          <w:rFonts w:hint="eastAsia"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物业管理服务包括基本服务、房屋维护服务、公用设施设备维护服务、保洁服务、绿化服务、保安服务、会议服务等。</w:t>
      </w:r>
    </w:p>
    <w:bookmarkEnd w:id="1"/>
    <w:bookmarkEnd w:id="2"/>
    <w:p w14:paraId="30E06EF0">
      <w:pPr>
        <w:pageBreakBefore w:val="0"/>
        <w:widowControl/>
        <w:kinsoku/>
        <w:wordWrap/>
        <w:overflowPunct/>
        <w:topLinePunct w:val="0"/>
        <w:autoSpaceDE w:val="0"/>
        <w:autoSpaceDN w:val="0"/>
        <w:bidi w:val="0"/>
        <w:adjustRightInd/>
        <w:snapToGrid w:val="0"/>
        <w:spacing w:line="500" w:lineRule="exact"/>
        <w:ind w:firstLine="562" w:firstLineChars="200"/>
        <w:jc w:val="both"/>
        <w:textAlignment w:val="auto"/>
        <w:outlineLvl w:val="2"/>
        <w:rPr>
          <w:rFonts w:hint="eastAsia" w:ascii="仿宋" w:hAnsi="仿宋" w:eastAsia="仿宋" w:cs="仿宋"/>
          <w:b/>
          <w:kern w:val="2"/>
          <w:sz w:val="28"/>
          <w:szCs w:val="28"/>
          <w:highlight w:val="none"/>
          <w:lang w:val="en-US" w:eastAsia="zh-CN" w:bidi="ar"/>
        </w:rPr>
      </w:pPr>
      <w:bookmarkStart w:id="3" w:name="_Toc10498"/>
      <w:bookmarkStart w:id="4" w:name="_Toc26156"/>
      <w:bookmarkStart w:id="5" w:name="_Toc26485"/>
      <w:r>
        <w:rPr>
          <w:rFonts w:hint="eastAsia" w:ascii="仿宋" w:hAnsi="仿宋" w:eastAsia="仿宋" w:cs="仿宋"/>
          <w:b/>
          <w:kern w:val="2"/>
          <w:sz w:val="28"/>
          <w:szCs w:val="28"/>
          <w:highlight w:val="none"/>
          <w:lang w:val="en-US" w:eastAsia="zh-CN" w:bidi="ar-SA"/>
        </w:rPr>
        <w:t>3.</w:t>
      </w:r>
      <w:bookmarkEnd w:id="3"/>
      <w:bookmarkEnd w:id="4"/>
      <w:bookmarkEnd w:id="5"/>
      <w:r>
        <w:rPr>
          <w:rFonts w:hint="eastAsia" w:ascii="仿宋" w:hAnsi="仿宋" w:eastAsia="仿宋" w:cs="仿宋"/>
          <w:b/>
          <w:kern w:val="2"/>
          <w:sz w:val="28"/>
          <w:szCs w:val="28"/>
          <w:highlight w:val="none"/>
          <w:lang w:val="en-US" w:eastAsia="zh-CN" w:bidi="ar"/>
        </w:rPr>
        <w:t>1基本服务</w:t>
      </w:r>
    </w:p>
    <w:tbl>
      <w:tblPr>
        <w:tblStyle w:val="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930"/>
        <w:gridCol w:w="5862"/>
      </w:tblGrid>
      <w:tr w14:paraId="705CC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noWrap w:val="0"/>
            <w:vAlign w:val="center"/>
          </w:tcPr>
          <w:p w14:paraId="2EDA722E">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序号</w:t>
            </w:r>
          </w:p>
        </w:tc>
        <w:tc>
          <w:tcPr>
            <w:tcW w:w="2129" w:type="dxa"/>
            <w:noWrap w:val="0"/>
            <w:vAlign w:val="center"/>
          </w:tcPr>
          <w:p w14:paraId="64C224F7">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服务内容</w:t>
            </w:r>
          </w:p>
        </w:tc>
        <w:tc>
          <w:tcPr>
            <w:tcW w:w="6467" w:type="dxa"/>
            <w:noWrap w:val="0"/>
            <w:vAlign w:val="center"/>
          </w:tcPr>
          <w:p w14:paraId="2C0412F9">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服务标准</w:t>
            </w:r>
          </w:p>
        </w:tc>
      </w:tr>
      <w:tr w14:paraId="1FD9E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noWrap w:val="0"/>
            <w:vAlign w:val="center"/>
          </w:tcPr>
          <w:p w14:paraId="6F21D24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2129" w:type="dxa"/>
            <w:noWrap w:val="0"/>
            <w:vAlign w:val="center"/>
          </w:tcPr>
          <w:p w14:paraId="4293C0D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目标与责任</w:t>
            </w:r>
          </w:p>
        </w:tc>
        <w:tc>
          <w:tcPr>
            <w:tcW w:w="6467" w:type="dxa"/>
            <w:noWrap w:val="0"/>
            <w:vAlign w:val="center"/>
          </w:tcPr>
          <w:p w14:paraId="3E5D230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（1）结合采购人要求及物业服务实际情况，制定年度管理目标，明确责任分工，并制定配套实施方案。</w:t>
            </w:r>
          </w:p>
        </w:tc>
      </w:tr>
      <w:tr w14:paraId="6E37C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46D818B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2129" w:type="dxa"/>
            <w:vMerge w:val="restart"/>
            <w:noWrap w:val="0"/>
            <w:vAlign w:val="center"/>
          </w:tcPr>
          <w:p w14:paraId="54DC03C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服务人员要求</w:t>
            </w:r>
          </w:p>
        </w:tc>
        <w:tc>
          <w:tcPr>
            <w:tcW w:w="6467" w:type="dxa"/>
            <w:noWrap w:val="0"/>
            <w:vAlign w:val="center"/>
          </w:tcPr>
          <w:p w14:paraId="3FBFF16B">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（1）每季度至少开展1次岗位技能、职业素质、服务知识、客户文化、绿色节能环保等教育培训，并进行适当形式的考核。</w:t>
            </w:r>
          </w:p>
        </w:tc>
      </w:tr>
      <w:tr w14:paraId="36DAE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1EB79FA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1310CB3A">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p>
        </w:tc>
        <w:tc>
          <w:tcPr>
            <w:tcW w:w="6467" w:type="dxa"/>
            <w:noWrap w:val="0"/>
            <w:vAlign w:val="center"/>
          </w:tcPr>
          <w:p w14:paraId="06C3FD50">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（2）根据采购人要求对服务人员进行从业资格审查，审查结果向采购人报备。</w:t>
            </w:r>
          </w:p>
        </w:tc>
      </w:tr>
      <w:tr w14:paraId="5E6C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33C37C8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45E83163">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p>
        </w:tc>
        <w:tc>
          <w:tcPr>
            <w:tcW w:w="6467" w:type="dxa"/>
            <w:noWrap w:val="0"/>
            <w:vAlign w:val="center"/>
          </w:tcPr>
          <w:p w14:paraId="1AF79229">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r>
              <w:rPr>
                <w:rFonts w:hint="eastAsia" w:ascii="仿宋" w:hAnsi="仿宋" w:eastAsia="仿宋" w:cs="仿宋"/>
                <w:bCs/>
                <w:color w:val="auto"/>
                <w:sz w:val="21"/>
                <w:szCs w:val="21"/>
                <w:highlight w:val="none"/>
                <w:lang w:val="en-US" w:eastAsia="zh-CN"/>
              </w:rPr>
              <w:t>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41D1F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1038E5F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0BAFC432">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p>
        </w:tc>
        <w:tc>
          <w:tcPr>
            <w:tcW w:w="6467" w:type="dxa"/>
            <w:noWrap w:val="0"/>
            <w:vAlign w:val="center"/>
          </w:tcPr>
          <w:p w14:paraId="66921C89">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r>
              <w:rPr>
                <w:rFonts w:hint="eastAsia" w:ascii="仿宋" w:hAnsi="仿宋" w:eastAsia="仿宋" w:cs="仿宋"/>
                <w:bCs/>
                <w:color w:val="auto"/>
                <w:sz w:val="21"/>
                <w:szCs w:val="21"/>
                <w:highlight w:val="none"/>
                <w:lang w:val="en-US" w:eastAsia="zh-CN"/>
              </w:rPr>
              <w:t>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p>
        </w:tc>
      </w:tr>
      <w:tr w14:paraId="156BE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193071D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3AAE02E1">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p>
        </w:tc>
        <w:tc>
          <w:tcPr>
            <w:tcW w:w="6467" w:type="dxa"/>
            <w:noWrap w:val="0"/>
            <w:vAlign w:val="center"/>
          </w:tcPr>
          <w:p w14:paraId="063212C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（5）着装分类统一，佩戴标识。仪容整洁、姿态端正、举止文明。用语文明礼貌，态度温和耐心。</w:t>
            </w:r>
          </w:p>
        </w:tc>
      </w:tr>
      <w:tr w14:paraId="50BF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2F7F0F2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2129" w:type="dxa"/>
            <w:vMerge w:val="restart"/>
            <w:noWrap w:val="0"/>
            <w:vAlign w:val="center"/>
          </w:tcPr>
          <w:p w14:paraId="592794C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保密和思想政治教育</w:t>
            </w:r>
          </w:p>
        </w:tc>
        <w:tc>
          <w:tcPr>
            <w:tcW w:w="6467" w:type="dxa"/>
            <w:noWrap w:val="0"/>
            <w:vAlign w:val="center"/>
          </w:tcPr>
          <w:p w14:paraId="4342ED27">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（1）建立保密管理制度。制度内容应当包括但不限于：①明确重点要害岗位保密职责。②对涉密工作岗位的保密要求。</w:t>
            </w:r>
          </w:p>
        </w:tc>
      </w:tr>
      <w:tr w14:paraId="01606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74269C2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55C8872A">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p>
        </w:tc>
        <w:tc>
          <w:tcPr>
            <w:tcW w:w="6467" w:type="dxa"/>
            <w:noWrap w:val="0"/>
            <w:vAlign w:val="center"/>
          </w:tcPr>
          <w:p w14:paraId="4E8AD5CD">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（2）根据采购人要求与涉密工作岗位的服务人员签订保密协议。保密协议应当向采购人报备。</w:t>
            </w:r>
          </w:p>
        </w:tc>
      </w:tr>
      <w:tr w14:paraId="61537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457674B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3B77C5EE">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p>
        </w:tc>
        <w:tc>
          <w:tcPr>
            <w:tcW w:w="6467" w:type="dxa"/>
            <w:noWrap w:val="0"/>
            <w:vAlign w:val="center"/>
          </w:tcPr>
          <w:p w14:paraId="159A87AF">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14:paraId="29F26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0CD9C6E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14157860">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仿宋" w:hAnsi="仿宋" w:eastAsia="仿宋" w:cs="仿宋"/>
                <w:sz w:val="21"/>
                <w:szCs w:val="21"/>
                <w:highlight w:val="none"/>
                <w:lang w:val="en-US" w:eastAsia="zh-CN"/>
              </w:rPr>
            </w:pPr>
          </w:p>
        </w:tc>
        <w:tc>
          <w:tcPr>
            <w:tcW w:w="6467" w:type="dxa"/>
            <w:noWrap w:val="0"/>
            <w:vAlign w:val="center"/>
          </w:tcPr>
          <w:p w14:paraId="3CD75CC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（4）发现服务人员违法违规或重大过失，及时报告采购人，并采取必要补救措施。</w:t>
            </w:r>
          </w:p>
        </w:tc>
      </w:tr>
      <w:tr w14:paraId="25FD4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623011E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p>
        </w:tc>
        <w:tc>
          <w:tcPr>
            <w:tcW w:w="2129" w:type="dxa"/>
            <w:vMerge w:val="restart"/>
            <w:noWrap w:val="0"/>
            <w:vAlign w:val="center"/>
          </w:tcPr>
          <w:p w14:paraId="6C805F9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档案管理</w:t>
            </w:r>
          </w:p>
        </w:tc>
        <w:tc>
          <w:tcPr>
            <w:tcW w:w="6467" w:type="dxa"/>
            <w:noWrap w:val="0"/>
            <w:vAlign w:val="center"/>
          </w:tcPr>
          <w:p w14:paraId="5FFB825D">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（1）建立物业信息，准确、及时地对文件资料和服务记录进行归档保存，并确保其物理安全。</w:t>
            </w:r>
          </w:p>
        </w:tc>
      </w:tr>
      <w:tr w14:paraId="1EE15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44F51644">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7E119919">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7" w:type="dxa"/>
            <w:noWrap w:val="0"/>
            <w:vAlign w:val="center"/>
          </w:tcPr>
          <w:p w14:paraId="5A88DF8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w:t>
            </w:r>
            <w:r>
              <w:rPr>
                <w:rFonts w:hint="eastAsia" w:ascii="仿宋" w:hAnsi="仿宋" w:eastAsia="仿宋" w:cs="仿宋"/>
                <w:color w:val="auto"/>
                <w:kern w:val="0"/>
                <w:sz w:val="21"/>
                <w:szCs w:val="21"/>
                <w:highlight w:val="none"/>
              </w:rPr>
              <w:t>设施设备安全运行、设施设备定期巡检、维护保养、维修档案</w:t>
            </w:r>
            <w:r>
              <w:rPr>
                <w:rFonts w:hint="eastAsia" w:ascii="仿宋" w:hAnsi="仿宋" w:eastAsia="仿宋" w:cs="仿宋"/>
                <w:b w:val="0"/>
                <w:bCs w:val="0"/>
                <w:color w:val="auto"/>
                <w:kern w:val="0"/>
                <w:sz w:val="21"/>
                <w:szCs w:val="21"/>
                <w:highlight w:val="none"/>
                <w:lang w:val="en-US" w:eastAsia="zh-CN"/>
              </w:rPr>
              <w:t>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p>
        </w:tc>
      </w:tr>
      <w:tr w14:paraId="42D78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45E6788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063350B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textAlignment w:val="auto"/>
              <w:rPr>
                <w:rFonts w:hint="eastAsia" w:ascii="仿宋" w:hAnsi="仿宋" w:eastAsia="仿宋" w:cs="仿宋"/>
                <w:sz w:val="21"/>
                <w:szCs w:val="21"/>
                <w:highlight w:val="none"/>
                <w:lang w:val="en-US" w:eastAsia="zh-CN"/>
              </w:rPr>
            </w:pPr>
          </w:p>
        </w:tc>
        <w:tc>
          <w:tcPr>
            <w:tcW w:w="6467" w:type="dxa"/>
            <w:noWrap w:val="0"/>
            <w:vAlign w:val="center"/>
          </w:tcPr>
          <w:p w14:paraId="47E0BB45">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（3）遵守采购人的信息、档案资料保密要求，未经许可，不得将建筑物平面图等资料转作其他用途或向其他单位、个人提供。</w:t>
            </w:r>
          </w:p>
        </w:tc>
      </w:tr>
      <w:tr w14:paraId="49CAB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176E71F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3D3610B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textAlignment w:val="auto"/>
              <w:rPr>
                <w:rFonts w:hint="eastAsia" w:ascii="仿宋" w:hAnsi="仿宋" w:eastAsia="仿宋" w:cs="仿宋"/>
                <w:sz w:val="21"/>
                <w:szCs w:val="21"/>
                <w:highlight w:val="none"/>
                <w:lang w:val="en-US" w:eastAsia="zh-CN"/>
              </w:rPr>
            </w:pPr>
          </w:p>
        </w:tc>
        <w:tc>
          <w:tcPr>
            <w:tcW w:w="6467" w:type="dxa"/>
            <w:noWrap w:val="0"/>
            <w:vAlign w:val="center"/>
          </w:tcPr>
          <w:p w14:paraId="7D0D213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（4）履约结束后，相关资料交还采购人，采购人按政府采购相关规定存档。</w:t>
            </w:r>
          </w:p>
        </w:tc>
      </w:tr>
      <w:tr w14:paraId="388E0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02C5531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p>
        </w:tc>
        <w:tc>
          <w:tcPr>
            <w:tcW w:w="2129" w:type="dxa"/>
            <w:vMerge w:val="restart"/>
            <w:noWrap w:val="0"/>
            <w:vAlign w:val="center"/>
          </w:tcPr>
          <w:p w14:paraId="543822A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分包供应商管理</w:t>
            </w:r>
          </w:p>
        </w:tc>
        <w:tc>
          <w:tcPr>
            <w:tcW w:w="6467" w:type="dxa"/>
            <w:noWrap w:val="0"/>
            <w:vAlign w:val="center"/>
          </w:tcPr>
          <w:p w14:paraId="25DD88F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（1）合理控制外包服务人员数量和流动率。</w:t>
            </w:r>
          </w:p>
        </w:tc>
      </w:tr>
      <w:tr w14:paraId="70DB7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7E5F12F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29FE800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textAlignment w:val="auto"/>
              <w:rPr>
                <w:rFonts w:hint="eastAsia" w:ascii="仿宋" w:hAnsi="仿宋" w:eastAsia="仿宋" w:cs="仿宋"/>
                <w:sz w:val="21"/>
                <w:szCs w:val="21"/>
                <w:highlight w:val="none"/>
                <w:lang w:val="en-US" w:eastAsia="zh-CN"/>
              </w:rPr>
            </w:pPr>
          </w:p>
        </w:tc>
        <w:tc>
          <w:tcPr>
            <w:tcW w:w="6467" w:type="dxa"/>
            <w:noWrap w:val="0"/>
            <w:vAlign w:val="center"/>
          </w:tcPr>
          <w:p w14:paraId="17104DE8">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（2）根据采购人要求明确对分包供应商的要求，确定工作流程。</w:t>
            </w:r>
          </w:p>
        </w:tc>
      </w:tr>
      <w:tr w14:paraId="14FD2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4984778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1A59462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textAlignment w:val="auto"/>
              <w:rPr>
                <w:rFonts w:hint="eastAsia" w:ascii="仿宋" w:hAnsi="仿宋" w:eastAsia="仿宋" w:cs="仿宋"/>
                <w:sz w:val="21"/>
                <w:szCs w:val="21"/>
                <w:highlight w:val="none"/>
                <w:lang w:val="en-US" w:eastAsia="zh-CN"/>
              </w:rPr>
            </w:pPr>
          </w:p>
        </w:tc>
        <w:tc>
          <w:tcPr>
            <w:tcW w:w="6467" w:type="dxa"/>
            <w:noWrap w:val="0"/>
            <w:vAlign w:val="center"/>
          </w:tcPr>
          <w:p w14:paraId="4959E9D7">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（3）明确安全管理责任和保密责任，签订安全管理责任书和保密责任书。</w:t>
            </w:r>
          </w:p>
        </w:tc>
      </w:tr>
      <w:tr w14:paraId="537B1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5BAC54F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20C1CD4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textAlignment w:val="auto"/>
              <w:rPr>
                <w:rFonts w:hint="eastAsia" w:ascii="仿宋" w:hAnsi="仿宋" w:eastAsia="仿宋" w:cs="仿宋"/>
                <w:sz w:val="21"/>
                <w:szCs w:val="21"/>
                <w:highlight w:val="none"/>
                <w:lang w:val="en-US" w:eastAsia="zh-CN"/>
              </w:rPr>
            </w:pPr>
          </w:p>
        </w:tc>
        <w:tc>
          <w:tcPr>
            <w:tcW w:w="6467" w:type="dxa"/>
            <w:noWrap w:val="0"/>
            <w:vAlign w:val="center"/>
          </w:tcPr>
          <w:p w14:paraId="6B37D77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（4）开展服务检查和监管，评估服务效果，必要时进行服务流程调整。</w:t>
            </w:r>
          </w:p>
        </w:tc>
      </w:tr>
      <w:tr w14:paraId="00252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00B32E2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34EC3A4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textAlignment w:val="auto"/>
              <w:rPr>
                <w:rFonts w:hint="eastAsia" w:ascii="仿宋" w:hAnsi="仿宋" w:eastAsia="仿宋" w:cs="仿宋"/>
                <w:sz w:val="21"/>
                <w:szCs w:val="21"/>
                <w:highlight w:val="none"/>
                <w:lang w:val="en-US" w:eastAsia="zh-CN"/>
              </w:rPr>
            </w:pPr>
          </w:p>
        </w:tc>
        <w:tc>
          <w:tcPr>
            <w:tcW w:w="6467" w:type="dxa"/>
            <w:noWrap w:val="0"/>
            <w:vAlign w:val="center"/>
          </w:tcPr>
          <w:p w14:paraId="1E47EDB2">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（5）根据工作反馈意见与建议，持续提升服务品质。</w:t>
            </w:r>
          </w:p>
        </w:tc>
      </w:tr>
      <w:tr w14:paraId="10682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21D5099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w:t>
            </w:r>
          </w:p>
          <w:p w14:paraId="06EFA11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29" w:type="dxa"/>
            <w:vMerge w:val="restart"/>
            <w:noWrap w:val="0"/>
            <w:vAlign w:val="center"/>
          </w:tcPr>
          <w:p w14:paraId="742537D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服务改进</w:t>
            </w:r>
          </w:p>
          <w:p w14:paraId="69C626B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7" w:type="dxa"/>
            <w:noWrap w:val="0"/>
            <w:vAlign w:val="center"/>
          </w:tcPr>
          <w:p w14:paraId="2846875F">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（1）明确负责人，定期对物业服务过程进行自查，结合反馈意见与评价结果采取改进措施，持续提升管理与服务水平。</w:t>
            </w:r>
          </w:p>
        </w:tc>
      </w:tr>
      <w:tr w14:paraId="0A7EC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602D64B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41A0525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textAlignment w:val="auto"/>
              <w:rPr>
                <w:rFonts w:hint="eastAsia" w:ascii="仿宋" w:hAnsi="仿宋" w:eastAsia="仿宋" w:cs="仿宋"/>
                <w:sz w:val="21"/>
                <w:szCs w:val="21"/>
                <w:highlight w:val="none"/>
                <w:lang w:val="en-US" w:eastAsia="zh-CN"/>
              </w:rPr>
            </w:pPr>
          </w:p>
        </w:tc>
        <w:tc>
          <w:tcPr>
            <w:tcW w:w="6467" w:type="dxa"/>
            <w:noWrap w:val="0"/>
            <w:vAlign w:val="center"/>
          </w:tcPr>
          <w:p w14:paraId="4B1E61D7">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（2）对不合格服务进行控制，对不合格服务的原因进行识别和分析，及时采取纠正措施，消除不合格的原因，防止不合格再发生。</w:t>
            </w:r>
          </w:p>
        </w:tc>
      </w:tr>
      <w:tr w14:paraId="35F2B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53A8437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233C92D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7" w:type="dxa"/>
            <w:noWrap w:val="0"/>
            <w:vAlign w:val="center"/>
          </w:tcPr>
          <w:p w14:paraId="3D1AF465">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（3）需整改问题及时整改完成。</w:t>
            </w:r>
          </w:p>
        </w:tc>
      </w:tr>
      <w:tr w14:paraId="6E5C5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45B9BFF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w:t>
            </w:r>
          </w:p>
        </w:tc>
        <w:tc>
          <w:tcPr>
            <w:tcW w:w="2129" w:type="dxa"/>
            <w:vMerge w:val="restart"/>
            <w:noWrap w:val="0"/>
            <w:vAlign w:val="center"/>
          </w:tcPr>
          <w:p w14:paraId="4EBF377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重大活动后勤保障</w:t>
            </w:r>
          </w:p>
        </w:tc>
        <w:tc>
          <w:tcPr>
            <w:tcW w:w="6467" w:type="dxa"/>
            <w:noWrap w:val="0"/>
            <w:vAlign w:val="center"/>
          </w:tcPr>
          <w:p w14:paraId="523165A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（1）制订流程。配合采购人制订重大活动后勤保障工作流程，需对任务进行详细了解，并根据工作安排制定详细的后勤保障计划。</w:t>
            </w:r>
          </w:p>
        </w:tc>
      </w:tr>
      <w:tr w14:paraId="3D67D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742C2100">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15033522">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sz w:val="21"/>
                <w:szCs w:val="21"/>
                <w:highlight w:val="none"/>
                <w:lang w:val="en-US" w:eastAsia="zh-CN"/>
              </w:rPr>
            </w:pPr>
          </w:p>
        </w:tc>
        <w:tc>
          <w:tcPr>
            <w:tcW w:w="6467" w:type="dxa"/>
            <w:noWrap w:val="0"/>
            <w:vAlign w:val="center"/>
          </w:tcPr>
          <w:p w14:paraId="62A185F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2B710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44A93033">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75D9A12B">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sz w:val="21"/>
                <w:szCs w:val="21"/>
                <w:highlight w:val="none"/>
                <w:lang w:val="en-US" w:eastAsia="zh-CN"/>
              </w:rPr>
            </w:pPr>
          </w:p>
        </w:tc>
        <w:tc>
          <w:tcPr>
            <w:tcW w:w="6467" w:type="dxa"/>
            <w:noWrap w:val="0"/>
            <w:vAlign w:val="center"/>
          </w:tcPr>
          <w:p w14:paraId="7F13C65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（3）收尾工作。对现场进行检查，做好清理工作。</w:t>
            </w:r>
          </w:p>
        </w:tc>
      </w:tr>
      <w:tr w14:paraId="4FFD0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53BDFB7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8</w:t>
            </w:r>
          </w:p>
        </w:tc>
        <w:tc>
          <w:tcPr>
            <w:tcW w:w="2129" w:type="dxa"/>
            <w:vMerge w:val="restart"/>
            <w:noWrap w:val="0"/>
            <w:vAlign w:val="center"/>
          </w:tcPr>
          <w:p w14:paraId="6B5A257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color w:val="auto"/>
                <w:kern w:val="0"/>
                <w:sz w:val="21"/>
                <w:szCs w:val="21"/>
                <w:highlight w:val="none"/>
                <w:lang w:val="en-US" w:eastAsia="zh-CN"/>
              </w:rPr>
              <w:t>应急保障预案</w:t>
            </w:r>
          </w:p>
        </w:tc>
        <w:tc>
          <w:tcPr>
            <w:tcW w:w="6467" w:type="dxa"/>
            <w:noWrap w:val="0"/>
            <w:vAlign w:val="center"/>
          </w:tcPr>
          <w:p w14:paraId="69BEBE2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color w:val="auto"/>
                <w:sz w:val="21"/>
                <w:szCs w:val="21"/>
                <w:highlight w:val="none"/>
                <w:u w:val="none"/>
                <w:lang w:val="en-US" w:eastAsia="zh-CN"/>
              </w:rPr>
              <w:t>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42E52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7D237F1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auto"/>
                <w:kern w:val="0"/>
                <w:sz w:val="21"/>
                <w:szCs w:val="21"/>
                <w:highlight w:val="none"/>
                <w:lang w:val="en-US" w:eastAsia="zh-CN"/>
              </w:rPr>
            </w:pPr>
          </w:p>
        </w:tc>
        <w:tc>
          <w:tcPr>
            <w:tcW w:w="2129" w:type="dxa"/>
            <w:vMerge w:val="continue"/>
            <w:noWrap w:val="0"/>
            <w:vAlign w:val="center"/>
          </w:tcPr>
          <w:p w14:paraId="0FE8FB8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color w:val="auto"/>
                <w:kern w:val="0"/>
                <w:sz w:val="21"/>
                <w:szCs w:val="21"/>
                <w:highlight w:val="none"/>
                <w:lang w:val="en-US" w:eastAsia="zh-CN"/>
              </w:rPr>
            </w:pPr>
          </w:p>
        </w:tc>
        <w:tc>
          <w:tcPr>
            <w:tcW w:w="6467" w:type="dxa"/>
            <w:noWrap w:val="0"/>
            <w:vAlign w:val="center"/>
          </w:tcPr>
          <w:p w14:paraId="4F61429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color w:val="auto"/>
                <w:sz w:val="21"/>
                <w:szCs w:val="21"/>
                <w:highlight w:val="none"/>
                <w:u w:val="none"/>
                <w:lang w:val="en-US" w:eastAsia="zh-CN"/>
              </w:rPr>
              <w:t>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tc>
      </w:tr>
      <w:tr w14:paraId="58619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67108F0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auto"/>
                <w:kern w:val="0"/>
                <w:sz w:val="21"/>
                <w:szCs w:val="21"/>
                <w:highlight w:val="none"/>
                <w:lang w:val="en-US" w:eastAsia="zh-CN"/>
              </w:rPr>
            </w:pPr>
          </w:p>
        </w:tc>
        <w:tc>
          <w:tcPr>
            <w:tcW w:w="2129" w:type="dxa"/>
            <w:vMerge w:val="continue"/>
            <w:noWrap w:val="0"/>
            <w:vAlign w:val="center"/>
          </w:tcPr>
          <w:p w14:paraId="12992A4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color w:val="auto"/>
                <w:kern w:val="0"/>
                <w:sz w:val="21"/>
                <w:szCs w:val="21"/>
                <w:highlight w:val="none"/>
                <w:lang w:val="en-US" w:eastAsia="zh-CN"/>
              </w:rPr>
            </w:pPr>
          </w:p>
        </w:tc>
        <w:tc>
          <w:tcPr>
            <w:tcW w:w="6467" w:type="dxa"/>
            <w:noWrap w:val="0"/>
            <w:vAlign w:val="center"/>
          </w:tcPr>
          <w:p w14:paraId="663E5B8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r>
              <w:rPr>
                <w:rFonts w:hint="eastAsia" w:ascii="仿宋" w:hAnsi="仿宋" w:eastAsia="仿宋" w:cs="仿宋"/>
                <w:color w:val="auto"/>
                <w:sz w:val="21"/>
                <w:szCs w:val="21"/>
                <w:highlight w:val="none"/>
                <w:u w:val="none"/>
                <w:lang w:val="en-US" w:eastAsia="zh-CN"/>
              </w:rPr>
              <w:t>应急预案的培训和演练。应急预案定期培训和演练，组织相关岗位每半年至少开展一次专项应急预案演练；留存培训及演练记录和影像资料，并对预案进行评价，确保与实际情况相结合。</w:t>
            </w:r>
          </w:p>
        </w:tc>
      </w:tr>
      <w:tr w14:paraId="27A00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656606C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auto"/>
                <w:kern w:val="0"/>
                <w:sz w:val="21"/>
                <w:szCs w:val="21"/>
                <w:highlight w:val="none"/>
                <w:lang w:val="en-US" w:eastAsia="zh-CN"/>
              </w:rPr>
            </w:pPr>
          </w:p>
        </w:tc>
        <w:tc>
          <w:tcPr>
            <w:tcW w:w="2129" w:type="dxa"/>
            <w:vMerge w:val="continue"/>
            <w:noWrap w:val="0"/>
            <w:vAlign w:val="center"/>
          </w:tcPr>
          <w:p w14:paraId="0072650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sz w:val="21"/>
                <w:szCs w:val="21"/>
                <w:highlight w:val="none"/>
                <w:lang w:val="en-US" w:eastAsia="zh-CN"/>
              </w:rPr>
            </w:pPr>
          </w:p>
        </w:tc>
        <w:tc>
          <w:tcPr>
            <w:tcW w:w="6467" w:type="dxa"/>
            <w:noWrap w:val="0"/>
            <w:vAlign w:val="center"/>
          </w:tcPr>
          <w:p w14:paraId="44245DEB">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r>
              <w:rPr>
                <w:rFonts w:hint="eastAsia" w:ascii="仿宋" w:hAnsi="仿宋" w:eastAsia="仿宋" w:cs="仿宋"/>
                <w:color w:val="auto"/>
                <w:sz w:val="21"/>
                <w:szCs w:val="21"/>
                <w:highlight w:val="none"/>
                <w:u w:val="none"/>
                <w:lang w:val="en-US" w:eastAsia="zh-CN"/>
              </w:rPr>
              <w:t>应急物资的管理。根据专项预案中的应对需要、必要的应急物资，建立清单或台账，并由专人定期对应急物资进行检查，如有应急物资不足，及时通知采购人购置齐全，确保能够随时正常使用。</w:t>
            </w:r>
          </w:p>
        </w:tc>
      </w:tr>
      <w:tr w14:paraId="10275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732B596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9</w:t>
            </w:r>
          </w:p>
        </w:tc>
        <w:tc>
          <w:tcPr>
            <w:tcW w:w="2129" w:type="dxa"/>
            <w:vMerge w:val="restart"/>
            <w:noWrap w:val="0"/>
            <w:vAlign w:val="center"/>
          </w:tcPr>
          <w:p w14:paraId="4BB8B4A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服务方案及工作制度</w:t>
            </w:r>
          </w:p>
        </w:tc>
        <w:tc>
          <w:tcPr>
            <w:tcW w:w="6467" w:type="dxa"/>
            <w:noWrap w:val="0"/>
            <w:vAlign w:val="center"/>
          </w:tcPr>
          <w:p w14:paraId="358C319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Cs/>
                <w:color w:val="auto"/>
                <w:sz w:val="21"/>
                <w:szCs w:val="21"/>
                <w:highlight w:val="none"/>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（1）制定工作制度，</w:t>
            </w:r>
            <w:r>
              <w:rPr>
                <w:rFonts w:hint="eastAsia" w:ascii="仿宋" w:hAnsi="仿宋" w:eastAsia="仿宋" w:cs="仿宋"/>
                <w:bCs/>
                <w:color w:val="auto"/>
                <w:sz w:val="21"/>
                <w:szCs w:val="21"/>
                <w:highlight w:val="none"/>
                <w:lang w:eastAsia="zh-CN"/>
              </w:rPr>
              <w:t>主要</w:t>
            </w:r>
            <w:r>
              <w:rPr>
                <w:rFonts w:hint="eastAsia" w:ascii="仿宋" w:hAnsi="仿宋" w:eastAsia="仿宋" w:cs="仿宋"/>
                <w:bCs/>
                <w:color w:val="auto"/>
                <w:sz w:val="21"/>
                <w:szCs w:val="21"/>
                <w:highlight w:val="none"/>
              </w:rPr>
              <w:t>包括：</w:t>
            </w:r>
            <w:r>
              <w:rPr>
                <w:rFonts w:hint="eastAsia" w:ascii="仿宋" w:hAnsi="仿宋" w:eastAsia="仿宋" w:cs="仿宋"/>
                <w:bCs/>
                <w:color w:val="auto"/>
                <w:sz w:val="21"/>
                <w:szCs w:val="21"/>
                <w:highlight w:val="none"/>
                <w:lang w:val="en-US" w:eastAsia="zh-CN"/>
              </w:rPr>
              <w:t>人员录用制度、</w:t>
            </w:r>
            <w:r>
              <w:rPr>
                <w:rFonts w:hint="eastAsia" w:ascii="仿宋" w:hAnsi="仿宋" w:eastAsia="仿宋" w:cs="仿宋"/>
                <w:b w:val="0"/>
                <w:bCs w:val="0"/>
                <w:color w:val="auto"/>
                <w:kern w:val="0"/>
                <w:sz w:val="21"/>
                <w:szCs w:val="21"/>
                <w:highlight w:val="none"/>
                <w:lang w:val="en-US" w:eastAsia="zh-CN"/>
              </w:rPr>
              <w:t>档案管理制度、</w:t>
            </w:r>
            <w:r>
              <w:rPr>
                <w:rFonts w:hint="eastAsia" w:ascii="仿宋" w:hAnsi="仿宋" w:eastAsia="仿宋" w:cs="仿宋"/>
                <w:bCs/>
                <w:color w:val="auto"/>
                <w:sz w:val="21"/>
                <w:szCs w:val="21"/>
                <w:highlight w:val="none"/>
              </w:rPr>
              <w:t>物业服务管理制度</w:t>
            </w:r>
            <w:r>
              <w:rPr>
                <w:rFonts w:hint="eastAsia" w:ascii="仿宋" w:hAnsi="仿宋" w:eastAsia="仿宋" w:cs="仿宋"/>
                <w:bCs/>
                <w:color w:val="auto"/>
                <w:sz w:val="21"/>
                <w:szCs w:val="21"/>
                <w:highlight w:val="none"/>
                <w:lang w:eastAsia="zh-CN"/>
              </w:rPr>
              <w:t>、</w:t>
            </w:r>
            <w:r>
              <w:rPr>
                <w:rFonts w:hint="eastAsia" w:ascii="仿宋" w:hAnsi="仿宋" w:eastAsia="仿宋" w:cs="仿宋"/>
                <w:b w:val="0"/>
                <w:bCs w:val="0"/>
                <w:color w:val="auto"/>
                <w:kern w:val="0"/>
                <w:sz w:val="21"/>
                <w:szCs w:val="21"/>
                <w:highlight w:val="none"/>
                <w:lang w:val="en-US" w:eastAsia="zh-CN"/>
              </w:rPr>
              <w:t>公用设施设备相关管理制度等</w:t>
            </w:r>
            <w:r>
              <w:rPr>
                <w:rFonts w:hint="eastAsia" w:ascii="仿宋" w:hAnsi="仿宋" w:eastAsia="仿宋" w:cs="仿宋"/>
                <w:bCs/>
                <w:color w:val="auto"/>
                <w:sz w:val="21"/>
                <w:szCs w:val="21"/>
                <w:highlight w:val="none"/>
                <w:lang w:eastAsia="zh-CN"/>
              </w:rPr>
              <w:t>。</w:t>
            </w:r>
          </w:p>
        </w:tc>
      </w:tr>
      <w:tr w14:paraId="1FE69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207904E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1F2FF67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sz w:val="21"/>
                <w:szCs w:val="21"/>
                <w:highlight w:val="none"/>
                <w:lang w:val="en-US" w:eastAsia="zh-CN"/>
              </w:rPr>
            </w:pPr>
          </w:p>
        </w:tc>
        <w:tc>
          <w:tcPr>
            <w:tcW w:w="6467" w:type="dxa"/>
            <w:noWrap w:val="0"/>
            <w:vAlign w:val="center"/>
          </w:tcPr>
          <w:p w14:paraId="360A3703">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（2）制定</w:t>
            </w:r>
            <w:r>
              <w:rPr>
                <w:rFonts w:hint="eastAsia" w:ascii="仿宋" w:hAnsi="仿宋" w:eastAsia="仿宋" w:cs="仿宋"/>
                <w:bCs/>
                <w:color w:val="auto"/>
                <w:sz w:val="21"/>
                <w:szCs w:val="21"/>
                <w:highlight w:val="none"/>
              </w:rPr>
              <w:t>项目实施方案</w:t>
            </w:r>
            <w:r>
              <w:rPr>
                <w:rFonts w:hint="eastAsia" w:ascii="仿宋" w:hAnsi="仿宋" w:eastAsia="仿宋" w:cs="仿宋"/>
                <w:bCs/>
                <w:color w:val="auto"/>
                <w:sz w:val="21"/>
                <w:szCs w:val="21"/>
                <w:highlight w:val="none"/>
                <w:lang w:eastAsia="zh-CN"/>
              </w:rPr>
              <w:t>，主要</w:t>
            </w:r>
            <w:r>
              <w:rPr>
                <w:rFonts w:hint="eastAsia" w:ascii="仿宋" w:hAnsi="仿宋" w:eastAsia="仿宋" w:cs="仿宋"/>
                <w:bCs/>
                <w:color w:val="auto"/>
                <w:sz w:val="21"/>
                <w:szCs w:val="21"/>
                <w:highlight w:val="none"/>
              </w:rPr>
              <w:t>包括：</w:t>
            </w:r>
            <w:r>
              <w:rPr>
                <w:rFonts w:hint="eastAsia" w:ascii="仿宋" w:hAnsi="仿宋" w:eastAsia="仿宋" w:cs="仿宋"/>
                <w:bCs/>
                <w:color w:val="auto"/>
                <w:sz w:val="21"/>
                <w:szCs w:val="21"/>
                <w:highlight w:val="none"/>
                <w:lang w:val="en-US" w:eastAsia="zh-CN"/>
              </w:rPr>
              <w:t>交接</w:t>
            </w:r>
            <w:r>
              <w:rPr>
                <w:rFonts w:hint="eastAsia" w:ascii="仿宋" w:hAnsi="仿宋" w:eastAsia="仿宋" w:cs="仿宋"/>
                <w:bCs/>
                <w:color w:val="auto"/>
                <w:sz w:val="21"/>
                <w:szCs w:val="21"/>
                <w:highlight w:val="none"/>
              </w:rPr>
              <w:t>方案、人员培训方案、人员稳定性方案、保密方案</w:t>
            </w:r>
            <w:r>
              <w:rPr>
                <w:rFonts w:hint="eastAsia" w:ascii="仿宋" w:hAnsi="仿宋" w:eastAsia="仿宋" w:cs="仿宋"/>
                <w:bCs/>
                <w:color w:val="auto"/>
                <w:sz w:val="21"/>
                <w:szCs w:val="21"/>
                <w:highlight w:val="none"/>
                <w:lang w:eastAsia="zh-CN"/>
              </w:rPr>
              <w:t>等</w:t>
            </w:r>
            <w:r>
              <w:rPr>
                <w:rFonts w:hint="eastAsia" w:ascii="仿宋" w:hAnsi="仿宋" w:eastAsia="仿宋" w:cs="仿宋"/>
                <w:bCs/>
                <w:color w:val="auto"/>
                <w:sz w:val="21"/>
                <w:szCs w:val="21"/>
                <w:highlight w:val="none"/>
              </w:rPr>
              <w:t>。</w:t>
            </w:r>
          </w:p>
        </w:tc>
      </w:tr>
      <w:tr w14:paraId="5CF74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4C8771B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30BB821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sz w:val="21"/>
                <w:szCs w:val="21"/>
                <w:highlight w:val="none"/>
                <w:lang w:val="en-US" w:eastAsia="zh-CN"/>
              </w:rPr>
            </w:pPr>
          </w:p>
        </w:tc>
        <w:tc>
          <w:tcPr>
            <w:tcW w:w="6467" w:type="dxa"/>
            <w:noWrap w:val="0"/>
            <w:vAlign w:val="center"/>
          </w:tcPr>
          <w:p w14:paraId="39E6A73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（3）制定</w:t>
            </w:r>
            <w:r>
              <w:rPr>
                <w:rFonts w:hint="eastAsia" w:ascii="仿宋" w:hAnsi="仿宋" w:eastAsia="仿宋" w:cs="仿宋"/>
                <w:bCs/>
                <w:color w:val="auto"/>
                <w:sz w:val="21"/>
                <w:szCs w:val="21"/>
                <w:highlight w:val="none"/>
              </w:rPr>
              <w:t>物业服务方案</w:t>
            </w:r>
            <w:r>
              <w:rPr>
                <w:rFonts w:hint="eastAsia" w:ascii="仿宋" w:hAnsi="仿宋" w:eastAsia="仿宋" w:cs="仿宋"/>
                <w:bCs/>
                <w:color w:val="auto"/>
                <w:sz w:val="21"/>
                <w:szCs w:val="21"/>
                <w:highlight w:val="none"/>
                <w:lang w:eastAsia="zh-CN"/>
              </w:rPr>
              <w:t>，主要</w:t>
            </w:r>
            <w:r>
              <w:rPr>
                <w:rFonts w:hint="eastAsia" w:ascii="仿宋" w:hAnsi="仿宋" w:eastAsia="仿宋" w:cs="仿宋"/>
                <w:bCs/>
                <w:color w:val="auto"/>
                <w:sz w:val="21"/>
                <w:szCs w:val="21"/>
                <w:highlight w:val="none"/>
              </w:rPr>
              <w:t>包括：</w:t>
            </w:r>
            <w:r>
              <w:rPr>
                <w:rFonts w:hint="eastAsia" w:ascii="仿宋" w:hAnsi="仿宋" w:eastAsia="仿宋" w:cs="仿宋"/>
                <w:bCs/>
                <w:color w:val="auto"/>
                <w:sz w:val="21"/>
                <w:szCs w:val="21"/>
                <w:highlight w:val="none"/>
                <w:lang w:val="en-US" w:eastAsia="zh-CN"/>
              </w:rPr>
              <w:t>房屋维护服务方案、公用设施设备维护服务方案、</w:t>
            </w:r>
            <w:r>
              <w:rPr>
                <w:rFonts w:hint="eastAsia" w:ascii="仿宋" w:hAnsi="仿宋" w:eastAsia="仿宋" w:cs="仿宋"/>
                <w:bCs/>
                <w:color w:val="auto"/>
                <w:sz w:val="21"/>
                <w:szCs w:val="21"/>
                <w:highlight w:val="none"/>
              </w:rPr>
              <w:t>绿化</w:t>
            </w:r>
            <w:r>
              <w:rPr>
                <w:rFonts w:hint="eastAsia" w:ascii="仿宋" w:hAnsi="仿宋" w:eastAsia="仿宋" w:cs="仿宋"/>
                <w:bCs/>
                <w:color w:val="auto"/>
                <w:sz w:val="21"/>
                <w:szCs w:val="21"/>
                <w:highlight w:val="none"/>
                <w:lang w:val="en-US" w:eastAsia="zh-CN"/>
              </w:rPr>
              <w:t>服务</w:t>
            </w:r>
            <w:r>
              <w:rPr>
                <w:rFonts w:hint="eastAsia" w:ascii="仿宋" w:hAnsi="仿宋" w:eastAsia="仿宋" w:cs="仿宋"/>
                <w:bCs/>
                <w:color w:val="auto"/>
                <w:sz w:val="21"/>
                <w:szCs w:val="21"/>
                <w:highlight w:val="none"/>
              </w:rPr>
              <w:t>方案</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保洁服务方案、</w:t>
            </w:r>
            <w:r>
              <w:rPr>
                <w:rFonts w:hint="eastAsia" w:ascii="仿宋" w:hAnsi="仿宋" w:eastAsia="仿宋" w:cs="仿宋"/>
                <w:bCs/>
                <w:color w:val="auto"/>
                <w:sz w:val="21"/>
                <w:szCs w:val="21"/>
                <w:highlight w:val="none"/>
                <w:lang w:val="en-US" w:eastAsia="zh-CN"/>
              </w:rPr>
              <w:t>保安</w:t>
            </w:r>
            <w:r>
              <w:rPr>
                <w:rFonts w:hint="eastAsia" w:ascii="仿宋" w:hAnsi="仿宋" w:eastAsia="仿宋" w:cs="仿宋"/>
                <w:bCs/>
                <w:color w:val="auto"/>
                <w:sz w:val="21"/>
                <w:szCs w:val="21"/>
                <w:highlight w:val="none"/>
              </w:rPr>
              <w:t>服务方案、会议服务方案</w:t>
            </w:r>
            <w:r>
              <w:rPr>
                <w:rFonts w:hint="eastAsia" w:ascii="仿宋" w:hAnsi="仿宋" w:eastAsia="仿宋" w:cs="仿宋"/>
                <w:bCs/>
                <w:color w:val="auto"/>
                <w:sz w:val="21"/>
                <w:szCs w:val="21"/>
                <w:highlight w:val="none"/>
                <w:lang w:val="en-US" w:eastAsia="zh-CN"/>
              </w:rPr>
              <w:t>等</w:t>
            </w:r>
            <w:r>
              <w:rPr>
                <w:rFonts w:hint="eastAsia" w:ascii="仿宋" w:hAnsi="仿宋" w:eastAsia="仿宋" w:cs="仿宋"/>
                <w:bCs/>
                <w:color w:val="auto"/>
                <w:sz w:val="21"/>
                <w:szCs w:val="21"/>
                <w:highlight w:val="none"/>
              </w:rPr>
              <w:t>。</w:t>
            </w:r>
          </w:p>
        </w:tc>
      </w:tr>
      <w:tr w14:paraId="7D650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7E0FA0C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10</w:t>
            </w:r>
          </w:p>
        </w:tc>
        <w:tc>
          <w:tcPr>
            <w:tcW w:w="2129" w:type="dxa"/>
            <w:vMerge w:val="restart"/>
            <w:noWrap w:val="0"/>
            <w:vAlign w:val="center"/>
          </w:tcPr>
          <w:p w14:paraId="0F4FBAA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信报服务</w:t>
            </w:r>
          </w:p>
        </w:tc>
        <w:tc>
          <w:tcPr>
            <w:tcW w:w="6467" w:type="dxa"/>
            <w:noWrap w:val="0"/>
            <w:vAlign w:val="center"/>
          </w:tcPr>
          <w:p w14:paraId="05D95AE3">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（1）对邮件、包裹和挂号信等进行正确分理、安全检查和防疫卫生检查。</w:t>
            </w:r>
          </w:p>
        </w:tc>
      </w:tr>
      <w:tr w14:paraId="6B96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7378D84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0A274EF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sz w:val="21"/>
                <w:szCs w:val="21"/>
                <w:highlight w:val="none"/>
                <w:lang w:val="en-US" w:eastAsia="zh-CN"/>
              </w:rPr>
            </w:pPr>
          </w:p>
        </w:tc>
        <w:tc>
          <w:tcPr>
            <w:tcW w:w="6467" w:type="dxa"/>
            <w:noWrap w:val="0"/>
            <w:vAlign w:val="center"/>
          </w:tcPr>
          <w:p w14:paraId="7F25D971">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（2）及时投送或通知收件人领取。</w:t>
            </w:r>
          </w:p>
        </w:tc>
      </w:tr>
      <w:tr w14:paraId="663B4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522D2BD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7D5C710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sz w:val="21"/>
                <w:szCs w:val="21"/>
                <w:highlight w:val="none"/>
                <w:lang w:val="en-US" w:eastAsia="zh-CN"/>
              </w:rPr>
            </w:pPr>
          </w:p>
        </w:tc>
        <w:tc>
          <w:tcPr>
            <w:tcW w:w="6467" w:type="dxa"/>
            <w:noWrap w:val="0"/>
            <w:vAlign w:val="center"/>
          </w:tcPr>
          <w:p w14:paraId="0F6DBD85">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r>
              <w:rPr>
                <w:rFonts w:hint="eastAsia" w:ascii="仿宋" w:hAnsi="仿宋" w:eastAsia="仿宋" w:cs="仿宋"/>
                <w:color w:val="auto"/>
                <w:sz w:val="21"/>
                <w:szCs w:val="21"/>
                <w:highlight w:val="none"/>
                <w:u w:val="none"/>
              </w:rPr>
              <w:t>大件物品出入</w:t>
            </w:r>
            <w:r>
              <w:rPr>
                <w:rFonts w:hint="eastAsia" w:ascii="仿宋" w:hAnsi="仿宋" w:eastAsia="仿宋" w:cs="仿宋"/>
                <w:color w:val="auto"/>
                <w:sz w:val="21"/>
                <w:szCs w:val="21"/>
                <w:highlight w:val="none"/>
                <w:u w:val="none"/>
                <w:lang w:val="en-US" w:eastAsia="zh-CN"/>
              </w:rPr>
              <w:t>向采购人报告，待采购人确认无误后放行</w:t>
            </w:r>
            <w:r>
              <w:rPr>
                <w:rFonts w:hint="eastAsia" w:ascii="仿宋" w:hAnsi="仿宋" w:eastAsia="仿宋" w:cs="仿宋"/>
                <w:color w:val="auto"/>
                <w:sz w:val="21"/>
                <w:szCs w:val="21"/>
                <w:highlight w:val="none"/>
                <w:u w:val="none"/>
                <w:lang w:eastAsia="zh-CN"/>
              </w:rPr>
              <w:t>。</w:t>
            </w:r>
          </w:p>
        </w:tc>
      </w:tr>
      <w:tr w14:paraId="20943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restart"/>
            <w:noWrap w:val="0"/>
            <w:vAlign w:val="center"/>
          </w:tcPr>
          <w:p w14:paraId="6A96FC0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11</w:t>
            </w:r>
          </w:p>
        </w:tc>
        <w:tc>
          <w:tcPr>
            <w:tcW w:w="2129" w:type="dxa"/>
            <w:vMerge w:val="restart"/>
            <w:noWrap w:val="0"/>
            <w:vAlign w:val="center"/>
          </w:tcPr>
          <w:p w14:paraId="33F66D4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服务热线及紧急维修</w:t>
            </w:r>
          </w:p>
        </w:tc>
        <w:tc>
          <w:tcPr>
            <w:tcW w:w="6467" w:type="dxa"/>
            <w:noWrap w:val="0"/>
            <w:vAlign w:val="center"/>
          </w:tcPr>
          <w:p w14:paraId="542F4F92">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（1）设置24小时报修服务热线。</w:t>
            </w:r>
          </w:p>
        </w:tc>
      </w:tr>
      <w:tr w14:paraId="3659E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4" w:type="dxa"/>
            <w:vMerge w:val="continue"/>
            <w:noWrap w:val="0"/>
            <w:vAlign w:val="center"/>
          </w:tcPr>
          <w:p w14:paraId="678A419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29" w:type="dxa"/>
            <w:vMerge w:val="continue"/>
            <w:noWrap w:val="0"/>
            <w:vAlign w:val="center"/>
          </w:tcPr>
          <w:p w14:paraId="0C338AC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sz w:val="21"/>
                <w:szCs w:val="21"/>
                <w:highlight w:val="none"/>
                <w:lang w:val="en-US" w:eastAsia="zh-CN"/>
              </w:rPr>
            </w:pPr>
          </w:p>
        </w:tc>
        <w:tc>
          <w:tcPr>
            <w:tcW w:w="6467" w:type="dxa"/>
            <w:noWrap w:val="0"/>
            <w:vAlign w:val="center"/>
          </w:tcPr>
          <w:p w14:paraId="2346BD5D">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color w:val="auto"/>
                <w:sz w:val="21"/>
                <w:szCs w:val="21"/>
                <w:highlight w:val="none"/>
                <w:u w:val="none"/>
                <w:lang w:val="en-US" w:eastAsia="zh-CN"/>
              </w:rPr>
              <w:t>紧急维修应当15分钟内到达现场，不间断维修直至修复。</w:t>
            </w:r>
          </w:p>
        </w:tc>
      </w:tr>
    </w:tbl>
    <w:p w14:paraId="0D7D485B">
      <w:pPr>
        <w:pageBreakBefore w:val="0"/>
        <w:widowControl/>
        <w:kinsoku/>
        <w:wordWrap/>
        <w:overflowPunct/>
        <w:topLinePunct w:val="0"/>
        <w:autoSpaceDE w:val="0"/>
        <w:autoSpaceDN w:val="0"/>
        <w:bidi w:val="0"/>
        <w:adjustRightInd/>
        <w:snapToGrid w:val="0"/>
        <w:spacing w:line="500" w:lineRule="exact"/>
        <w:ind w:firstLine="562" w:firstLineChars="200"/>
        <w:jc w:val="both"/>
        <w:textAlignment w:val="auto"/>
        <w:outlineLvl w:val="2"/>
        <w:rPr>
          <w:rFonts w:hint="eastAsia"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3.2房屋维护服务</w:t>
      </w: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43"/>
        <w:gridCol w:w="5853"/>
      </w:tblGrid>
      <w:tr w14:paraId="71F67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noWrap w:val="0"/>
            <w:vAlign w:val="center"/>
          </w:tcPr>
          <w:p w14:paraId="4D6CE71E">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序号</w:t>
            </w:r>
          </w:p>
        </w:tc>
        <w:tc>
          <w:tcPr>
            <w:tcW w:w="2143" w:type="dxa"/>
            <w:noWrap w:val="0"/>
            <w:vAlign w:val="center"/>
          </w:tcPr>
          <w:p w14:paraId="08BBE852">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服务内容</w:t>
            </w:r>
          </w:p>
        </w:tc>
        <w:tc>
          <w:tcPr>
            <w:tcW w:w="6457" w:type="dxa"/>
            <w:noWrap w:val="0"/>
            <w:vAlign w:val="center"/>
          </w:tcPr>
          <w:p w14:paraId="17B0DC73">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服务标准</w:t>
            </w:r>
          </w:p>
        </w:tc>
      </w:tr>
      <w:tr w14:paraId="45B6F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restart"/>
            <w:noWrap w:val="0"/>
            <w:vAlign w:val="center"/>
          </w:tcPr>
          <w:p w14:paraId="24EC16F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2143" w:type="dxa"/>
            <w:vMerge w:val="restart"/>
            <w:noWrap w:val="0"/>
            <w:vAlign w:val="center"/>
          </w:tcPr>
          <w:p w14:paraId="563687D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b w:val="0"/>
                <w:bCs w:val="0"/>
                <w:color w:val="auto"/>
                <w:sz w:val="21"/>
                <w:szCs w:val="21"/>
              </w:rPr>
              <w:t>主体结构、围护结构、部品部件</w:t>
            </w:r>
          </w:p>
        </w:tc>
        <w:tc>
          <w:tcPr>
            <w:tcW w:w="6457" w:type="dxa"/>
            <w:noWrap w:val="0"/>
            <w:vAlign w:val="center"/>
          </w:tcPr>
          <w:p w14:paraId="4E3F556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（1）每季度至少开展1次房屋结构安全巡视，发现外观有变形、开裂等现象，及时建议采购人申请房屋安全鉴定，并采取必要的避险和防护措施。</w:t>
            </w:r>
          </w:p>
        </w:tc>
      </w:tr>
      <w:tr w14:paraId="6FB45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65D7A52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43" w:type="dxa"/>
            <w:vMerge w:val="continue"/>
            <w:noWrap w:val="0"/>
            <w:vAlign w:val="center"/>
          </w:tcPr>
          <w:p w14:paraId="43E18C5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57" w:type="dxa"/>
            <w:noWrap w:val="0"/>
            <w:vAlign w:val="center"/>
          </w:tcPr>
          <w:p w14:paraId="22010CF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（2）每季度至少开展1次外墙贴饰面、幕墙玻璃、雨篷、散水、空调室外机支撑构件等检查，发现破损，及时向采购人报告，按采购人要求出具维修方案，待采购人同意后按维修方案实施维修。</w:t>
            </w:r>
          </w:p>
        </w:tc>
      </w:tr>
      <w:tr w14:paraId="3782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7EC9C9E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43" w:type="dxa"/>
            <w:vMerge w:val="continue"/>
            <w:noWrap w:val="0"/>
            <w:vAlign w:val="center"/>
          </w:tcPr>
          <w:p w14:paraId="720E70F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57" w:type="dxa"/>
            <w:noWrap w:val="0"/>
            <w:vAlign w:val="center"/>
          </w:tcPr>
          <w:p w14:paraId="1093EB37">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（3）每半月至少开展1次公用部位的门、窗、楼梯、通风道、室内地面、墙面、吊顶和室外屋面等巡查，发现破损，及时向采购人报告，按采购人要求出具维修方案，待采购人同意后按维修方案实施维修。</w:t>
            </w:r>
          </w:p>
        </w:tc>
      </w:tr>
      <w:tr w14:paraId="546BB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06BBE77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43" w:type="dxa"/>
            <w:vMerge w:val="continue"/>
            <w:noWrap w:val="0"/>
            <w:vAlign w:val="center"/>
          </w:tcPr>
          <w:p w14:paraId="57868FB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57" w:type="dxa"/>
            <w:noWrap w:val="0"/>
            <w:vAlign w:val="center"/>
          </w:tcPr>
          <w:p w14:paraId="5F002AB9">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（4）每年强降雨天气前后、雨雪季节检查屋面防水和雨落管等，发现破损，及时向采购人报告，按采购人要求出具维修方案，待采购人同意后按维修方案实施维修。</w:t>
            </w:r>
          </w:p>
        </w:tc>
      </w:tr>
      <w:tr w14:paraId="7C9C3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49994DC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43" w:type="dxa"/>
            <w:vMerge w:val="continue"/>
            <w:noWrap w:val="0"/>
            <w:vAlign w:val="center"/>
          </w:tcPr>
          <w:p w14:paraId="281952F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57" w:type="dxa"/>
            <w:noWrap w:val="0"/>
            <w:vAlign w:val="center"/>
          </w:tcPr>
          <w:p w14:paraId="6FE7E84D">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w:t>
            </w:r>
            <w:r>
              <w:rPr>
                <w:rFonts w:hint="eastAsia" w:ascii="仿宋" w:hAnsi="仿宋" w:eastAsia="仿宋" w:cs="仿宋"/>
                <w:color w:val="auto"/>
                <w:sz w:val="21"/>
                <w:szCs w:val="21"/>
                <w:highlight w:val="none"/>
                <w:u w:val="none"/>
                <w:lang w:val="en-US" w:eastAsia="zh-CN"/>
              </w:rPr>
              <w:t>办公楼外观完好，建筑装饰面无脱落、无破损、无污渍，玻璃幕墙清洁明亮、无破损。</w:t>
            </w:r>
          </w:p>
        </w:tc>
      </w:tr>
      <w:tr w14:paraId="58137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745C202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43" w:type="dxa"/>
            <w:vMerge w:val="continue"/>
            <w:noWrap w:val="0"/>
            <w:vAlign w:val="center"/>
          </w:tcPr>
          <w:p w14:paraId="2BB6F3E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57" w:type="dxa"/>
            <w:noWrap w:val="0"/>
            <w:vAlign w:val="center"/>
          </w:tcPr>
          <w:p w14:paraId="3A57B7A1">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w:t>
            </w:r>
            <w:r>
              <w:rPr>
                <w:rFonts w:hint="eastAsia" w:ascii="仿宋" w:hAnsi="仿宋" w:eastAsia="仿宋" w:cs="仿宋"/>
                <w:color w:val="auto"/>
                <w:sz w:val="21"/>
                <w:szCs w:val="21"/>
                <w:highlight w:val="none"/>
                <w:u w:val="none"/>
                <w:lang w:val="en-US" w:eastAsia="zh-CN"/>
              </w:rPr>
              <w:t>通道、楼梯、门窗等设施的完好和正常使用。</w:t>
            </w:r>
          </w:p>
        </w:tc>
      </w:tr>
      <w:tr w14:paraId="41D93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restart"/>
            <w:noWrap w:val="0"/>
            <w:vAlign w:val="center"/>
          </w:tcPr>
          <w:p w14:paraId="05F8A72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2143" w:type="dxa"/>
            <w:vMerge w:val="restart"/>
            <w:noWrap w:val="0"/>
            <w:vAlign w:val="center"/>
          </w:tcPr>
          <w:p w14:paraId="7945B29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rPr>
            </w:pPr>
            <w:r>
              <w:rPr>
                <w:rFonts w:hint="eastAsia" w:ascii="仿宋" w:hAnsi="仿宋" w:eastAsia="仿宋" w:cs="仿宋"/>
                <w:sz w:val="21"/>
                <w:szCs w:val="21"/>
                <w:highlight w:val="none"/>
                <w:lang w:val="en-US" w:eastAsia="zh-CN"/>
              </w:rPr>
              <w:t>其他设施</w:t>
            </w:r>
          </w:p>
        </w:tc>
        <w:tc>
          <w:tcPr>
            <w:tcW w:w="6457" w:type="dxa"/>
            <w:noWrap w:val="0"/>
            <w:vAlign w:val="center"/>
          </w:tcPr>
          <w:p w14:paraId="594CDC06">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每半月至少开展1次大门、围墙、道路、场地、管井、沟渠等巡查，每半月至少检查1次雨污水管井、化粪池等巡查，发现破损，及时向采购人报告，按采购人要求出具维修方案，待采购人同意后按维修方案实施维修。</w:t>
            </w:r>
          </w:p>
        </w:tc>
      </w:tr>
      <w:tr w14:paraId="115D2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3F564E9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43" w:type="dxa"/>
            <w:vMerge w:val="continue"/>
            <w:noWrap w:val="0"/>
            <w:vAlign w:val="center"/>
          </w:tcPr>
          <w:p w14:paraId="73B6F2B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57" w:type="dxa"/>
            <w:noWrap w:val="0"/>
            <w:vAlign w:val="center"/>
          </w:tcPr>
          <w:p w14:paraId="23037657">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（2）每年至少开展1次防雷装置检测，发现失效，及时向采购人报告，按采购人要求出具维修方案，待采购人同意后按维修方案实施维修。</w:t>
            </w:r>
          </w:p>
        </w:tc>
      </w:tr>
      <w:tr w14:paraId="673EA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280D86B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43" w:type="dxa"/>
            <w:vMerge w:val="continue"/>
            <w:noWrap w:val="0"/>
            <w:vAlign w:val="center"/>
          </w:tcPr>
          <w:p w14:paraId="0D4E8324">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57" w:type="dxa"/>
            <w:noWrap w:val="0"/>
            <w:vAlign w:val="center"/>
          </w:tcPr>
          <w:p w14:paraId="7D6D298E">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r>
              <w:rPr>
                <w:rFonts w:hint="eastAsia" w:ascii="仿宋" w:hAnsi="仿宋" w:eastAsia="仿宋" w:cs="仿宋"/>
                <w:color w:val="auto"/>
                <w:sz w:val="21"/>
                <w:szCs w:val="21"/>
                <w:highlight w:val="none"/>
                <w:u w:val="none"/>
                <w:lang w:val="en-US" w:eastAsia="zh-CN"/>
              </w:rPr>
              <w:t>路面状态良好，地漏通畅不堵塞。</w:t>
            </w:r>
          </w:p>
        </w:tc>
      </w:tr>
      <w:tr w14:paraId="75A9D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2EEBDF7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43" w:type="dxa"/>
            <w:vMerge w:val="continue"/>
            <w:noWrap w:val="0"/>
            <w:vAlign w:val="center"/>
          </w:tcPr>
          <w:p w14:paraId="0B669D2D">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57" w:type="dxa"/>
            <w:noWrap w:val="0"/>
            <w:vAlign w:val="center"/>
          </w:tcPr>
          <w:p w14:paraId="05C0B6ED">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（4）接到采购人家具报修服务后，及时通知家具供货商对保修期内的家具进行维修，及时对保修期外的家具进行维修。</w:t>
            </w:r>
          </w:p>
        </w:tc>
      </w:tr>
      <w:tr w14:paraId="765D5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restart"/>
            <w:noWrap w:val="0"/>
            <w:vAlign w:val="center"/>
          </w:tcPr>
          <w:p w14:paraId="0E149BD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2143" w:type="dxa"/>
            <w:vMerge w:val="restart"/>
            <w:noWrap w:val="0"/>
            <w:vAlign w:val="center"/>
          </w:tcPr>
          <w:p w14:paraId="77454A6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装饰装修</w:t>
            </w:r>
            <w:r>
              <w:rPr>
                <w:rFonts w:hint="eastAsia" w:ascii="仿宋" w:hAnsi="仿宋" w:eastAsia="仿宋" w:cs="仿宋"/>
                <w:sz w:val="21"/>
                <w:szCs w:val="21"/>
                <w:highlight w:val="none"/>
                <w:lang w:val="en-US" w:eastAsia="zh-CN"/>
              </w:rPr>
              <w:t>监督</w:t>
            </w:r>
            <w:r>
              <w:rPr>
                <w:rFonts w:hint="eastAsia" w:ascii="仿宋" w:hAnsi="仿宋" w:eastAsia="仿宋" w:cs="仿宋"/>
                <w:sz w:val="21"/>
                <w:szCs w:val="21"/>
                <w:highlight w:val="none"/>
              </w:rPr>
              <w:t>管理</w:t>
            </w:r>
          </w:p>
        </w:tc>
        <w:tc>
          <w:tcPr>
            <w:tcW w:w="6457" w:type="dxa"/>
            <w:noWrap w:val="0"/>
            <w:vAlign w:val="center"/>
          </w:tcPr>
          <w:p w14:paraId="5B15FB14">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（1）装饰装修前，供应商应当与采购人或采购人委托的装修企业签订装饰装修管理服务协议，告知装饰装修须知，并对装饰装修过程进行管理服务。</w:t>
            </w:r>
          </w:p>
        </w:tc>
      </w:tr>
      <w:tr w14:paraId="559F0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02C08E3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43" w:type="dxa"/>
            <w:vMerge w:val="continue"/>
            <w:noWrap w:val="0"/>
            <w:vAlign w:val="center"/>
          </w:tcPr>
          <w:p w14:paraId="06876D3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57" w:type="dxa"/>
            <w:noWrap w:val="0"/>
            <w:vAlign w:val="center"/>
          </w:tcPr>
          <w:p w14:paraId="0E9CA75F">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（2）根据协议内容，做好装修垃圾临时堆放、清运等</w:t>
            </w:r>
            <w:r>
              <w:rPr>
                <w:rFonts w:hint="eastAsia" w:ascii="仿宋" w:hAnsi="仿宋" w:eastAsia="仿宋" w:cs="仿宋"/>
                <w:sz w:val="21"/>
                <w:szCs w:val="21"/>
                <w:highlight w:val="none"/>
                <w:lang w:eastAsia="zh-CN"/>
              </w:rPr>
              <w:t>。</w:t>
            </w:r>
          </w:p>
        </w:tc>
      </w:tr>
      <w:tr w14:paraId="5E43F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0CCA334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43" w:type="dxa"/>
            <w:vMerge w:val="continue"/>
            <w:noWrap w:val="0"/>
            <w:vAlign w:val="center"/>
          </w:tcPr>
          <w:p w14:paraId="06B65F0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57" w:type="dxa"/>
            <w:noWrap w:val="0"/>
            <w:vAlign w:val="center"/>
          </w:tcPr>
          <w:p w14:paraId="237A3847">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r>
              <w:rPr>
                <w:rFonts w:hint="eastAsia" w:ascii="仿宋" w:hAnsi="仿宋" w:eastAsia="仿宋" w:cs="仿宋"/>
                <w:color w:val="auto"/>
                <w:sz w:val="21"/>
                <w:szCs w:val="21"/>
                <w:highlight w:val="none"/>
                <w:u w:val="none"/>
                <w:lang w:val="en-US" w:eastAsia="zh-CN"/>
              </w:rPr>
              <w:t>受</w:t>
            </w:r>
            <w:r>
              <w:rPr>
                <w:rFonts w:hint="eastAsia" w:ascii="仿宋" w:hAnsi="仿宋" w:eastAsia="仿宋" w:cs="仿宋"/>
                <w:b w:val="0"/>
                <w:bCs w:val="0"/>
                <w:color w:val="auto"/>
                <w:kern w:val="0"/>
                <w:sz w:val="21"/>
                <w:szCs w:val="21"/>
                <w:highlight w:val="none"/>
                <w:lang w:val="en-US" w:eastAsia="zh-CN"/>
              </w:rPr>
              <w:t>采购人</w:t>
            </w:r>
            <w:r>
              <w:rPr>
                <w:rFonts w:hint="eastAsia" w:ascii="仿宋" w:hAnsi="仿宋" w:eastAsia="仿宋" w:cs="仿宋"/>
                <w:color w:val="auto"/>
                <w:sz w:val="21"/>
                <w:szCs w:val="21"/>
                <w:highlight w:val="none"/>
                <w:u w:val="none"/>
                <w:lang w:val="en-US" w:eastAsia="zh-CN"/>
              </w:rPr>
              <w:t>委托对房屋内装修进行严格的监督管理，发现问题及时上报，确保不因装修而危及大楼结构安全、人身安全和影响正常办公秩序。</w:t>
            </w:r>
          </w:p>
        </w:tc>
      </w:tr>
      <w:tr w14:paraId="6ECD4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restart"/>
            <w:noWrap w:val="0"/>
            <w:vAlign w:val="center"/>
          </w:tcPr>
          <w:p w14:paraId="23D689F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p>
        </w:tc>
        <w:tc>
          <w:tcPr>
            <w:tcW w:w="2143" w:type="dxa"/>
            <w:vMerge w:val="restart"/>
            <w:noWrap w:val="0"/>
            <w:vAlign w:val="center"/>
          </w:tcPr>
          <w:p w14:paraId="2D85AF5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标识标牌</w:t>
            </w:r>
          </w:p>
        </w:tc>
        <w:tc>
          <w:tcPr>
            <w:tcW w:w="6457" w:type="dxa"/>
            <w:noWrap w:val="0"/>
            <w:vAlign w:val="center"/>
          </w:tcPr>
          <w:p w14:paraId="1D961B97">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（1）标识标牌符合《</w:t>
            </w:r>
            <w:r>
              <w:rPr>
                <w:rFonts w:hint="eastAsia" w:ascii="仿宋" w:hAnsi="仿宋" w:eastAsia="仿宋" w:cs="仿宋"/>
                <w:color w:val="auto"/>
                <w:kern w:val="0"/>
                <w:sz w:val="21"/>
                <w:szCs w:val="21"/>
                <w:highlight w:val="none"/>
              </w:rPr>
              <w:t>公共信息图形符号 第1部分：通用符号</w:t>
            </w:r>
            <w:r>
              <w:rPr>
                <w:rFonts w:hint="eastAsia" w:ascii="仿宋" w:hAnsi="仿宋" w:eastAsia="仿宋" w:cs="仿宋"/>
                <w:b w:val="0"/>
                <w:bCs w:val="0"/>
                <w:color w:val="auto"/>
                <w:kern w:val="0"/>
                <w:sz w:val="21"/>
                <w:szCs w:val="21"/>
                <w:highlight w:val="none"/>
                <w:lang w:val="en-US" w:eastAsia="zh-CN"/>
              </w:rPr>
              <w:t>》（</w:t>
            </w:r>
            <w:r>
              <w:rPr>
                <w:rFonts w:hint="eastAsia" w:ascii="仿宋" w:hAnsi="仿宋" w:eastAsia="仿宋" w:cs="仿宋"/>
                <w:color w:val="auto"/>
                <w:kern w:val="0"/>
                <w:sz w:val="21"/>
                <w:szCs w:val="21"/>
                <w:highlight w:val="none"/>
              </w:rPr>
              <w:t>GB/T 10001.1</w:t>
            </w:r>
            <w:r>
              <w:rPr>
                <w:rFonts w:hint="eastAsia" w:ascii="仿宋" w:hAnsi="仿宋" w:eastAsia="仿宋" w:cs="仿宋"/>
                <w:b w:val="0"/>
                <w:bCs w:val="0"/>
                <w:color w:val="auto"/>
                <w:kern w:val="0"/>
                <w:sz w:val="21"/>
                <w:szCs w:val="21"/>
                <w:highlight w:val="none"/>
                <w:lang w:val="en-US" w:eastAsia="zh-CN"/>
              </w:rPr>
              <w:t>）的相关要求，消防与安全标识符合《</w:t>
            </w:r>
            <w:r>
              <w:rPr>
                <w:rFonts w:hint="eastAsia" w:ascii="仿宋" w:hAnsi="仿宋" w:eastAsia="仿宋" w:cs="仿宋"/>
                <w:color w:val="auto"/>
                <w:kern w:val="0"/>
                <w:sz w:val="21"/>
                <w:szCs w:val="21"/>
                <w:highlight w:val="none"/>
              </w:rPr>
              <w:t>安全标志及其使用导则</w:t>
            </w:r>
            <w:r>
              <w:rPr>
                <w:rFonts w:hint="eastAsia" w:ascii="仿宋" w:hAnsi="仿宋" w:eastAsia="仿宋" w:cs="仿宋"/>
                <w:b w:val="0"/>
                <w:bCs w:val="0"/>
                <w:color w:val="auto"/>
                <w:kern w:val="0"/>
                <w:sz w:val="21"/>
                <w:szCs w:val="21"/>
                <w:highlight w:val="none"/>
                <w:lang w:val="en-US" w:eastAsia="zh-CN"/>
              </w:rPr>
              <w:t>》（GB2894）、《消防安全标志　第1部分：标志》（GB13495.1）的相关要求。</w:t>
            </w:r>
          </w:p>
        </w:tc>
      </w:tr>
      <w:tr w14:paraId="3C245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425A65F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43" w:type="dxa"/>
            <w:vMerge w:val="continue"/>
            <w:noWrap w:val="0"/>
            <w:vAlign w:val="center"/>
          </w:tcPr>
          <w:p w14:paraId="7B6972F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57" w:type="dxa"/>
            <w:noWrap w:val="0"/>
            <w:vAlign w:val="center"/>
          </w:tcPr>
          <w:p w14:paraId="5B0384BE">
            <w:pPr>
              <w:keepNext w:val="0"/>
              <w:keepLines w:val="0"/>
              <w:pageBreakBefore w:val="0"/>
              <w:widowControl/>
              <w:kinsoku/>
              <w:wordWrap/>
              <w:overflowPunct/>
              <w:topLinePunct w:val="0"/>
              <w:autoSpaceDE/>
              <w:autoSpaceDN/>
              <w:bidi w:val="0"/>
              <w:adjustRightInd/>
              <w:snapToGrid w:val="0"/>
              <w:spacing w:line="240" w:lineRule="auto"/>
              <w:ind w:left="0" w:leftChars="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（2）每月至少检查1次标识标牌和消防与安全标识。应当规范清晰、路线指引正确、安装稳固。</w:t>
            </w:r>
          </w:p>
        </w:tc>
      </w:tr>
    </w:tbl>
    <w:p w14:paraId="69BE9250">
      <w:pPr>
        <w:pageBreakBefore w:val="0"/>
        <w:widowControl/>
        <w:kinsoku/>
        <w:wordWrap/>
        <w:overflowPunct/>
        <w:topLinePunct w:val="0"/>
        <w:autoSpaceDE w:val="0"/>
        <w:autoSpaceDN w:val="0"/>
        <w:bidi w:val="0"/>
        <w:adjustRightInd/>
        <w:snapToGrid w:val="0"/>
        <w:spacing w:line="500" w:lineRule="exact"/>
        <w:ind w:firstLine="562" w:firstLineChars="200"/>
        <w:jc w:val="both"/>
        <w:textAlignment w:val="auto"/>
        <w:outlineLvl w:val="2"/>
        <w:rPr>
          <w:rFonts w:hint="eastAsia"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3.3公用设施设备维护服务</w:t>
      </w:r>
    </w:p>
    <w:tbl>
      <w:tblPr>
        <w:tblStyle w:val="4"/>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960"/>
        <w:gridCol w:w="5864"/>
      </w:tblGrid>
      <w:tr w14:paraId="22F36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noWrap w:val="0"/>
            <w:vAlign w:val="center"/>
          </w:tcPr>
          <w:p w14:paraId="3B9B83B7">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序号</w:t>
            </w:r>
          </w:p>
        </w:tc>
        <w:tc>
          <w:tcPr>
            <w:tcW w:w="2162" w:type="dxa"/>
            <w:noWrap w:val="0"/>
            <w:vAlign w:val="center"/>
          </w:tcPr>
          <w:p w14:paraId="5F9F8BEC">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服务内容</w:t>
            </w:r>
          </w:p>
        </w:tc>
        <w:tc>
          <w:tcPr>
            <w:tcW w:w="6469" w:type="dxa"/>
            <w:noWrap w:val="0"/>
            <w:vAlign w:val="center"/>
          </w:tcPr>
          <w:p w14:paraId="7C750D22">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服务标准</w:t>
            </w:r>
          </w:p>
        </w:tc>
      </w:tr>
      <w:tr w14:paraId="7B4DB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2BD71B5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2162" w:type="dxa"/>
            <w:vMerge w:val="restart"/>
            <w:noWrap w:val="0"/>
            <w:vAlign w:val="center"/>
          </w:tcPr>
          <w:p w14:paraId="7B512D8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基本要求</w:t>
            </w:r>
          </w:p>
        </w:tc>
        <w:tc>
          <w:tcPr>
            <w:tcW w:w="6469" w:type="dxa"/>
            <w:noWrap w:val="0"/>
            <w:vAlign w:val="center"/>
          </w:tcPr>
          <w:p w14:paraId="58CBAC97">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（1）重大节假日及恶劣天气前后，组织系统巡检1次。</w:t>
            </w:r>
          </w:p>
        </w:tc>
      </w:tr>
      <w:tr w14:paraId="428A7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64A7A04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18720EC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420AB34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（2）具备设施设备安全、稳定运行的环境和场所（含有限空间），温湿度、照度、粉尘和烟雾浓度等符合相关安全规范。</w:t>
            </w:r>
          </w:p>
        </w:tc>
      </w:tr>
      <w:tr w14:paraId="73CDC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2" w:type="dxa"/>
            <w:vMerge w:val="restart"/>
            <w:noWrap w:val="0"/>
            <w:vAlign w:val="center"/>
          </w:tcPr>
          <w:p w14:paraId="6769206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2162" w:type="dxa"/>
            <w:vMerge w:val="restart"/>
            <w:noWrap w:val="0"/>
            <w:vAlign w:val="center"/>
          </w:tcPr>
          <w:p w14:paraId="59AF265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设备机房</w:t>
            </w:r>
          </w:p>
        </w:tc>
        <w:tc>
          <w:tcPr>
            <w:tcW w:w="6469" w:type="dxa"/>
            <w:noWrap w:val="0"/>
            <w:vAlign w:val="center"/>
          </w:tcPr>
          <w:p w14:paraId="0E699444">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668B9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802" w:type="dxa"/>
            <w:vMerge w:val="continue"/>
            <w:noWrap w:val="0"/>
            <w:vAlign w:val="center"/>
          </w:tcPr>
          <w:p w14:paraId="0BE7F53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2922474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4BF7806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（2）设备机房门窗、锁具应当完好、有效。</w:t>
            </w:r>
          </w:p>
        </w:tc>
      </w:tr>
      <w:tr w14:paraId="6D8B7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02" w:type="dxa"/>
            <w:vMerge w:val="continue"/>
            <w:noWrap w:val="0"/>
            <w:vAlign w:val="center"/>
          </w:tcPr>
          <w:p w14:paraId="3B12595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6693D9B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2CC17EE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（3）每半月至少开展1次清洁，整洁有序、无杂物、无积尘、无鼠、无虫害，温湿度符合设备运行要求。</w:t>
            </w:r>
          </w:p>
        </w:tc>
      </w:tr>
      <w:tr w14:paraId="65611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802" w:type="dxa"/>
            <w:vMerge w:val="continue"/>
            <w:noWrap w:val="0"/>
            <w:vAlign w:val="center"/>
          </w:tcPr>
          <w:p w14:paraId="31637E8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3C5CED2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6B36388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（4）按各设备机房国家标准规范规定维护/保管消防、通风、应急照明，防止小动物进入。</w:t>
            </w:r>
          </w:p>
        </w:tc>
      </w:tr>
      <w:tr w14:paraId="4A380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802" w:type="dxa"/>
            <w:vMerge w:val="continue"/>
            <w:noWrap w:val="0"/>
            <w:vAlign w:val="center"/>
          </w:tcPr>
          <w:p w14:paraId="713D952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687F7B9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0E42A297">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（5）安全防护用具配置齐全，检验合格。</w:t>
            </w:r>
          </w:p>
        </w:tc>
      </w:tr>
      <w:tr w14:paraId="210F6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802" w:type="dxa"/>
            <w:vMerge w:val="continue"/>
            <w:noWrap w:val="0"/>
            <w:vAlign w:val="center"/>
          </w:tcPr>
          <w:p w14:paraId="3BA62BD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5324503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100186F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（6）应急设施设备用品应当齐全、完备，可随时启用。</w:t>
            </w:r>
          </w:p>
        </w:tc>
      </w:tr>
      <w:tr w14:paraId="1BF2B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510345B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2162" w:type="dxa"/>
            <w:vMerge w:val="restart"/>
            <w:noWrap w:val="0"/>
            <w:vAlign w:val="center"/>
          </w:tcPr>
          <w:p w14:paraId="72233D7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给排水系统</w:t>
            </w:r>
          </w:p>
        </w:tc>
        <w:tc>
          <w:tcPr>
            <w:tcW w:w="6469" w:type="dxa"/>
            <w:noWrap w:val="0"/>
            <w:vAlign w:val="center"/>
          </w:tcPr>
          <w:p w14:paraId="77E724C3">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（1）生活饮用水卫生符合《</w:t>
            </w:r>
            <w:r>
              <w:rPr>
                <w:rFonts w:hint="eastAsia" w:ascii="仿宋" w:hAnsi="仿宋" w:eastAsia="仿宋" w:cs="仿宋"/>
                <w:color w:val="auto"/>
                <w:kern w:val="0"/>
                <w:sz w:val="21"/>
                <w:szCs w:val="21"/>
                <w:highlight w:val="none"/>
              </w:rPr>
              <w:t>生活饮用水卫生标准</w:t>
            </w:r>
            <w:r>
              <w:rPr>
                <w:rFonts w:hint="eastAsia" w:ascii="仿宋" w:hAnsi="仿宋" w:eastAsia="仿宋" w:cs="仿宋"/>
                <w:b w:val="0"/>
                <w:bCs w:val="0"/>
                <w:color w:val="auto"/>
                <w:kern w:val="0"/>
                <w:sz w:val="21"/>
                <w:szCs w:val="21"/>
                <w:highlight w:val="none"/>
                <w:lang w:val="en-US" w:eastAsia="zh-CN"/>
              </w:rPr>
              <w:t>》（GB5749）的相关要求。</w:t>
            </w:r>
          </w:p>
        </w:tc>
      </w:tr>
      <w:tr w14:paraId="6F581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5D2435F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2CF2BB1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07941E69">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（2）二次供水卫生符合《二次供水设施卫生规范》（GB17051）的相关要求。</w:t>
            </w:r>
          </w:p>
        </w:tc>
      </w:tr>
      <w:tr w14:paraId="4A19F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5CA4D58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6DABB04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72BC06A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（3）设施设备、阀门、管道等运行正常，无跑、冒、滴、漏现象。</w:t>
            </w:r>
          </w:p>
        </w:tc>
      </w:tr>
      <w:tr w14:paraId="04959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694D960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116EF43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66012AC0">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（4）有水泵房、水箱间的，每日至少巡视1次。每年至少养护1次水泵。</w:t>
            </w:r>
          </w:p>
        </w:tc>
      </w:tr>
      <w:tr w14:paraId="366FF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67473DA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68246D3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1E50678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（5）遇供水单位限水、停水，按规定时间通知采购人。</w:t>
            </w:r>
          </w:p>
        </w:tc>
      </w:tr>
      <w:tr w14:paraId="145DC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277F4D4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4FAD418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4F02FC3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（6）每季度至少开展1次对排水管进行疏通、清污，保证室内外排水系统通畅。</w:t>
            </w:r>
          </w:p>
        </w:tc>
      </w:tr>
      <w:tr w14:paraId="79AEB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256C124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p>
        </w:tc>
        <w:tc>
          <w:tcPr>
            <w:tcW w:w="2162" w:type="dxa"/>
            <w:vMerge w:val="restart"/>
            <w:noWrap w:val="0"/>
            <w:vAlign w:val="center"/>
          </w:tcPr>
          <w:p w14:paraId="1A964DA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电梯系统</w:t>
            </w:r>
          </w:p>
        </w:tc>
        <w:tc>
          <w:tcPr>
            <w:tcW w:w="6469" w:type="dxa"/>
            <w:noWrap w:val="0"/>
            <w:vAlign w:val="center"/>
          </w:tcPr>
          <w:p w14:paraId="497B881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（1）电梯运行平稳、无异响、平层、开关正常。每周至少开展2次电梯的安全状况检查。</w:t>
            </w:r>
          </w:p>
        </w:tc>
      </w:tr>
      <w:tr w14:paraId="51C5C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33A71B2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0D33190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0E2DA95D">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（2）电梯准用证、年检合格证等证件齐全。相关证件、紧急救援电话和乘客注意事项置于轿厢醒目位置。</w:t>
            </w:r>
          </w:p>
        </w:tc>
      </w:tr>
      <w:tr w14:paraId="1CC5E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27A68CB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4620232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12276C21">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（3）每年至少开展1次对电梯的全面检测，并出具检测报告，核发电梯使用标志。</w:t>
            </w:r>
          </w:p>
        </w:tc>
      </w:tr>
      <w:tr w14:paraId="7139E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443D981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4B5931D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054CB802">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（4）电梯维保应当符合《电梯维护保养规则》（TSG T5002）的有关要求。</w:t>
            </w:r>
          </w:p>
        </w:tc>
      </w:tr>
      <w:tr w14:paraId="3C016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43DB54B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6ECA1F4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3E29F39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（5）电梯使用应当符合《特种设备使用管理规则》（TSG 08）的有关要求。</w:t>
            </w:r>
          </w:p>
        </w:tc>
      </w:tr>
      <w:tr w14:paraId="23338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7867E3A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44EE994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0FD7B44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（6）有电梯突发事件或事故的应急措施与救援预案，每年至少开展演练1次。电梯出现故障，物业服务人员10分钟内到场应急处理，维保专业人员30分钟内到场应急处理。</w:t>
            </w:r>
          </w:p>
        </w:tc>
      </w:tr>
      <w:tr w14:paraId="44510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1D320E6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46FCB7D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6F11E2F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（7）到场进行救助和排除故障。电梯紧急电话保持畅通。</w:t>
            </w:r>
          </w:p>
        </w:tc>
      </w:tr>
      <w:tr w14:paraId="4B382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6FB0AC9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168BAB4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0DE54FA3">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（8）电梯维修、保养时在现场设置提示标识和防护围栏。</w:t>
            </w:r>
          </w:p>
        </w:tc>
      </w:tr>
      <w:tr w14:paraId="060F0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5021FCE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2ACB27C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058F7DA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（9）根据采购人需求，合理设置电梯开启的数量、时间。</w:t>
            </w:r>
          </w:p>
        </w:tc>
      </w:tr>
      <w:tr w14:paraId="633BF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25815FF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p>
        </w:tc>
        <w:tc>
          <w:tcPr>
            <w:tcW w:w="2162" w:type="dxa"/>
            <w:vMerge w:val="restart"/>
            <w:noWrap w:val="0"/>
            <w:vAlign w:val="center"/>
          </w:tcPr>
          <w:p w14:paraId="4D311CA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空调</w:t>
            </w:r>
            <w:r>
              <w:rPr>
                <w:rFonts w:hint="eastAsia" w:ascii="仿宋" w:hAnsi="仿宋" w:eastAsia="仿宋" w:cs="仿宋"/>
                <w:sz w:val="21"/>
                <w:szCs w:val="21"/>
                <w:highlight w:val="none"/>
              </w:rPr>
              <w:t>系统</w:t>
            </w:r>
          </w:p>
        </w:tc>
        <w:tc>
          <w:tcPr>
            <w:tcW w:w="6469" w:type="dxa"/>
            <w:noWrap w:val="0"/>
            <w:vAlign w:val="center"/>
          </w:tcPr>
          <w:p w14:paraId="7EACF2BF">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（1）空调通风系统运行管理符合《空调通风系统运行管理标准》（GB50365）的相关要求。</w:t>
            </w:r>
          </w:p>
        </w:tc>
      </w:tr>
      <w:tr w14:paraId="19B6D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69D9200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102D673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591E9ADD">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（2）办公楼内温湿度、空气质量等符合《室内空气质量标准》（GB/T18883）的相关要求。</w:t>
            </w:r>
          </w:p>
        </w:tc>
      </w:tr>
      <w:tr w14:paraId="223BB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28AAFED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73057D1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05830A05">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（3）定期维保并做好记录，保证空调设施设备处于良好状态。</w:t>
            </w:r>
          </w:p>
        </w:tc>
      </w:tr>
      <w:tr w14:paraId="307DA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15DBC73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2FFA3A8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21E0979F">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（4）中央空调运行前对冷水机组、循环水泵、冷却塔、风机等设施设备进行系统检查，运行期间每日至少开展1次运行情况巡查。</w:t>
            </w:r>
          </w:p>
        </w:tc>
      </w:tr>
      <w:tr w14:paraId="208A6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59EB657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2C950FD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23F6C073">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（5）每半年至少开展1次管道、阀门检查并除锈。</w:t>
            </w:r>
          </w:p>
        </w:tc>
      </w:tr>
      <w:tr w14:paraId="2D577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19E7704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74500A7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1B79CE13">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（6）每年至少开展1次系统整体性维修养护，检验1次压力容器、仪表及冷却塔噪声。</w:t>
            </w:r>
          </w:p>
        </w:tc>
      </w:tr>
      <w:tr w14:paraId="52795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0BF1B7B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6761DB4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36CAD91F">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（7）每年至少开展1次新风机、空气处理机滤网等清洗消毒；每2年至少开展1次风管清洗消毒。</w:t>
            </w:r>
          </w:p>
        </w:tc>
      </w:tr>
      <w:tr w14:paraId="44B73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1A61206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0353363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4AE7E115">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（8）每年至少开展1次分体式空调主机（含空调过滤网）和室外机清洁。每月至少开展1次挂机和室外支架稳固性巡查。</w:t>
            </w:r>
          </w:p>
        </w:tc>
      </w:tr>
      <w:tr w14:paraId="7063E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22C55CD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2E55D9C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7D80BC6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（9）制冷、供暖系统温度设定及启用时间符合节能要求。</w:t>
            </w:r>
          </w:p>
        </w:tc>
      </w:tr>
      <w:tr w14:paraId="4F4DF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1EEC4F7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56C937C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14750E68">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（10）</w:t>
            </w:r>
            <w:r>
              <w:rPr>
                <w:rFonts w:hint="eastAsia" w:ascii="仿宋" w:hAnsi="仿宋" w:eastAsia="仿宋" w:cs="仿宋"/>
                <w:color w:val="auto"/>
                <w:sz w:val="21"/>
                <w:szCs w:val="21"/>
                <w:highlight w:val="none"/>
                <w:u w:val="none"/>
                <w:lang w:val="en-US" w:eastAsia="zh-CN"/>
              </w:rPr>
              <w:t>发现故障或损坏应当在30分钟内到场，紧急维修应当在15分钟内到达现场，在12小时内维修完毕。</w:t>
            </w:r>
          </w:p>
        </w:tc>
      </w:tr>
      <w:tr w14:paraId="6B8F2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76AC28B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w:t>
            </w:r>
          </w:p>
        </w:tc>
        <w:tc>
          <w:tcPr>
            <w:tcW w:w="2162" w:type="dxa"/>
            <w:vMerge w:val="restart"/>
            <w:noWrap w:val="0"/>
            <w:vAlign w:val="center"/>
          </w:tcPr>
          <w:p w14:paraId="7CBA298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消防</w:t>
            </w:r>
            <w:r>
              <w:rPr>
                <w:rFonts w:hint="eastAsia" w:ascii="仿宋" w:hAnsi="仿宋" w:eastAsia="仿宋" w:cs="仿宋"/>
                <w:sz w:val="21"/>
                <w:szCs w:val="21"/>
                <w:highlight w:val="none"/>
              </w:rPr>
              <w:t>系统</w:t>
            </w:r>
          </w:p>
        </w:tc>
        <w:tc>
          <w:tcPr>
            <w:tcW w:w="6469" w:type="dxa"/>
            <w:noWrap w:val="0"/>
            <w:vAlign w:val="center"/>
          </w:tcPr>
          <w:p w14:paraId="15E123B9">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（1）消防设施的维护管理符合《建筑消防设施的维护管理》（GB25201）的相关要求。</w:t>
            </w:r>
          </w:p>
        </w:tc>
      </w:tr>
      <w:tr w14:paraId="3B4A9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0FE293A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49F0F35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7D2054E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（2）消防设备检测符合《建筑消防设施检测技术规程》（GA503或XF503）的相关要求。</w:t>
            </w:r>
          </w:p>
        </w:tc>
      </w:tr>
      <w:tr w14:paraId="3F40B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4F53858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5750C24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6B46DF71">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（3）消防设施平面图、火警疏散示意图、防火分区图等按幢设置在楼层醒目位置。</w:t>
            </w:r>
          </w:p>
        </w:tc>
      </w:tr>
      <w:tr w14:paraId="4202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4AEC468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66F5AB4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302123F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（4）消防系统各设施设备使用说明清晰，宜图文结合。</w:t>
            </w:r>
          </w:p>
        </w:tc>
      </w:tr>
      <w:tr w14:paraId="3ED0C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627B433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223D183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560237C7">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（5）自动喷水灭火系统启动正常。</w:t>
            </w:r>
          </w:p>
        </w:tc>
      </w:tr>
      <w:tr w14:paraId="7CEE7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1DCF569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23B984D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36D9F5C4">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（6）消火栓箱、防火门、灭火器、消防水泵、红外线报警器、应急照明、安全疏散等系统运行正常。</w:t>
            </w:r>
          </w:p>
        </w:tc>
      </w:tr>
      <w:tr w14:paraId="038E0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7DB4170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499B284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49358BB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（7）消防监控系统运行良好，自动和手动报警设施启动正常。</w:t>
            </w:r>
          </w:p>
        </w:tc>
      </w:tr>
      <w:tr w14:paraId="37570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0CE56D7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35BCBA1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0E8C4641">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（8）正压送风、防排烟系统运行正常。</w:t>
            </w:r>
          </w:p>
        </w:tc>
      </w:tr>
      <w:tr w14:paraId="26613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4251017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w:t>
            </w:r>
          </w:p>
        </w:tc>
        <w:tc>
          <w:tcPr>
            <w:tcW w:w="2162" w:type="dxa"/>
            <w:vMerge w:val="restart"/>
            <w:noWrap w:val="0"/>
            <w:vAlign w:val="center"/>
          </w:tcPr>
          <w:p w14:paraId="3C76AA6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供</w:t>
            </w:r>
            <w:r>
              <w:rPr>
                <w:rFonts w:hint="eastAsia" w:ascii="仿宋" w:hAnsi="仿宋" w:eastAsia="仿宋" w:cs="仿宋"/>
                <w:sz w:val="21"/>
                <w:szCs w:val="21"/>
                <w:highlight w:val="none"/>
                <w:lang w:val="en-US" w:eastAsia="zh-CN"/>
              </w:rPr>
              <w:t>配电</w:t>
            </w:r>
            <w:r>
              <w:rPr>
                <w:rFonts w:hint="eastAsia" w:ascii="仿宋" w:hAnsi="仿宋" w:eastAsia="仿宋" w:cs="仿宋"/>
                <w:sz w:val="21"/>
                <w:szCs w:val="21"/>
                <w:highlight w:val="none"/>
              </w:rPr>
              <w:t>系统</w:t>
            </w:r>
          </w:p>
        </w:tc>
        <w:tc>
          <w:tcPr>
            <w:tcW w:w="6469" w:type="dxa"/>
            <w:noWrap w:val="0"/>
            <w:vAlign w:val="center"/>
          </w:tcPr>
          <w:p w14:paraId="580E407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（1）建立24小时运行值班监控制度。</w:t>
            </w:r>
          </w:p>
        </w:tc>
      </w:tr>
      <w:tr w14:paraId="2F1EC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7C1B6CF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rPr>
            </w:pPr>
          </w:p>
        </w:tc>
        <w:tc>
          <w:tcPr>
            <w:tcW w:w="2162" w:type="dxa"/>
            <w:vMerge w:val="continue"/>
            <w:noWrap w:val="0"/>
            <w:vAlign w:val="center"/>
          </w:tcPr>
          <w:p w14:paraId="4E3DE7A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02E890C1">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（2）对供电范围内的电气设备定期巡视维护，加强高低压配电柜、配电箱、控制柜及线路等重点部位监测。</w:t>
            </w:r>
          </w:p>
        </w:tc>
      </w:tr>
      <w:tr w14:paraId="7020C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01CBD1C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rPr>
            </w:pPr>
          </w:p>
        </w:tc>
        <w:tc>
          <w:tcPr>
            <w:tcW w:w="2162" w:type="dxa"/>
            <w:vMerge w:val="continue"/>
            <w:noWrap w:val="0"/>
            <w:vAlign w:val="center"/>
          </w:tcPr>
          <w:p w14:paraId="6976CEC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55ABDD9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（3）公共使用的照明、指示灯具线路、开关、接地等保持完好，确保用电安全。</w:t>
            </w:r>
          </w:p>
        </w:tc>
      </w:tr>
      <w:tr w14:paraId="28A62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0C560B2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rPr>
            </w:pPr>
          </w:p>
        </w:tc>
        <w:tc>
          <w:tcPr>
            <w:tcW w:w="2162" w:type="dxa"/>
            <w:vMerge w:val="continue"/>
            <w:noWrap w:val="0"/>
            <w:vAlign w:val="center"/>
          </w:tcPr>
          <w:p w14:paraId="5E6D3E3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704864E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（4）核心部位用电建立高可控用电保障和配备应急发电设备，定期维护应急发电设备。</w:t>
            </w:r>
          </w:p>
        </w:tc>
      </w:tr>
      <w:tr w14:paraId="5FA05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6F8301A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rPr>
            </w:pPr>
          </w:p>
        </w:tc>
        <w:tc>
          <w:tcPr>
            <w:tcW w:w="2162" w:type="dxa"/>
            <w:vMerge w:val="continue"/>
            <w:noWrap w:val="0"/>
            <w:vAlign w:val="center"/>
          </w:tcPr>
          <w:p w14:paraId="71E2C3B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64C70500">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（5）发生非计划性停电的，应当在事件发生后及时通知采购人，快速恢复或启用应急电源，并做好应急事件上报及处理工作。</w:t>
            </w:r>
          </w:p>
        </w:tc>
      </w:tr>
      <w:tr w14:paraId="6DA47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2273649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rPr>
            </w:pPr>
          </w:p>
        </w:tc>
        <w:tc>
          <w:tcPr>
            <w:tcW w:w="2162" w:type="dxa"/>
            <w:vMerge w:val="continue"/>
            <w:noWrap w:val="0"/>
            <w:vAlign w:val="center"/>
          </w:tcPr>
          <w:p w14:paraId="3D41A04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72C76D4F">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（6）复杂故障涉及供电部门维修处置的及时与供电部门联系，并向采购人报告。</w:t>
            </w:r>
          </w:p>
        </w:tc>
      </w:tr>
      <w:tr w14:paraId="1EA37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10864A8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w:t>
            </w:r>
          </w:p>
        </w:tc>
        <w:tc>
          <w:tcPr>
            <w:tcW w:w="2162" w:type="dxa"/>
            <w:vMerge w:val="restart"/>
            <w:noWrap w:val="0"/>
            <w:vAlign w:val="center"/>
          </w:tcPr>
          <w:p w14:paraId="77B6B57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弱电系统</w:t>
            </w:r>
          </w:p>
        </w:tc>
        <w:tc>
          <w:tcPr>
            <w:tcW w:w="6469" w:type="dxa"/>
            <w:noWrap w:val="0"/>
            <w:vAlign w:val="center"/>
          </w:tcPr>
          <w:p w14:paraId="2C33471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（1）安全防范系统维护保养符合《安全防范系统维护保养规范》（</w:t>
            </w:r>
            <w:r>
              <w:rPr>
                <w:rFonts w:hint="eastAsia" w:ascii="仿宋" w:hAnsi="仿宋" w:eastAsia="仿宋" w:cs="仿宋"/>
                <w:color w:val="auto"/>
                <w:kern w:val="0"/>
                <w:sz w:val="21"/>
                <w:szCs w:val="21"/>
                <w:highlight w:val="none"/>
              </w:rPr>
              <w:t>GA/T 1081</w:t>
            </w:r>
            <w:r>
              <w:rPr>
                <w:rFonts w:hint="eastAsia" w:ascii="仿宋" w:hAnsi="仿宋" w:eastAsia="仿宋" w:cs="仿宋"/>
                <w:b w:val="0"/>
                <w:bCs w:val="0"/>
                <w:color w:val="auto"/>
                <w:kern w:val="0"/>
                <w:sz w:val="21"/>
                <w:szCs w:val="21"/>
                <w:highlight w:val="none"/>
                <w:lang w:val="en-US" w:eastAsia="zh-CN"/>
              </w:rPr>
              <w:t>）的相关要求。</w:t>
            </w:r>
          </w:p>
        </w:tc>
      </w:tr>
      <w:tr w14:paraId="2398C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7881EAF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39AFE26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5B4F7E03">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（2）保持监控系统、门禁系统、安全防范系统等运行正常，有故障及时排除。</w:t>
            </w:r>
          </w:p>
        </w:tc>
      </w:tr>
      <w:tr w14:paraId="3069A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3C02BCD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9</w:t>
            </w:r>
          </w:p>
        </w:tc>
        <w:tc>
          <w:tcPr>
            <w:tcW w:w="2162" w:type="dxa"/>
            <w:vMerge w:val="restart"/>
            <w:noWrap w:val="0"/>
            <w:vAlign w:val="center"/>
          </w:tcPr>
          <w:p w14:paraId="35A3B2D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照明</w:t>
            </w:r>
            <w:r>
              <w:rPr>
                <w:rFonts w:hint="eastAsia" w:ascii="仿宋" w:hAnsi="仿宋" w:eastAsia="仿宋" w:cs="仿宋"/>
                <w:sz w:val="21"/>
                <w:szCs w:val="21"/>
                <w:highlight w:val="none"/>
              </w:rPr>
              <w:t>系统</w:t>
            </w:r>
          </w:p>
        </w:tc>
        <w:tc>
          <w:tcPr>
            <w:tcW w:w="6469" w:type="dxa"/>
            <w:noWrap w:val="0"/>
            <w:vAlign w:val="center"/>
          </w:tcPr>
          <w:p w14:paraId="1A8AC387">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（1）外观整洁无缺损、无松落。</w:t>
            </w:r>
          </w:p>
        </w:tc>
      </w:tr>
      <w:tr w14:paraId="3DAF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2FD79BD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1F30A5B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2A809C6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（2）更换的照明灯具应当选用节能环保产品，亮度与更换前保持一致。</w:t>
            </w:r>
          </w:p>
        </w:tc>
      </w:tr>
      <w:tr w14:paraId="6694E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0D86DB7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04B6F1D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05D5B68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（3）每周至少开展1次公共区域照明设备巡视。</w:t>
            </w:r>
          </w:p>
        </w:tc>
      </w:tr>
      <w:tr w14:paraId="59383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38E9A9A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10</w:t>
            </w:r>
          </w:p>
        </w:tc>
        <w:tc>
          <w:tcPr>
            <w:tcW w:w="2162" w:type="dxa"/>
            <w:vMerge w:val="restart"/>
            <w:noWrap w:val="0"/>
            <w:vAlign w:val="center"/>
          </w:tcPr>
          <w:p w14:paraId="1866DB0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锅炉设备/热力站</w:t>
            </w:r>
          </w:p>
        </w:tc>
        <w:tc>
          <w:tcPr>
            <w:tcW w:w="6469" w:type="dxa"/>
            <w:noWrap w:val="0"/>
            <w:vAlign w:val="center"/>
          </w:tcPr>
          <w:p w14:paraId="43504744">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（1）建立24小时值班监控制度。</w:t>
            </w:r>
          </w:p>
        </w:tc>
      </w:tr>
      <w:tr w14:paraId="5E953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32333F1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0004F95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27080A1D">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（2）每年至少开展1次锅炉设备的全面检查。</w:t>
            </w:r>
          </w:p>
        </w:tc>
      </w:tr>
      <w:tr w14:paraId="13A2A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10CE6A3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699E17B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01B4DBC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（3）每年至少开展1次锅炉设备及其辅助设备检测，确保各类设备、仪器仪表、水管线路运行正常。</w:t>
            </w:r>
          </w:p>
        </w:tc>
      </w:tr>
      <w:tr w14:paraId="2D39D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09DF9BF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5749F6D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212E4ED0">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（4）每年至少开展1次锅炉水质检测，确保水质合格。</w:t>
            </w:r>
          </w:p>
        </w:tc>
      </w:tr>
      <w:tr w14:paraId="08A9C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326BAEC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4303854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504BB37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（5）按锅炉厂家制定的检修规程对锅炉进行检修。</w:t>
            </w:r>
          </w:p>
        </w:tc>
      </w:tr>
      <w:tr w14:paraId="4EA8D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restart"/>
            <w:noWrap w:val="0"/>
            <w:vAlign w:val="center"/>
          </w:tcPr>
          <w:p w14:paraId="0AC4766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11</w:t>
            </w:r>
          </w:p>
        </w:tc>
        <w:tc>
          <w:tcPr>
            <w:tcW w:w="2162" w:type="dxa"/>
            <w:vMerge w:val="restart"/>
            <w:noWrap w:val="0"/>
            <w:vAlign w:val="center"/>
          </w:tcPr>
          <w:p w14:paraId="4B58337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采暖系统</w:t>
            </w:r>
          </w:p>
        </w:tc>
        <w:tc>
          <w:tcPr>
            <w:tcW w:w="6469" w:type="dxa"/>
            <w:noWrap w:val="0"/>
            <w:vAlign w:val="center"/>
          </w:tcPr>
          <w:p w14:paraId="35D510D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（1）定期检查供暖管道、阀门运行情况，确保正常无隐患。</w:t>
            </w:r>
          </w:p>
        </w:tc>
      </w:tr>
      <w:tr w14:paraId="3DA7A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3F9E745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41475EE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77423DA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（2）负责暖气片、阀门龙头等新装布置及旧装拆除、日常维修更换及管线的跑、冒、滴、漏的维修。</w:t>
            </w:r>
          </w:p>
        </w:tc>
      </w:tr>
      <w:tr w14:paraId="2903D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79E953E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1B1CCE3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69" w:type="dxa"/>
            <w:noWrap w:val="0"/>
            <w:vAlign w:val="center"/>
          </w:tcPr>
          <w:p w14:paraId="61E73C13">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（3）做好供暖前检查等相关准备工作。</w:t>
            </w:r>
          </w:p>
        </w:tc>
      </w:tr>
      <w:tr w14:paraId="06CBA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41DCD5C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73298BA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189DAE00">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（4）暖气片上水前，提前通知采购人。</w:t>
            </w:r>
          </w:p>
        </w:tc>
      </w:tr>
      <w:tr w14:paraId="4C855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1C6B97F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4F12139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1ADCB27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（5）供暖期间做好日常检查、维护、抢修、登记上报等工作。</w:t>
            </w:r>
          </w:p>
        </w:tc>
      </w:tr>
      <w:tr w14:paraId="4A30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2" w:type="dxa"/>
            <w:vMerge w:val="continue"/>
            <w:noWrap w:val="0"/>
            <w:vAlign w:val="center"/>
          </w:tcPr>
          <w:p w14:paraId="714392F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62" w:type="dxa"/>
            <w:vMerge w:val="continue"/>
            <w:noWrap w:val="0"/>
            <w:vAlign w:val="center"/>
          </w:tcPr>
          <w:p w14:paraId="3078A1B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69" w:type="dxa"/>
            <w:noWrap w:val="0"/>
            <w:vAlign w:val="center"/>
          </w:tcPr>
          <w:p w14:paraId="22A67510">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（6）根据天气情况适时调节供暖设备运行工况，节约能源。</w:t>
            </w:r>
          </w:p>
        </w:tc>
      </w:tr>
    </w:tbl>
    <w:p w14:paraId="3C1CA0D8">
      <w:pPr>
        <w:pStyle w:val="2"/>
        <w:pageBreakBefore w:val="0"/>
        <w:kinsoku/>
        <w:wordWrap/>
        <w:overflowPunct/>
        <w:topLinePunct w:val="0"/>
        <w:bidi w:val="0"/>
        <w:adjustRightInd/>
        <w:snapToGrid w:val="0"/>
        <w:spacing w:line="500" w:lineRule="exact"/>
        <w:textAlignment w:val="auto"/>
        <w:rPr>
          <w:rFonts w:hint="eastAsia" w:ascii="仿宋" w:hAnsi="仿宋" w:eastAsia="仿宋" w:cs="仿宋"/>
          <w:b w:val="0"/>
          <w:bCs w:val="0"/>
          <w:sz w:val="28"/>
          <w:szCs w:val="28"/>
          <w:highlight w:val="none"/>
        </w:rPr>
      </w:pPr>
      <w:r>
        <w:rPr>
          <w:rFonts w:hint="eastAsia" w:ascii="仿宋" w:hAnsi="仿宋" w:eastAsia="仿宋" w:cs="仿宋"/>
          <w:sz w:val="28"/>
          <w:szCs w:val="28"/>
          <w:highlight w:val="none"/>
          <w:lang w:val="en-US" w:eastAsia="zh-CN"/>
        </w:rPr>
        <w:t>注：电梯系统、锅炉设备等设施设备的安装改造维修应当由具备相应资质的供应商完成，如供应商自身不具备，可进行分包由具有相应资质的单位完成。</w:t>
      </w:r>
      <w:r>
        <w:rPr>
          <w:rFonts w:hint="eastAsia" w:ascii="仿宋" w:hAnsi="仿宋" w:eastAsia="仿宋" w:cs="仿宋"/>
          <w:b w:val="0"/>
          <w:bCs w:val="0"/>
          <w:sz w:val="28"/>
          <w:szCs w:val="28"/>
          <w:highlight w:val="none"/>
        </w:rPr>
        <w:t>服务标准涉及的国家标准有更新的，执行国家最新标准。</w:t>
      </w:r>
    </w:p>
    <w:p w14:paraId="362C2E08">
      <w:pPr>
        <w:pageBreakBefore w:val="0"/>
        <w:widowControl/>
        <w:kinsoku/>
        <w:wordWrap/>
        <w:overflowPunct/>
        <w:topLinePunct w:val="0"/>
        <w:autoSpaceDE w:val="0"/>
        <w:autoSpaceDN w:val="0"/>
        <w:bidi w:val="0"/>
        <w:adjustRightInd/>
        <w:snapToGrid w:val="0"/>
        <w:spacing w:line="500" w:lineRule="exact"/>
        <w:ind w:firstLine="562" w:firstLineChars="200"/>
        <w:jc w:val="both"/>
        <w:textAlignment w:val="auto"/>
        <w:outlineLvl w:val="2"/>
        <w:rPr>
          <w:rFonts w:hint="eastAsia"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3.4保洁服务</w:t>
      </w:r>
    </w:p>
    <w:tbl>
      <w:tblPr>
        <w:tblStyle w:val="4"/>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1973"/>
        <w:gridCol w:w="5841"/>
      </w:tblGrid>
      <w:tr w14:paraId="51348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noWrap w:val="0"/>
            <w:vAlign w:val="center"/>
          </w:tcPr>
          <w:p w14:paraId="7CCC57C4">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序号</w:t>
            </w:r>
          </w:p>
        </w:tc>
        <w:tc>
          <w:tcPr>
            <w:tcW w:w="2177" w:type="dxa"/>
            <w:noWrap w:val="0"/>
            <w:vAlign w:val="center"/>
          </w:tcPr>
          <w:p w14:paraId="60FF2956">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服务内容</w:t>
            </w:r>
          </w:p>
        </w:tc>
        <w:tc>
          <w:tcPr>
            <w:tcW w:w="6443" w:type="dxa"/>
            <w:noWrap w:val="0"/>
            <w:vAlign w:val="center"/>
          </w:tcPr>
          <w:p w14:paraId="045EA5B4">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服务标准</w:t>
            </w:r>
          </w:p>
        </w:tc>
      </w:tr>
      <w:tr w14:paraId="50FC7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restart"/>
            <w:noWrap w:val="0"/>
            <w:vAlign w:val="center"/>
          </w:tcPr>
          <w:p w14:paraId="62ADAA9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2177" w:type="dxa"/>
            <w:vMerge w:val="restart"/>
            <w:noWrap w:val="0"/>
            <w:vAlign w:val="center"/>
          </w:tcPr>
          <w:p w14:paraId="2E3798C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基本要求</w:t>
            </w:r>
          </w:p>
        </w:tc>
        <w:tc>
          <w:tcPr>
            <w:tcW w:w="6443" w:type="dxa"/>
            <w:noWrap w:val="0"/>
            <w:vAlign w:val="center"/>
          </w:tcPr>
          <w:p w14:paraId="19944B7F">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（1）建立保洁服务的工作制度及工作计划，并按照执行。</w:t>
            </w:r>
          </w:p>
        </w:tc>
      </w:tr>
      <w:tr w14:paraId="72C42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3AA609C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5DBCDBB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43" w:type="dxa"/>
            <w:noWrap w:val="0"/>
            <w:vAlign w:val="center"/>
          </w:tcPr>
          <w:p w14:paraId="39F92C7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（2）做好保洁服务工作记录，记录填写规范、保存完好。</w:t>
            </w:r>
          </w:p>
        </w:tc>
      </w:tr>
      <w:tr w14:paraId="56CE4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08659F0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01783B6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43" w:type="dxa"/>
            <w:noWrap w:val="0"/>
            <w:vAlign w:val="center"/>
          </w:tcPr>
          <w:p w14:paraId="00D05DAF">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（3）作业时采取安全防护措施，防止对作业人员或他人造成伤害。相关耗材的环保、安全性等应当符合国家相关规定要求。</w:t>
            </w:r>
          </w:p>
        </w:tc>
      </w:tr>
      <w:tr w14:paraId="7AB6B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17DC55A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5661908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23E2ACB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（4）进入保密区域时，有采购人相关人员全程在场。</w:t>
            </w:r>
          </w:p>
        </w:tc>
      </w:tr>
      <w:tr w14:paraId="3ADF4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787" w:type="dxa"/>
            <w:vMerge w:val="restart"/>
            <w:noWrap w:val="0"/>
            <w:vAlign w:val="center"/>
          </w:tcPr>
          <w:p w14:paraId="3F90A7A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2177" w:type="dxa"/>
            <w:vMerge w:val="restart"/>
            <w:noWrap w:val="0"/>
            <w:vAlign w:val="center"/>
          </w:tcPr>
          <w:p w14:paraId="54DC2CF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办公用房区域保洁</w:t>
            </w:r>
          </w:p>
        </w:tc>
        <w:tc>
          <w:tcPr>
            <w:tcW w:w="6443" w:type="dxa"/>
            <w:noWrap w:val="0"/>
            <w:vAlign w:val="center"/>
          </w:tcPr>
          <w:p w14:paraId="7464B9A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（1）大厅、楼内公共通道：</w:t>
            </w:r>
          </w:p>
          <w:p w14:paraId="13996950">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 xml:space="preserve"> ①公共通道保持干净，无异味、无杂物、无积水，每日至少开展1次清洁作业。</w:t>
            </w:r>
          </w:p>
          <w:p w14:paraId="4F46765B">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 xml:space="preserve"> ②门窗玻璃干净无尘，透光性好，每周至少开展1次清洁作业。</w:t>
            </w:r>
          </w:p>
          <w:p w14:paraId="536F74DF">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t xml:space="preserve"> ③指示牌干净，无污渍，每日至少开展1次清洁作业。</w:t>
            </w:r>
          </w:p>
        </w:tc>
      </w:tr>
      <w:tr w14:paraId="379FA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787" w:type="dxa"/>
            <w:vMerge w:val="continue"/>
            <w:noWrap w:val="0"/>
            <w:vAlign w:val="center"/>
          </w:tcPr>
          <w:p w14:paraId="14D90AF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5D2729F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60E3EDD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（2）电器、消防等设施设备：</w:t>
            </w:r>
          </w:p>
          <w:p w14:paraId="590D6FA3">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 xml:space="preserve"> ①配电箱、设备机房、会议室音视频设备、消防栓及开关插座等保持表面干净，无尘无污迹，每月至少开展1次清洁作业。</w:t>
            </w:r>
          </w:p>
          <w:p w14:paraId="2B41844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t xml:space="preserve"> ②监控摄像头、门禁系统等表面光亮，无尘、无斑点，每月至少开展1次清洁作业。</w:t>
            </w:r>
          </w:p>
        </w:tc>
      </w:tr>
      <w:tr w14:paraId="32CC3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402A307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4039E2D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53A3CD6B">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（3）楼梯及楼梯间保持干净、无异味、无杂物、无积水，每日至少开展1次清洁作业。</w:t>
            </w:r>
          </w:p>
        </w:tc>
      </w:tr>
      <w:tr w14:paraId="59B1C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5E3EAA6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46DBABC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5E53B45B">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（4）开水间保持干净、无异味、无杂物、无积水，每日至少开展1次清洁作业。</w:t>
            </w:r>
          </w:p>
        </w:tc>
      </w:tr>
      <w:tr w14:paraId="093AF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3A9D5EA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6DB4DF3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0DFA361B">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（5）作业工具间：</w:t>
            </w:r>
          </w:p>
          <w:p w14:paraId="687EE4D5">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 xml:space="preserve"> ①保持干净，无异味、无杂物、无积水，每日至少开展1次清洁作业。</w:t>
            </w:r>
          </w:p>
          <w:p w14:paraId="2A9F5C84">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t xml:space="preserve"> ②作业工具摆放整齐有序，表面干净无渍，每日消毒。</w:t>
            </w:r>
          </w:p>
        </w:tc>
      </w:tr>
      <w:tr w14:paraId="08F74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787" w:type="dxa"/>
            <w:vMerge w:val="continue"/>
            <w:noWrap w:val="0"/>
            <w:vAlign w:val="center"/>
          </w:tcPr>
          <w:p w14:paraId="16BC512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717663C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00DC93A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（6）公共卫生间：</w:t>
            </w:r>
          </w:p>
          <w:p w14:paraId="650947C7">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 xml:space="preserve"> ①保持干净，无异味，垃圾无溢出，每日至少开展1次清洁作业。</w:t>
            </w:r>
          </w:p>
          <w:p w14:paraId="2409B7A4">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t xml:space="preserve"> ②及时补充厕纸等必要用品。</w:t>
            </w:r>
          </w:p>
        </w:tc>
      </w:tr>
      <w:tr w14:paraId="14CBC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787" w:type="dxa"/>
            <w:vMerge w:val="continue"/>
            <w:noWrap w:val="0"/>
            <w:vAlign w:val="center"/>
          </w:tcPr>
          <w:p w14:paraId="0E6293E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59730B9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4E7B5072">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（7）电梯轿厢：</w:t>
            </w:r>
          </w:p>
          <w:p w14:paraId="6F20757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315" w:firstLine="0" w:firstLineChars="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①保持干净，无污渍、无粘贴物、无异味，每日至少开展1次清洁作业。</w:t>
            </w:r>
          </w:p>
          <w:p w14:paraId="4DE644E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315" w:firstLine="0" w:firstLineChars="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t>②灯具、操作指示板明亮。</w:t>
            </w:r>
          </w:p>
        </w:tc>
      </w:tr>
      <w:tr w14:paraId="5A522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56EB774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114F622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18941619">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（8）平台、屋顶、天沟保持干净，有杂物及时清扫，每月至少开展1次清洁作业。</w:t>
            </w:r>
          </w:p>
        </w:tc>
      </w:tr>
      <w:tr w14:paraId="1B3C4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56BBC91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2478E4C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507C55F7">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（9）</w:t>
            </w:r>
            <w:r>
              <w:rPr>
                <w:rFonts w:hint="eastAsia" w:ascii="仿宋" w:hAnsi="仿宋" w:eastAsia="仿宋" w:cs="仿宋"/>
                <w:color w:val="auto"/>
                <w:sz w:val="21"/>
                <w:szCs w:val="21"/>
                <w:highlight w:val="none"/>
                <w:u w:val="none"/>
                <w:lang w:val="en-US" w:eastAsia="zh-CN"/>
              </w:rPr>
              <w:t>石材地面、内墙做好养护工作</w:t>
            </w:r>
            <w:r>
              <w:rPr>
                <w:rFonts w:hint="eastAsia" w:ascii="仿宋" w:hAnsi="仿宋" w:eastAsia="仿宋" w:cs="仿宋"/>
                <w:b w:val="0"/>
                <w:bCs w:val="0"/>
                <w:color w:val="auto"/>
                <w:kern w:val="0"/>
                <w:sz w:val="21"/>
                <w:szCs w:val="21"/>
                <w:highlight w:val="none"/>
                <w:lang w:val="en-US" w:eastAsia="zh-CN"/>
              </w:rPr>
              <w:t>，每季度开展1次清洁作业。（各类材质地面、内墙服务管理标准详见3.4.1）</w:t>
            </w:r>
          </w:p>
        </w:tc>
      </w:tr>
      <w:tr w14:paraId="2A0C7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87" w:type="dxa"/>
            <w:vMerge w:val="continue"/>
            <w:noWrap w:val="0"/>
            <w:vAlign w:val="center"/>
          </w:tcPr>
          <w:p w14:paraId="4FB596F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5C2A577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1CCBA584">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（10）</w:t>
            </w:r>
            <w:r>
              <w:rPr>
                <w:rFonts w:hint="eastAsia" w:ascii="仿宋" w:hAnsi="仿宋" w:eastAsia="仿宋" w:cs="仿宋"/>
                <w:color w:val="auto"/>
                <w:sz w:val="21"/>
                <w:szCs w:val="21"/>
                <w:highlight w:val="none"/>
                <w:u w:val="none"/>
                <w:lang w:val="en-US" w:eastAsia="zh-CN"/>
              </w:rPr>
              <w:t>地毯干净、无油渍、无污渍、无褪色</w:t>
            </w:r>
            <w:r>
              <w:rPr>
                <w:rFonts w:hint="eastAsia" w:ascii="仿宋" w:hAnsi="仿宋" w:eastAsia="仿宋" w:cs="仿宋"/>
                <w:b w:val="0"/>
                <w:bCs w:val="0"/>
                <w:color w:val="auto"/>
                <w:kern w:val="0"/>
                <w:sz w:val="21"/>
                <w:szCs w:val="21"/>
                <w:highlight w:val="none"/>
                <w:lang w:val="en-US" w:eastAsia="zh-CN"/>
              </w:rPr>
              <w:t>，每月至少开展1次清洁作业。</w:t>
            </w:r>
          </w:p>
        </w:tc>
      </w:tr>
      <w:tr w14:paraId="2EFA0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restart"/>
            <w:noWrap w:val="0"/>
            <w:vAlign w:val="center"/>
          </w:tcPr>
          <w:p w14:paraId="2C453D3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2177" w:type="dxa"/>
            <w:vMerge w:val="restart"/>
            <w:noWrap w:val="0"/>
            <w:vAlign w:val="center"/>
          </w:tcPr>
          <w:p w14:paraId="145F66D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公共场地区域保洁</w:t>
            </w:r>
          </w:p>
        </w:tc>
        <w:tc>
          <w:tcPr>
            <w:tcW w:w="6443" w:type="dxa"/>
            <w:noWrap w:val="0"/>
            <w:vAlign w:val="center"/>
          </w:tcPr>
          <w:p w14:paraId="104F556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sz w:val="21"/>
                <w:szCs w:val="21"/>
                <w:highlight w:val="none"/>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（1）每日清扫道路地面、停车场等公共区域2次，保持干净、无杂物、无积水。</w:t>
            </w:r>
          </w:p>
        </w:tc>
      </w:tr>
      <w:tr w14:paraId="04E4E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5940212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rPr>
            </w:pPr>
          </w:p>
        </w:tc>
        <w:tc>
          <w:tcPr>
            <w:tcW w:w="2177" w:type="dxa"/>
            <w:vMerge w:val="continue"/>
            <w:noWrap w:val="0"/>
            <w:vAlign w:val="center"/>
          </w:tcPr>
          <w:p w14:paraId="4878F71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0DF00A2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sz w:val="21"/>
                <w:szCs w:val="21"/>
                <w:highlight w:val="none"/>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（2）雪、冰冻等恶劣天气时及时清扫积水、积雪，并采取安全防护措施。</w:t>
            </w:r>
          </w:p>
        </w:tc>
      </w:tr>
      <w:tr w14:paraId="3A985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0A000EB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rPr>
            </w:pPr>
          </w:p>
        </w:tc>
        <w:tc>
          <w:tcPr>
            <w:tcW w:w="2177" w:type="dxa"/>
            <w:vMerge w:val="continue"/>
            <w:noWrap w:val="0"/>
            <w:vAlign w:val="center"/>
          </w:tcPr>
          <w:p w14:paraId="61275D9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3FE81BD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sz w:val="21"/>
                <w:szCs w:val="21"/>
                <w:highlight w:val="none"/>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（3）各种路标、宣传栏等保持干净，每月至少开展1次清洁作业。</w:t>
            </w:r>
          </w:p>
        </w:tc>
      </w:tr>
      <w:tr w14:paraId="3F9E8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3AEF769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rPr>
            </w:pPr>
          </w:p>
        </w:tc>
        <w:tc>
          <w:tcPr>
            <w:tcW w:w="2177" w:type="dxa"/>
            <w:vMerge w:val="continue"/>
            <w:noWrap w:val="0"/>
            <w:vAlign w:val="center"/>
          </w:tcPr>
          <w:p w14:paraId="1EE6C6B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08E0C57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sz w:val="21"/>
                <w:szCs w:val="21"/>
                <w:highlight w:val="none"/>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（4）清洁室外照明设备，每月至少开展1次清洁作业。</w:t>
            </w:r>
          </w:p>
        </w:tc>
      </w:tr>
      <w:tr w14:paraId="39797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4519738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rPr>
            </w:pPr>
          </w:p>
        </w:tc>
        <w:tc>
          <w:tcPr>
            <w:tcW w:w="2177" w:type="dxa"/>
            <w:vMerge w:val="continue"/>
            <w:noWrap w:val="0"/>
            <w:vAlign w:val="center"/>
          </w:tcPr>
          <w:p w14:paraId="5E2B0C5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15C28178">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sz w:val="21"/>
                <w:szCs w:val="21"/>
                <w:highlight w:val="none"/>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（5）绿地内无杂物、无改变用途和破坏、践踏、占用现象，每天至少开展1次巡查。</w:t>
            </w:r>
          </w:p>
        </w:tc>
      </w:tr>
      <w:tr w14:paraId="5ED86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87" w:type="dxa"/>
            <w:vMerge w:val="continue"/>
            <w:noWrap w:val="0"/>
            <w:vAlign w:val="center"/>
          </w:tcPr>
          <w:p w14:paraId="7571380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rPr>
            </w:pPr>
          </w:p>
        </w:tc>
        <w:tc>
          <w:tcPr>
            <w:tcW w:w="2177" w:type="dxa"/>
            <w:vMerge w:val="continue"/>
            <w:noWrap w:val="0"/>
            <w:vAlign w:val="center"/>
          </w:tcPr>
          <w:p w14:paraId="77CD577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5C00C78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w:t>
            </w:r>
            <w:r>
              <w:rPr>
                <w:rFonts w:hint="eastAsia" w:ascii="仿宋" w:hAnsi="仿宋" w:eastAsia="仿宋" w:cs="仿宋"/>
                <w:sz w:val="21"/>
                <w:szCs w:val="21"/>
                <w:highlight w:val="none"/>
              </w:rPr>
              <w:t>办公区外立面</w:t>
            </w:r>
            <w:r>
              <w:rPr>
                <w:rFonts w:hint="eastAsia" w:ascii="仿宋" w:hAnsi="仿宋" w:eastAsia="仿宋" w:cs="仿宋"/>
                <w:color w:val="auto"/>
                <w:sz w:val="21"/>
                <w:szCs w:val="21"/>
                <w:highlight w:val="none"/>
                <w:u w:val="none"/>
                <w:lang w:val="en-US" w:eastAsia="zh-CN"/>
              </w:rPr>
              <w:t>定期</w:t>
            </w:r>
            <w:r>
              <w:rPr>
                <w:rFonts w:hint="eastAsia" w:ascii="仿宋" w:hAnsi="仿宋" w:eastAsia="仿宋" w:cs="仿宋"/>
                <w:sz w:val="21"/>
                <w:szCs w:val="21"/>
                <w:highlight w:val="none"/>
              </w:rPr>
              <w:t>清洗、</w:t>
            </w:r>
            <w:r>
              <w:rPr>
                <w:rFonts w:hint="eastAsia" w:ascii="仿宋" w:hAnsi="仿宋" w:eastAsia="仿宋" w:cs="仿宋"/>
                <w:sz w:val="21"/>
                <w:szCs w:val="21"/>
                <w:highlight w:val="none"/>
                <w:lang w:val="en-US" w:eastAsia="zh-CN"/>
              </w:rPr>
              <w:t>2米以上</w:t>
            </w:r>
            <w:r>
              <w:rPr>
                <w:rFonts w:hint="eastAsia" w:ascii="仿宋" w:hAnsi="仿宋" w:eastAsia="仿宋" w:cs="仿宋"/>
                <w:sz w:val="21"/>
                <w:szCs w:val="21"/>
                <w:highlight w:val="none"/>
              </w:rPr>
              <w:t>外窗玻璃擦拭</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每年</w:t>
            </w:r>
            <w:r>
              <w:rPr>
                <w:rFonts w:hint="eastAsia" w:ascii="仿宋" w:hAnsi="仿宋" w:eastAsia="仿宋" w:cs="仿宋"/>
                <w:b w:val="0"/>
                <w:bCs w:val="0"/>
                <w:color w:val="auto"/>
                <w:kern w:val="0"/>
                <w:sz w:val="21"/>
                <w:szCs w:val="21"/>
                <w:highlight w:val="none"/>
                <w:lang w:val="en-US" w:eastAsia="zh-CN"/>
              </w:rPr>
              <w:t>至少开展</w:t>
            </w:r>
            <w:r>
              <w:rPr>
                <w:rFonts w:hint="eastAsia" w:ascii="仿宋" w:hAnsi="仿宋" w:eastAsia="仿宋" w:cs="仿宋"/>
                <w:sz w:val="21"/>
                <w:szCs w:val="21"/>
                <w:highlight w:val="none"/>
                <w:lang w:val="en-US" w:eastAsia="zh-CN"/>
              </w:rPr>
              <w:t>1次清洗。</w:t>
            </w:r>
            <w:r>
              <w:rPr>
                <w:rFonts w:hint="eastAsia" w:ascii="仿宋" w:hAnsi="仿宋" w:eastAsia="仿宋" w:cs="仿宋"/>
                <w:b w:val="0"/>
                <w:bCs w:val="0"/>
                <w:color w:val="auto"/>
                <w:kern w:val="0"/>
                <w:sz w:val="21"/>
                <w:szCs w:val="21"/>
                <w:highlight w:val="none"/>
                <w:lang w:val="en-US" w:eastAsia="zh-CN"/>
              </w:rPr>
              <w:t>（各类材质外立面服务标准详见3.4.1）</w:t>
            </w:r>
          </w:p>
        </w:tc>
      </w:tr>
      <w:tr w14:paraId="4F65B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restart"/>
            <w:noWrap w:val="0"/>
            <w:vAlign w:val="center"/>
          </w:tcPr>
          <w:p w14:paraId="26D6CA9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p>
        </w:tc>
        <w:tc>
          <w:tcPr>
            <w:tcW w:w="2177" w:type="dxa"/>
            <w:vMerge w:val="restart"/>
            <w:noWrap w:val="0"/>
            <w:vAlign w:val="center"/>
          </w:tcPr>
          <w:p w14:paraId="08D3E16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垃圾处理</w:t>
            </w:r>
          </w:p>
        </w:tc>
        <w:tc>
          <w:tcPr>
            <w:tcW w:w="6443" w:type="dxa"/>
            <w:noWrap w:val="0"/>
            <w:vAlign w:val="center"/>
          </w:tcPr>
          <w:p w14:paraId="28195494">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（1）在指定位置摆放分类垃圾桶，并在显著处张贴垃圾分类标识。分类垃圾桶和垃圾分类标识根据所在城市的要求设置。</w:t>
            </w:r>
          </w:p>
        </w:tc>
      </w:tr>
      <w:tr w14:paraId="099CA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0756FC9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7C3A846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6D87BC1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（2）桶身表面干净无污渍，每日开展至少1次清洁作业。</w:t>
            </w:r>
          </w:p>
        </w:tc>
      </w:tr>
      <w:tr w14:paraId="1F03A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399C485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69E9F24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14491725">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（3）垃圾中转房保持整洁，无明显异味，每日至少开展1次清洁作业。</w:t>
            </w:r>
          </w:p>
        </w:tc>
      </w:tr>
      <w:tr w14:paraId="66EAE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72A0175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6FEF6C5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0D18566D">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（4）化粪池清掏，无明显异味，每半年至少开展1次清洁作业。</w:t>
            </w:r>
          </w:p>
        </w:tc>
      </w:tr>
      <w:tr w14:paraId="645E7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57467E8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33276DA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2D5B1470">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w:t>
            </w:r>
            <w:r>
              <w:rPr>
                <w:rFonts w:hint="eastAsia" w:ascii="仿宋" w:hAnsi="仿宋" w:eastAsia="仿宋" w:cs="仿宋"/>
                <w:color w:val="auto"/>
                <w:sz w:val="21"/>
                <w:szCs w:val="21"/>
                <w:highlight w:val="none"/>
                <w:u w:val="none"/>
                <w:lang w:val="en-US" w:eastAsia="zh-CN"/>
              </w:rPr>
              <w:t>每个工作日内要对楼层产生的垃圾，进行清理分类，并运至垃圾集中堆放点。</w:t>
            </w:r>
          </w:p>
        </w:tc>
      </w:tr>
      <w:tr w14:paraId="22724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05A03A5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4C98CFD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7AB425B9">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（6）垃圾装袋，日产日清。</w:t>
            </w:r>
          </w:p>
        </w:tc>
      </w:tr>
      <w:tr w14:paraId="1988B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118189F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4BFCF4A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571CD10D">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（7）建立垃圾清运台账，交由规范的渠道回收处理。</w:t>
            </w:r>
          </w:p>
        </w:tc>
      </w:tr>
      <w:tr w14:paraId="416E5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Merge w:val="continue"/>
            <w:noWrap w:val="0"/>
            <w:vAlign w:val="center"/>
          </w:tcPr>
          <w:p w14:paraId="1AC0A62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55CFB5E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2DB3C889">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（8）</w:t>
            </w:r>
            <w:r>
              <w:rPr>
                <w:rFonts w:hint="eastAsia" w:ascii="仿宋" w:hAnsi="仿宋" w:eastAsia="仿宋" w:cs="仿宋"/>
                <w:color w:val="auto"/>
                <w:sz w:val="21"/>
                <w:szCs w:val="21"/>
                <w:highlight w:val="none"/>
                <w:u w:val="none"/>
                <w:lang w:val="en-US" w:eastAsia="zh-CN"/>
              </w:rPr>
              <w:t>做好垃圾分类管理的宣传工作，督促并引导全员参与垃圾分类投放。</w:t>
            </w:r>
          </w:p>
        </w:tc>
      </w:tr>
      <w:tr w14:paraId="7CC11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787" w:type="dxa"/>
            <w:vMerge w:val="continue"/>
            <w:noWrap w:val="0"/>
            <w:vAlign w:val="center"/>
          </w:tcPr>
          <w:p w14:paraId="7F4BA41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6C1509D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1A06E112">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（9）</w:t>
            </w:r>
            <w:r>
              <w:rPr>
                <w:rFonts w:hint="eastAsia" w:ascii="仿宋" w:hAnsi="仿宋" w:eastAsia="仿宋" w:cs="仿宋"/>
                <w:color w:val="auto"/>
                <w:sz w:val="21"/>
                <w:szCs w:val="21"/>
                <w:highlight w:val="none"/>
                <w:u w:val="none"/>
                <w:lang w:val="en-US" w:eastAsia="zh-CN"/>
              </w:rPr>
              <w:t>垃圾分类投放管理工作的执行标准，按</w:t>
            </w:r>
            <w:r>
              <w:rPr>
                <w:rFonts w:hint="eastAsia" w:ascii="仿宋" w:hAnsi="仿宋" w:eastAsia="仿宋" w:cs="仿宋"/>
                <w:b w:val="0"/>
                <w:bCs w:val="0"/>
                <w:color w:val="auto"/>
                <w:kern w:val="0"/>
                <w:sz w:val="21"/>
                <w:szCs w:val="21"/>
                <w:highlight w:val="none"/>
                <w:lang w:val="en-US" w:eastAsia="zh-CN"/>
              </w:rPr>
              <w:t>所在城市</w:t>
            </w:r>
            <w:r>
              <w:rPr>
                <w:rFonts w:hint="eastAsia" w:ascii="仿宋" w:hAnsi="仿宋" w:eastAsia="仿宋" w:cs="仿宋"/>
                <w:color w:val="auto"/>
                <w:sz w:val="21"/>
                <w:szCs w:val="21"/>
                <w:highlight w:val="none"/>
                <w:u w:val="none"/>
                <w:lang w:val="en-US" w:eastAsia="zh-CN"/>
              </w:rPr>
              <w:t>的要求执行。</w:t>
            </w:r>
          </w:p>
        </w:tc>
      </w:tr>
      <w:tr w14:paraId="72116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87" w:type="dxa"/>
            <w:vMerge w:val="restart"/>
            <w:noWrap w:val="0"/>
            <w:vAlign w:val="center"/>
          </w:tcPr>
          <w:p w14:paraId="5582AE9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p>
        </w:tc>
        <w:tc>
          <w:tcPr>
            <w:tcW w:w="2177" w:type="dxa"/>
            <w:vMerge w:val="restart"/>
            <w:noWrap w:val="0"/>
            <w:vAlign w:val="center"/>
          </w:tcPr>
          <w:p w14:paraId="56F82CC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卫生消毒</w:t>
            </w:r>
          </w:p>
        </w:tc>
        <w:tc>
          <w:tcPr>
            <w:tcW w:w="6443" w:type="dxa"/>
            <w:noWrap w:val="0"/>
            <w:vAlign w:val="center"/>
          </w:tcPr>
          <w:p w14:paraId="5E13D25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（1）办公用房区域、公共场所区域和周围环境预防性卫生消毒，</w:t>
            </w:r>
            <w:r>
              <w:rPr>
                <w:rFonts w:hint="eastAsia" w:ascii="仿宋" w:hAnsi="仿宋" w:eastAsia="仿宋" w:cs="仿宋"/>
                <w:color w:val="auto"/>
                <w:sz w:val="21"/>
                <w:szCs w:val="21"/>
                <w:highlight w:val="none"/>
                <w:u w:val="none"/>
                <w:lang w:val="en-US" w:eastAsia="zh-CN"/>
              </w:rPr>
              <w:t>消毒后及时通风，每周</w:t>
            </w:r>
            <w:r>
              <w:rPr>
                <w:rFonts w:hint="eastAsia" w:ascii="仿宋" w:hAnsi="仿宋" w:eastAsia="仿宋" w:cs="仿宋"/>
                <w:b w:val="0"/>
                <w:bCs w:val="0"/>
                <w:color w:val="auto"/>
                <w:kern w:val="0"/>
                <w:sz w:val="21"/>
                <w:szCs w:val="21"/>
                <w:highlight w:val="none"/>
                <w:lang w:val="en-US" w:eastAsia="zh-CN"/>
              </w:rPr>
              <w:t>至少开展</w:t>
            </w:r>
            <w:r>
              <w:rPr>
                <w:rFonts w:hint="eastAsia" w:ascii="仿宋" w:hAnsi="仿宋" w:eastAsia="仿宋" w:cs="仿宋"/>
                <w:color w:val="auto"/>
                <w:sz w:val="21"/>
                <w:szCs w:val="21"/>
                <w:highlight w:val="none"/>
                <w:u w:val="none"/>
                <w:lang w:val="en-US" w:eastAsia="zh-CN"/>
              </w:rPr>
              <w:t>1次作业。</w:t>
            </w:r>
          </w:p>
        </w:tc>
      </w:tr>
      <w:tr w14:paraId="36C43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787" w:type="dxa"/>
            <w:vMerge w:val="continue"/>
            <w:noWrap w:val="0"/>
            <w:vAlign w:val="center"/>
          </w:tcPr>
          <w:p w14:paraId="7C690F5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5B7BEF2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3BDF5A77">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（2）采取综合措施消灭老鼠、蟑螂，控制室内外蚊虫孳生，达到基本无蝇</w:t>
            </w:r>
            <w:r>
              <w:rPr>
                <w:rFonts w:hint="eastAsia" w:ascii="仿宋" w:hAnsi="仿宋" w:eastAsia="仿宋" w:cs="仿宋"/>
                <w:color w:val="auto"/>
                <w:sz w:val="21"/>
                <w:szCs w:val="21"/>
                <w:highlight w:val="none"/>
                <w:u w:val="none"/>
                <w:lang w:val="en-US" w:eastAsia="zh-CN"/>
              </w:rPr>
              <w:t>，每季度</w:t>
            </w:r>
            <w:r>
              <w:rPr>
                <w:rFonts w:hint="eastAsia" w:ascii="仿宋" w:hAnsi="仿宋" w:eastAsia="仿宋" w:cs="仿宋"/>
                <w:b w:val="0"/>
                <w:bCs w:val="0"/>
                <w:color w:val="auto"/>
                <w:kern w:val="0"/>
                <w:sz w:val="21"/>
                <w:szCs w:val="21"/>
                <w:highlight w:val="none"/>
                <w:lang w:val="en-US" w:eastAsia="zh-CN"/>
              </w:rPr>
              <w:t>至少开展</w:t>
            </w:r>
            <w:r>
              <w:rPr>
                <w:rFonts w:hint="eastAsia" w:ascii="仿宋" w:hAnsi="仿宋" w:eastAsia="仿宋" w:cs="仿宋"/>
                <w:color w:val="auto"/>
                <w:sz w:val="21"/>
                <w:szCs w:val="21"/>
                <w:highlight w:val="none"/>
                <w:u w:val="none"/>
                <w:lang w:val="en-US" w:eastAsia="zh-CN"/>
              </w:rPr>
              <w:t>1次作业。</w:t>
            </w:r>
          </w:p>
        </w:tc>
      </w:tr>
      <w:tr w14:paraId="1EED6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787" w:type="dxa"/>
            <w:vMerge w:val="continue"/>
            <w:noWrap w:val="0"/>
            <w:vAlign w:val="center"/>
          </w:tcPr>
          <w:p w14:paraId="4B4A56F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7" w:type="dxa"/>
            <w:vMerge w:val="continue"/>
            <w:noWrap w:val="0"/>
            <w:vAlign w:val="center"/>
          </w:tcPr>
          <w:p w14:paraId="7217C17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443" w:type="dxa"/>
            <w:noWrap w:val="0"/>
            <w:vAlign w:val="center"/>
          </w:tcPr>
          <w:p w14:paraId="7A7CAEC2">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（3）发生公共卫生事件时，邀请专业单位开展消毒、检测等工作。</w:t>
            </w:r>
          </w:p>
        </w:tc>
      </w:tr>
    </w:tbl>
    <w:p w14:paraId="4D509381">
      <w:pPr>
        <w:pageBreakBefore w:val="0"/>
        <w:widowControl/>
        <w:kinsoku/>
        <w:wordWrap/>
        <w:overflowPunct/>
        <w:topLinePunct w:val="0"/>
        <w:autoSpaceDE w:val="0"/>
        <w:autoSpaceDN w:val="0"/>
        <w:bidi w:val="0"/>
        <w:adjustRightInd/>
        <w:snapToGrid w:val="0"/>
        <w:spacing w:line="500" w:lineRule="exact"/>
        <w:ind w:firstLine="562" w:firstLineChars="200"/>
        <w:jc w:val="both"/>
        <w:textAlignment w:val="auto"/>
        <w:outlineLvl w:val="2"/>
        <w:rPr>
          <w:rFonts w:hint="eastAsia"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3.4.1具体清洁要求</w:t>
      </w:r>
    </w:p>
    <w:tbl>
      <w:tblPr>
        <w:tblStyle w:val="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912"/>
        <w:gridCol w:w="5768"/>
      </w:tblGrid>
      <w:tr w14:paraId="0BBEC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noWrap w:val="0"/>
            <w:vAlign w:val="center"/>
          </w:tcPr>
          <w:p w14:paraId="4C17EBD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sz w:val="21"/>
                <w:szCs w:val="21"/>
                <w:highlight w:val="none"/>
                <w:vertAlign w:val="baseline"/>
                <w:lang w:val="en-US" w:eastAsia="zh-CN"/>
              </w:rPr>
              <w:t>序号</w:t>
            </w:r>
          </w:p>
        </w:tc>
        <w:tc>
          <w:tcPr>
            <w:tcW w:w="2118" w:type="dxa"/>
            <w:noWrap w:val="0"/>
            <w:vAlign w:val="center"/>
          </w:tcPr>
          <w:p w14:paraId="6696B24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sz w:val="21"/>
                <w:szCs w:val="21"/>
                <w:highlight w:val="none"/>
                <w:vertAlign w:val="baseline"/>
                <w:lang w:val="en-US" w:eastAsia="zh-CN"/>
              </w:rPr>
              <w:t>材质</w:t>
            </w:r>
          </w:p>
        </w:tc>
        <w:tc>
          <w:tcPr>
            <w:tcW w:w="6384" w:type="dxa"/>
            <w:noWrap w:val="0"/>
            <w:vAlign w:val="center"/>
          </w:tcPr>
          <w:p w14:paraId="50B7D9E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sz w:val="21"/>
                <w:szCs w:val="21"/>
                <w:highlight w:val="none"/>
                <w:vertAlign w:val="baseline"/>
                <w:lang w:val="en-US" w:eastAsia="zh-CN"/>
              </w:rPr>
            </w:pPr>
            <w:r>
              <w:rPr>
                <w:rFonts w:hint="eastAsia" w:ascii="仿宋" w:hAnsi="仿宋" w:eastAsia="仿宋" w:cs="仿宋"/>
                <w:b/>
                <w:bCs/>
                <w:sz w:val="21"/>
                <w:szCs w:val="21"/>
                <w:highlight w:val="none"/>
                <w:vertAlign w:val="baseline"/>
                <w:lang w:val="en-US" w:eastAsia="zh-CN"/>
              </w:rPr>
              <w:t>清洁要求</w:t>
            </w:r>
          </w:p>
        </w:tc>
      </w:tr>
      <w:tr w14:paraId="42C26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restart"/>
            <w:noWrap w:val="0"/>
            <w:vAlign w:val="center"/>
          </w:tcPr>
          <w:p w14:paraId="7BF2C0B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w:t>
            </w:r>
          </w:p>
        </w:tc>
        <w:tc>
          <w:tcPr>
            <w:tcW w:w="2118" w:type="dxa"/>
            <w:vMerge w:val="restart"/>
            <w:noWrap w:val="0"/>
            <w:vAlign w:val="center"/>
          </w:tcPr>
          <w:p w14:paraId="14F924D0">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环氧地坪地面</w:t>
            </w:r>
          </w:p>
        </w:tc>
        <w:tc>
          <w:tcPr>
            <w:tcW w:w="6384" w:type="dxa"/>
            <w:noWrap w:val="0"/>
            <w:vAlign w:val="center"/>
          </w:tcPr>
          <w:p w14:paraId="6033FF29">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sz w:val="21"/>
                <w:szCs w:val="21"/>
                <w:highlight w:val="none"/>
                <w:vertAlign w:val="baseline"/>
                <w:lang w:val="en-US" w:eastAsia="zh-CN"/>
              </w:rPr>
              <w:t>清理垃圾：清理地面上的垃圾和杂物。</w:t>
            </w:r>
          </w:p>
        </w:tc>
      </w:tr>
      <w:tr w14:paraId="2CC73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continue"/>
            <w:noWrap w:val="0"/>
            <w:vAlign w:val="center"/>
          </w:tcPr>
          <w:p w14:paraId="5D426BF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p>
        </w:tc>
        <w:tc>
          <w:tcPr>
            <w:tcW w:w="2118" w:type="dxa"/>
            <w:vMerge w:val="continue"/>
            <w:noWrap w:val="0"/>
            <w:vAlign w:val="center"/>
          </w:tcPr>
          <w:p w14:paraId="18FD8ACE">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p>
        </w:tc>
        <w:tc>
          <w:tcPr>
            <w:tcW w:w="6384" w:type="dxa"/>
            <w:noWrap w:val="0"/>
            <w:vAlign w:val="center"/>
          </w:tcPr>
          <w:p w14:paraId="2134B7CA">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sz w:val="21"/>
                <w:szCs w:val="21"/>
                <w:highlight w:val="none"/>
                <w:vertAlign w:val="baseline"/>
                <w:lang w:val="en-US" w:eastAsia="zh-CN"/>
              </w:rPr>
              <w:t>清洗地面：用专业的清洁剂或去污剂清洗地面。清洁剂和去污剂的选取要根据污垢的性质而定。环氧地坪一般使用弱酸性或弱碱性的清洁剂，避免使用酸性或碱性强的清洁剂。</w:t>
            </w:r>
          </w:p>
        </w:tc>
      </w:tr>
      <w:tr w14:paraId="61FA6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continue"/>
            <w:noWrap w:val="0"/>
            <w:vAlign w:val="center"/>
          </w:tcPr>
          <w:p w14:paraId="3B9AEFD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p>
        </w:tc>
        <w:tc>
          <w:tcPr>
            <w:tcW w:w="2118" w:type="dxa"/>
            <w:vMerge w:val="continue"/>
            <w:noWrap w:val="0"/>
            <w:vAlign w:val="center"/>
          </w:tcPr>
          <w:p w14:paraId="36D0EEC6">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p>
        </w:tc>
        <w:tc>
          <w:tcPr>
            <w:tcW w:w="6384" w:type="dxa"/>
            <w:noWrap w:val="0"/>
            <w:vAlign w:val="center"/>
          </w:tcPr>
          <w:p w14:paraId="7D9C114E">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w:t>
            </w:r>
            <w:r>
              <w:rPr>
                <w:rFonts w:hint="eastAsia" w:ascii="仿宋" w:hAnsi="仿宋" w:eastAsia="仿宋" w:cs="仿宋"/>
                <w:sz w:val="21"/>
                <w:szCs w:val="21"/>
                <w:highlight w:val="none"/>
                <w:vertAlign w:val="baseline"/>
                <w:lang w:val="en-US" w:eastAsia="zh-CN"/>
              </w:rPr>
              <w:t>滚刷或颗粒机进行深层清洗：对于顽固沉积物，需要使用滚刷或颗粒机进行深层清洗。</w:t>
            </w:r>
          </w:p>
        </w:tc>
      </w:tr>
      <w:tr w14:paraId="0FA1B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continue"/>
            <w:noWrap w:val="0"/>
            <w:vAlign w:val="center"/>
          </w:tcPr>
          <w:p w14:paraId="10ABBCD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p>
        </w:tc>
        <w:tc>
          <w:tcPr>
            <w:tcW w:w="2118" w:type="dxa"/>
            <w:vMerge w:val="continue"/>
            <w:noWrap w:val="0"/>
            <w:vAlign w:val="center"/>
          </w:tcPr>
          <w:p w14:paraId="0B067272">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p>
        </w:tc>
        <w:tc>
          <w:tcPr>
            <w:tcW w:w="6384" w:type="dxa"/>
            <w:noWrap w:val="0"/>
            <w:vAlign w:val="center"/>
          </w:tcPr>
          <w:p w14:paraId="734C14D4">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r>
              <w:rPr>
                <w:rFonts w:hint="eastAsia" w:ascii="仿宋" w:hAnsi="仿宋" w:eastAsia="仿宋" w:cs="仿宋"/>
                <w:sz w:val="21"/>
                <w:szCs w:val="21"/>
                <w:highlight w:val="none"/>
                <w:vertAlign w:val="baseline"/>
                <w:lang w:val="en-US" w:eastAsia="zh-CN"/>
              </w:rPr>
              <w:t>浸泡：将清洁剂或去污剂浸泡在环氧地坪上，加强去除污渍的效果。</w:t>
            </w:r>
          </w:p>
        </w:tc>
      </w:tr>
      <w:tr w14:paraId="25A3E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continue"/>
            <w:noWrap w:val="0"/>
            <w:vAlign w:val="center"/>
          </w:tcPr>
          <w:p w14:paraId="2D4F225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p>
        </w:tc>
        <w:tc>
          <w:tcPr>
            <w:tcW w:w="2118" w:type="dxa"/>
            <w:vMerge w:val="continue"/>
            <w:noWrap w:val="0"/>
            <w:vAlign w:val="center"/>
          </w:tcPr>
          <w:p w14:paraId="28C313E8">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p>
        </w:tc>
        <w:tc>
          <w:tcPr>
            <w:tcW w:w="6384" w:type="dxa"/>
            <w:noWrap w:val="0"/>
            <w:vAlign w:val="center"/>
          </w:tcPr>
          <w:p w14:paraId="5022F335">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w:t>
            </w:r>
            <w:r>
              <w:rPr>
                <w:rFonts w:hint="eastAsia" w:ascii="仿宋" w:hAnsi="仿宋" w:eastAsia="仿宋" w:cs="仿宋"/>
                <w:sz w:val="21"/>
                <w:szCs w:val="21"/>
                <w:highlight w:val="none"/>
                <w:vertAlign w:val="baseline"/>
                <w:lang w:val="en-US" w:eastAsia="zh-CN"/>
              </w:rPr>
              <w:t>冲洗：用清水将地面冲洗干净，以去除残留的清洁剂或去污剂。</w:t>
            </w:r>
          </w:p>
        </w:tc>
      </w:tr>
      <w:tr w14:paraId="1BCFE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restart"/>
            <w:noWrap w:val="0"/>
            <w:vAlign w:val="center"/>
          </w:tcPr>
          <w:p w14:paraId="0F57CEF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2</w:t>
            </w:r>
          </w:p>
        </w:tc>
        <w:tc>
          <w:tcPr>
            <w:tcW w:w="2118" w:type="dxa"/>
            <w:vMerge w:val="restart"/>
            <w:noWrap w:val="0"/>
            <w:vAlign w:val="center"/>
          </w:tcPr>
          <w:p w14:paraId="149C5005">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耐磨漆地面</w:t>
            </w:r>
          </w:p>
        </w:tc>
        <w:tc>
          <w:tcPr>
            <w:tcW w:w="6384" w:type="dxa"/>
            <w:noWrap w:val="0"/>
            <w:vAlign w:val="center"/>
          </w:tcPr>
          <w:p w14:paraId="3A69C407">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sz w:val="21"/>
                <w:szCs w:val="21"/>
                <w:highlight w:val="none"/>
              </w:rPr>
              <w:t>日常清洁：使用软质拖把或地板清洁机，配合清水和中性清洁剂进行清洁。避免使用酸性或碱性清洁剂，以免损坏地面表面。定期清理地面上的污渍和杂物，保持地面干净整洁。</w:t>
            </w:r>
          </w:p>
        </w:tc>
      </w:tr>
      <w:tr w14:paraId="639AD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continue"/>
            <w:noWrap w:val="0"/>
            <w:vAlign w:val="center"/>
          </w:tcPr>
          <w:p w14:paraId="16BB1F4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p>
        </w:tc>
        <w:tc>
          <w:tcPr>
            <w:tcW w:w="2118" w:type="dxa"/>
            <w:vMerge w:val="continue"/>
            <w:noWrap w:val="0"/>
            <w:vAlign w:val="center"/>
          </w:tcPr>
          <w:p w14:paraId="240E2280">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p>
        </w:tc>
        <w:tc>
          <w:tcPr>
            <w:tcW w:w="6384" w:type="dxa"/>
            <w:noWrap w:val="0"/>
            <w:vAlign w:val="center"/>
          </w:tcPr>
          <w:p w14:paraId="43F709B7">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sz w:val="21"/>
                <w:szCs w:val="21"/>
                <w:highlight w:val="none"/>
              </w:rPr>
              <w:t>打蜡：为了增加耐磨地面的光亮度和耐磨性，可以进行打蜡处理。使用适合聚氨酯地面的蜡进行均匀涂抹，待蜡干燥后使用抛光机或拖把清理地面，使其变得光滑而有光泽。</w:t>
            </w:r>
          </w:p>
        </w:tc>
      </w:tr>
      <w:tr w14:paraId="6A909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restart"/>
            <w:noWrap w:val="0"/>
            <w:vAlign w:val="center"/>
          </w:tcPr>
          <w:p w14:paraId="3F76CDB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3</w:t>
            </w:r>
          </w:p>
        </w:tc>
        <w:tc>
          <w:tcPr>
            <w:tcW w:w="2118" w:type="dxa"/>
            <w:vMerge w:val="restart"/>
            <w:noWrap w:val="0"/>
            <w:vAlign w:val="center"/>
          </w:tcPr>
          <w:p w14:paraId="2EE39BAC">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瓷砖地面</w:t>
            </w:r>
          </w:p>
        </w:tc>
        <w:tc>
          <w:tcPr>
            <w:tcW w:w="6384" w:type="dxa"/>
            <w:noWrap w:val="0"/>
            <w:vAlign w:val="center"/>
          </w:tcPr>
          <w:p w14:paraId="5E204758">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sz w:val="21"/>
                <w:szCs w:val="21"/>
                <w:highlight w:val="none"/>
              </w:rPr>
              <w:t>日常清洁：</w:t>
            </w:r>
            <w:r>
              <w:rPr>
                <w:rFonts w:hint="eastAsia" w:ascii="仿宋" w:hAnsi="仿宋" w:eastAsia="仿宋" w:cs="仿宋"/>
                <w:sz w:val="21"/>
                <w:szCs w:val="21"/>
                <w:highlight w:val="none"/>
                <w:lang w:val="en-US" w:eastAsia="zh-CN"/>
              </w:rPr>
              <w:t>推尘，保持地面干净无杂物。</w:t>
            </w:r>
          </w:p>
        </w:tc>
      </w:tr>
      <w:tr w14:paraId="454D8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continue"/>
            <w:noWrap w:val="0"/>
            <w:vAlign w:val="center"/>
          </w:tcPr>
          <w:p w14:paraId="1AD89D7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p>
        </w:tc>
        <w:tc>
          <w:tcPr>
            <w:tcW w:w="2118" w:type="dxa"/>
            <w:vMerge w:val="continue"/>
            <w:noWrap w:val="0"/>
            <w:vAlign w:val="center"/>
          </w:tcPr>
          <w:p w14:paraId="21969A7C">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p>
        </w:tc>
        <w:tc>
          <w:tcPr>
            <w:tcW w:w="6384" w:type="dxa"/>
            <w:noWrap w:val="0"/>
            <w:vAlign w:val="center"/>
          </w:tcPr>
          <w:p w14:paraId="20D1AC24">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sz w:val="21"/>
                <w:szCs w:val="21"/>
                <w:highlight w:val="none"/>
                <w:lang w:val="en-US" w:eastAsia="zh-CN"/>
              </w:rPr>
              <w:t>深度清洁：使用洗洁精或肥皂水清理。</w:t>
            </w:r>
          </w:p>
        </w:tc>
      </w:tr>
      <w:tr w14:paraId="0A79C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restart"/>
            <w:noWrap w:val="0"/>
            <w:vAlign w:val="center"/>
          </w:tcPr>
          <w:p w14:paraId="264B78B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4</w:t>
            </w:r>
          </w:p>
        </w:tc>
        <w:tc>
          <w:tcPr>
            <w:tcW w:w="2118" w:type="dxa"/>
            <w:vMerge w:val="restart"/>
            <w:noWrap w:val="0"/>
            <w:vAlign w:val="center"/>
          </w:tcPr>
          <w:p w14:paraId="1247559B">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石材地面</w:t>
            </w:r>
          </w:p>
        </w:tc>
        <w:tc>
          <w:tcPr>
            <w:tcW w:w="6384" w:type="dxa"/>
            <w:noWrap w:val="0"/>
            <w:vAlign w:val="center"/>
          </w:tcPr>
          <w:p w14:paraId="491F0C30">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sz w:val="21"/>
                <w:szCs w:val="21"/>
                <w:highlight w:val="none"/>
                <w:vertAlign w:val="baseline"/>
                <w:lang w:val="en-US" w:eastAsia="zh-CN"/>
              </w:rPr>
              <w:t>根据各区域的人流量及大理石的实际磨损程度制定大理石的晶面保养计划。</w:t>
            </w:r>
          </w:p>
        </w:tc>
      </w:tr>
      <w:tr w14:paraId="7D644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continue"/>
            <w:noWrap w:val="0"/>
            <w:vAlign w:val="center"/>
          </w:tcPr>
          <w:p w14:paraId="318CD44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p>
        </w:tc>
        <w:tc>
          <w:tcPr>
            <w:tcW w:w="2118" w:type="dxa"/>
            <w:vMerge w:val="continue"/>
            <w:noWrap w:val="0"/>
            <w:vAlign w:val="center"/>
          </w:tcPr>
          <w:p w14:paraId="6B5B9ECF">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p>
        </w:tc>
        <w:tc>
          <w:tcPr>
            <w:tcW w:w="6384" w:type="dxa"/>
            <w:noWrap w:val="0"/>
            <w:vAlign w:val="center"/>
          </w:tcPr>
          <w:p w14:paraId="1037336A">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（2）启动晶面机，使用中性清洁剂清洁，避免使用强酸或强碱清洁剂，定期进行基础维护。</w:t>
            </w:r>
          </w:p>
        </w:tc>
      </w:tr>
      <w:tr w14:paraId="71C82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restart"/>
            <w:noWrap w:val="0"/>
            <w:vAlign w:val="center"/>
          </w:tcPr>
          <w:p w14:paraId="5F216C1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5</w:t>
            </w:r>
          </w:p>
        </w:tc>
        <w:tc>
          <w:tcPr>
            <w:tcW w:w="2118" w:type="dxa"/>
            <w:vMerge w:val="restart"/>
            <w:noWrap w:val="0"/>
            <w:vAlign w:val="center"/>
          </w:tcPr>
          <w:p w14:paraId="4F617728">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水磨石地面</w:t>
            </w:r>
          </w:p>
        </w:tc>
        <w:tc>
          <w:tcPr>
            <w:tcW w:w="6384" w:type="dxa"/>
            <w:noWrap w:val="0"/>
            <w:vAlign w:val="center"/>
          </w:tcPr>
          <w:p w14:paraId="10FAE9D5">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sz w:val="21"/>
                <w:szCs w:val="21"/>
                <w:highlight w:val="none"/>
              </w:rPr>
              <w:t>日常清洁：</w:t>
            </w:r>
            <w:r>
              <w:rPr>
                <w:rFonts w:hint="eastAsia" w:ascii="仿宋" w:hAnsi="仿宋" w:eastAsia="仿宋" w:cs="仿宋"/>
                <w:sz w:val="21"/>
                <w:szCs w:val="21"/>
                <w:highlight w:val="none"/>
                <w:lang w:val="en-US" w:eastAsia="zh-CN"/>
              </w:rPr>
              <w:t>推尘，保持地面干净无杂物。</w:t>
            </w:r>
          </w:p>
        </w:tc>
      </w:tr>
      <w:tr w14:paraId="1A1AB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continue"/>
            <w:noWrap w:val="0"/>
            <w:vAlign w:val="center"/>
          </w:tcPr>
          <w:p w14:paraId="3766C67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p>
        </w:tc>
        <w:tc>
          <w:tcPr>
            <w:tcW w:w="2118" w:type="dxa"/>
            <w:vMerge w:val="continue"/>
            <w:noWrap w:val="0"/>
            <w:vAlign w:val="center"/>
          </w:tcPr>
          <w:p w14:paraId="066138FA">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p>
        </w:tc>
        <w:tc>
          <w:tcPr>
            <w:tcW w:w="6384" w:type="dxa"/>
            <w:noWrap w:val="0"/>
            <w:vAlign w:val="center"/>
          </w:tcPr>
          <w:p w14:paraId="657A58CE">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sz w:val="21"/>
                <w:szCs w:val="21"/>
                <w:highlight w:val="none"/>
                <w:lang w:val="en-US" w:eastAsia="zh-CN"/>
              </w:rPr>
              <w:t>深度清洁：使用洗洁精或肥皂水清理。</w:t>
            </w:r>
          </w:p>
        </w:tc>
      </w:tr>
      <w:tr w14:paraId="06FD6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restart"/>
            <w:noWrap w:val="0"/>
            <w:vAlign w:val="center"/>
          </w:tcPr>
          <w:p w14:paraId="36FA16F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6</w:t>
            </w:r>
          </w:p>
        </w:tc>
        <w:tc>
          <w:tcPr>
            <w:tcW w:w="2118" w:type="dxa"/>
            <w:vMerge w:val="restart"/>
            <w:noWrap w:val="0"/>
            <w:vAlign w:val="center"/>
          </w:tcPr>
          <w:p w14:paraId="1DB7F7FE">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地胶板地面</w:t>
            </w:r>
          </w:p>
        </w:tc>
        <w:tc>
          <w:tcPr>
            <w:tcW w:w="6384" w:type="dxa"/>
            <w:noWrap w:val="0"/>
            <w:vAlign w:val="center"/>
          </w:tcPr>
          <w:p w14:paraId="6F68B35A">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sz w:val="21"/>
                <w:szCs w:val="21"/>
                <w:highlight w:val="none"/>
                <w:vertAlign w:val="baseline"/>
                <w:lang w:val="en-US" w:eastAsia="zh-CN"/>
              </w:rPr>
              <w:t>定期保养。使用中性清洁剂清洁，避免使用强酸或强碱清洁剂，定期进行基础维护。</w:t>
            </w:r>
          </w:p>
        </w:tc>
      </w:tr>
      <w:tr w14:paraId="6D697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continue"/>
            <w:noWrap w:val="0"/>
            <w:vAlign w:val="center"/>
          </w:tcPr>
          <w:p w14:paraId="2A1259C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p>
        </w:tc>
        <w:tc>
          <w:tcPr>
            <w:tcW w:w="2118" w:type="dxa"/>
            <w:vMerge w:val="continue"/>
            <w:noWrap w:val="0"/>
            <w:vAlign w:val="center"/>
          </w:tcPr>
          <w:p w14:paraId="5AAECCE1">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p>
        </w:tc>
        <w:tc>
          <w:tcPr>
            <w:tcW w:w="6384" w:type="dxa"/>
            <w:noWrap w:val="0"/>
            <w:vAlign w:val="center"/>
          </w:tcPr>
          <w:p w14:paraId="64C25E84">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sz w:val="21"/>
                <w:szCs w:val="21"/>
                <w:highlight w:val="none"/>
                <w:vertAlign w:val="baseline"/>
                <w:lang w:val="en-US" w:eastAsia="zh-CN"/>
              </w:rPr>
              <w:t>日常维护。使用湿润的拖把清洁，污染严重时局部清洁，每月对地胶板地面进行打蜡处理。</w:t>
            </w:r>
          </w:p>
        </w:tc>
      </w:tr>
      <w:tr w14:paraId="63BA1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restart"/>
            <w:noWrap w:val="0"/>
            <w:vAlign w:val="center"/>
          </w:tcPr>
          <w:p w14:paraId="1BA1BE0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7</w:t>
            </w:r>
          </w:p>
        </w:tc>
        <w:tc>
          <w:tcPr>
            <w:tcW w:w="2118" w:type="dxa"/>
            <w:vMerge w:val="restart"/>
            <w:noWrap w:val="0"/>
            <w:vAlign w:val="center"/>
          </w:tcPr>
          <w:p w14:paraId="43BACD40">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地板地面</w:t>
            </w:r>
          </w:p>
        </w:tc>
        <w:tc>
          <w:tcPr>
            <w:tcW w:w="6384" w:type="dxa"/>
            <w:noWrap w:val="0"/>
            <w:vAlign w:val="center"/>
          </w:tcPr>
          <w:p w14:paraId="5002D071">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sz w:val="21"/>
                <w:szCs w:val="21"/>
                <w:highlight w:val="none"/>
                <w:vertAlign w:val="baseline"/>
                <w:lang w:val="en-US" w:eastAsia="zh-CN"/>
              </w:rPr>
              <w:t>定期保养。使用中性清洁剂清洁，避免使用强酸或强碱清洁剂，定期进行基础维护。</w:t>
            </w:r>
          </w:p>
        </w:tc>
      </w:tr>
      <w:tr w14:paraId="2C414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continue"/>
            <w:noWrap w:val="0"/>
            <w:vAlign w:val="center"/>
          </w:tcPr>
          <w:p w14:paraId="5996B70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p>
        </w:tc>
        <w:tc>
          <w:tcPr>
            <w:tcW w:w="2118" w:type="dxa"/>
            <w:vMerge w:val="continue"/>
            <w:noWrap w:val="0"/>
            <w:vAlign w:val="center"/>
          </w:tcPr>
          <w:p w14:paraId="6FEFFB82">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p>
        </w:tc>
        <w:tc>
          <w:tcPr>
            <w:tcW w:w="6384" w:type="dxa"/>
            <w:noWrap w:val="0"/>
            <w:vAlign w:val="center"/>
          </w:tcPr>
          <w:p w14:paraId="3C4271A5">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sz w:val="21"/>
                <w:szCs w:val="21"/>
                <w:highlight w:val="none"/>
                <w:vertAlign w:val="baseline"/>
                <w:lang w:val="en-US" w:eastAsia="zh-CN"/>
              </w:rPr>
              <w:t>日常维护。使用湿润的拖把清洁，污染严重时局部清洁，每月对地板进行打蜡处理。</w:t>
            </w:r>
          </w:p>
        </w:tc>
      </w:tr>
      <w:tr w14:paraId="25082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restart"/>
            <w:noWrap w:val="0"/>
            <w:vAlign w:val="center"/>
          </w:tcPr>
          <w:p w14:paraId="2E86F62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8</w:t>
            </w:r>
          </w:p>
        </w:tc>
        <w:tc>
          <w:tcPr>
            <w:tcW w:w="2118" w:type="dxa"/>
            <w:vMerge w:val="restart"/>
            <w:noWrap w:val="0"/>
            <w:vAlign w:val="center"/>
          </w:tcPr>
          <w:p w14:paraId="3AF1EE78">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地毯地面</w:t>
            </w:r>
          </w:p>
        </w:tc>
        <w:tc>
          <w:tcPr>
            <w:tcW w:w="6384" w:type="dxa"/>
            <w:noWrap w:val="0"/>
            <w:vAlign w:val="center"/>
          </w:tcPr>
          <w:p w14:paraId="6CBE8AD7">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sz w:val="21"/>
                <w:szCs w:val="21"/>
                <w:highlight w:val="none"/>
                <w:vertAlign w:val="baseline"/>
                <w:lang w:val="en-US" w:eastAsia="zh-CN"/>
              </w:rPr>
              <w:t>日常用吸尘机除尘，局部脏污用湿布配中性清洁液重点清洁。</w:t>
            </w:r>
          </w:p>
        </w:tc>
      </w:tr>
      <w:tr w14:paraId="5943C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vMerge w:val="continue"/>
            <w:noWrap w:val="0"/>
            <w:vAlign w:val="center"/>
          </w:tcPr>
          <w:p w14:paraId="677B0A9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p>
        </w:tc>
        <w:tc>
          <w:tcPr>
            <w:tcW w:w="2118" w:type="dxa"/>
            <w:vMerge w:val="continue"/>
            <w:noWrap w:val="0"/>
            <w:vAlign w:val="center"/>
          </w:tcPr>
          <w:p w14:paraId="21FD9593">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p>
        </w:tc>
        <w:tc>
          <w:tcPr>
            <w:tcW w:w="6384" w:type="dxa"/>
            <w:noWrap w:val="0"/>
            <w:vAlign w:val="center"/>
          </w:tcPr>
          <w:p w14:paraId="055F1EF4">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w:t>
            </w:r>
            <w:r>
              <w:rPr>
                <w:rFonts w:hint="eastAsia" w:ascii="仿宋" w:hAnsi="仿宋" w:eastAsia="仿宋" w:cs="仿宋"/>
                <w:sz w:val="21"/>
                <w:szCs w:val="21"/>
                <w:highlight w:val="none"/>
                <w:vertAlign w:val="baseline"/>
                <w:lang w:val="en-US" w:eastAsia="zh-CN"/>
              </w:rPr>
              <w:t>用地毯清洗机进行整体清洗，除螨。</w:t>
            </w:r>
          </w:p>
        </w:tc>
      </w:tr>
      <w:tr w14:paraId="6CC44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noWrap w:val="0"/>
            <w:vAlign w:val="center"/>
          </w:tcPr>
          <w:p w14:paraId="76C4C68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9</w:t>
            </w:r>
          </w:p>
        </w:tc>
        <w:tc>
          <w:tcPr>
            <w:tcW w:w="2118" w:type="dxa"/>
            <w:noWrap w:val="0"/>
            <w:vAlign w:val="center"/>
          </w:tcPr>
          <w:p w14:paraId="001FC355">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乳胶漆内墙</w:t>
            </w:r>
          </w:p>
        </w:tc>
        <w:tc>
          <w:tcPr>
            <w:tcW w:w="6384" w:type="dxa"/>
            <w:noWrap w:val="0"/>
            <w:vAlign w:val="center"/>
          </w:tcPr>
          <w:p w14:paraId="3EBAEB55">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有污渍时用半干布擦拭。</w:t>
            </w:r>
          </w:p>
        </w:tc>
      </w:tr>
      <w:tr w14:paraId="744A0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noWrap w:val="0"/>
            <w:vAlign w:val="center"/>
          </w:tcPr>
          <w:p w14:paraId="6A6E9C1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10</w:t>
            </w:r>
          </w:p>
        </w:tc>
        <w:tc>
          <w:tcPr>
            <w:tcW w:w="2118" w:type="dxa"/>
            <w:noWrap w:val="0"/>
            <w:vAlign w:val="center"/>
          </w:tcPr>
          <w:p w14:paraId="3899826A">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墙纸内墙</w:t>
            </w:r>
          </w:p>
        </w:tc>
        <w:tc>
          <w:tcPr>
            <w:tcW w:w="6384" w:type="dxa"/>
            <w:noWrap w:val="0"/>
            <w:vAlign w:val="center"/>
          </w:tcPr>
          <w:p w14:paraId="4DADEA30">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有污渍时用半干布擦拭。</w:t>
            </w:r>
          </w:p>
        </w:tc>
      </w:tr>
      <w:tr w14:paraId="63418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noWrap w:val="0"/>
            <w:vAlign w:val="center"/>
          </w:tcPr>
          <w:p w14:paraId="76ED10E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11</w:t>
            </w:r>
          </w:p>
        </w:tc>
        <w:tc>
          <w:tcPr>
            <w:tcW w:w="2118" w:type="dxa"/>
            <w:noWrap w:val="0"/>
            <w:vAlign w:val="center"/>
          </w:tcPr>
          <w:p w14:paraId="76EB7543">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木饰面内墙</w:t>
            </w:r>
          </w:p>
        </w:tc>
        <w:tc>
          <w:tcPr>
            <w:tcW w:w="6384" w:type="dxa"/>
            <w:noWrap w:val="0"/>
            <w:vAlign w:val="center"/>
          </w:tcPr>
          <w:p w14:paraId="006A06FC">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有污渍时用中性清洁剂、半干布擦拭。</w:t>
            </w:r>
          </w:p>
        </w:tc>
      </w:tr>
      <w:tr w14:paraId="2AB6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noWrap w:val="0"/>
            <w:vAlign w:val="center"/>
          </w:tcPr>
          <w:p w14:paraId="48867DC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12</w:t>
            </w:r>
          </w:p>
        </w:tc>
        <w:tc>
          <w:tcPr>
            <w:tcW w:w="2118" w:type="dxa"/>
            <w:noWrap w:val="0"/>
            <w:vAlign w:val="center"/>
          </w:tcPr>
          <w:p w14:paraId="0812C0D8">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石材内墙</w:t>
            </w:r>
          </w:p>
        </w:tc>
        <w:tc>
          <w:tcPr>
            <w:tcW w:w="6384" w:type="dxa"/>
            <w:noWrap w:val="0"/>
            <w:vAlign w:val="center"/>
          </w:tcPr>
          <w:p w14:paraId="558151E9">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有污渍时用半干布擦拭。</w:t>
            </w:r>
          </w:p>
        </w:tc>
      </w:tr>
      <w:tr w14:paraId="36544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noWrap w:val="0"/>
            <w:vAlign w:val="center"/>
          </w:tcPr>
          <w:p w14:paraId="024B125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13</w:t>
            </w:r>
          </w:p>
        </w:tc>
        <w:tc>
          <w:tcPr>
            <w:tcW w:w="2118" w:type="dxa"/>
            <w:noWrap w:val="0"/>
            <w:vAlign w:val="center"/>
          </w:tcPr>
          <w:p w14:paraId="3B8F9CB7">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金属板内墙</w:t>
            </w:r>
          </w:p>
        </w:tc>
        <w:tc>
          <w:tcPr>
            <w:tcW w:w="6384" w:type="dxa"/>
            <w:noWrap w:val="0"/>
            <w:vAlign w:val="center"/>
          </w:tcPr>
          <w:p w14:paraId="2815FF97">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有污渍时用半干布擦拭。</w:t>
            </w:r>
          </w:p>
        </w:tc>
      </w:tr>
      <w:tr w14:paraId="60A88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noWrap w:val="0"/>
            <w:vAlign w:val="center"/>
          </w:tcPr>
          <w:p w14:paraId="047E5CF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14</w:t>
            </w:r>
          </w:p>
        </w:tc>
        <w:tc>
          <w:tcPr>
            <w:tcW w:w="2118" w:type="dxa"/>
            <w:noWrap w:val="0"/>
            <w:vAlign w:val="center"/>
          </w:tcPr>
          <w:p w14:paraId="314A9D3D">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涂料外墙</w:t>
            </w:r>
          </w:p>
        </w:tc>
        <w:tc>
          <w:tcPr>
            <w:tcW w:w="6384" w:type="dxa"/>
            <w:noWrap w:val="0"/>
            <w:vAlign w:val="center"/>
          </w:tcPr>
          <w:p w14:paraId="5EFE5A4E">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定期专业清洗。</w:t>
            </w:r>
          </w:p>
        </w:tc>
      </w:tr>
      <w:tr w14:paraId="0945C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noWrap w:val="0"/>
            <w:vAlign w:val="center"/>
          </w:tcPr>
          <w:p w14:paraId="09C9395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15</w:t>
            </w:r>
          </w:p>
        </w:tc>
        <w:tc>
          <w:tcPr>
            <w:tcW w:w="2118" w:type="dxa"/>
            <w:noWrap w:val="0"/>
            <w:vAlign w:val="center"/>
          </w:tcPr>
          <w:p w14:paraId="628979D7">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真石漆外墙</w:t>
            </w:r>
          </w:p>
        </w:tc>
        <w:tc>
          <w:tcPr>
            <w:tcW w:w="6384" w:type="dxa"/>
            <w:noWrap w:val="0"/>
            <w:vAlign w:val="center"/>
          </w:tcPr>
          <w:p w14:paraId="614F2AAA">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定期专业清洗。</w:t>
            </w:r>
          </w:p>
        </w:tc>
      </w:tr>
      <w:tr w14:paraId="2711E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noWrap w:val="0"/>
            <w:vAlign w:val="center"/>
          </w:tcPr>
          <w:p w14:paraId="5B469C1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16</w:t>
            </w:r>
          </w:p>
        </w:tc>
        <w:tc>
          <w:tcPr>
            <w:tcW w:w="2118" w:type="dxa"/>
            <w:noWrap w:val="0"/>
            <w:vAlign w:val="center"/>
          </w:tcPr>
          <w:p w14:paraId="5DCEA149">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瓷砖外墙</w:t>
            </w:r>
          </w:p>
        </w:tc>
        <w:tc>
          <w:tcPr>
            <w:tcW w:w="6384" w:type="dxa"/>
            <w:noWrap w:val="0"/>
            <w:vAlign w:val="center"/>
          </w:tcPr>
          <w:p w14:paraId="7D8B4AA3">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定期专业清洗。</w:t>
            </w:r>
          </w:p>
        </w:tc>
      </w:tr>
      <w:tr w14:paraId="5C0E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noWrap w:val="0"/>
            <w:vAlign w:val="center"/>
          </w:tcPr>
          <w:p w14:paraId="69EECA2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17</w:t>
            </w:r>
          </w:p>
        </w:tc>
        <w:tc>
          <w:tcPr>
            <w:tcW w:w="2118" w:type="dxa"/>
            <w:noWrap w:val="0"/>
            <w:vAlign w:val="center"/>
          </w:tcPr>
          <w:p w14:paraId="00018B4C">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保温一体板外墙</w:t>
            </w:r>
          </w:p>
        </w:tc>
        <w:tc>
          <w:tcPr>
            <w:tcW w:w="6384" w:type="dxa"/>
            <w:noWrap w:val="0"/>
            <w:vAlign w:val="center"/>
          </w:tcPr>
          <w:p w14:paraId="1F63412E">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定期专业清洗。</w:t>
            </w:r>
          </w:p>
        </w:tc>
      </w:tr>
      <w:tr w14:paraId="2376C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noWrap w:val="0"/>
            <w:vAlign w:val="center"/>
          </w:tcPr>
          <w:p w14:paraId="26FA610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18</w:t>
            </w:r>
          </w:p>
        </w:tc>
        <w:tc>
          <w:tcPr>
            <w:tcW w:w="2118" w:type="dxa"/>
            <w:noWrap w:val="0"/>
            <w:vAlign w:val="center"/>
          </w:tcPr>
          <w:p w14:paraId="4DB1C094">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铝板外墙</w:t>
            </w:r>
          </w:p>
        </w:tc>
        <w:tc>
          <w:tcPr>
            <w:tcW w:w="6384" w:type="dxa"/>
            <w:noWrap w:val="0"/>
            <w:vAlign w:val="center"/>
          </w:tcPr>
          <w:p w14:paraId="2D21E99B">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定期专业清洗。</w:t>
            </w:r>
          </w:p>
        </w:tc>
      </w:tr>
      <w:tr w14:paraId="67CB9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noWrap w:val="0"/>
            <w:vAlign w:val="center"/>
          </w:tcPr>
          <w:p w14:paraId="52B346D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19</w:t>
            </w:r>
          </w:p>
        </w:tc>
        <w:tc>
          <w:tcPr>
            <w:tcW w:w="2118" w:type="dxa"/>
            <w:noWrap w:val="0"/>
            <w:vAlign w:val="center"/>
          </w:tcPr>
          <w:p w14:paraId="19C6662A">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干挂石材外墙</w:t>
            </w:r>
          </w:p>
        </w:tc>
        <w:tc>
          <w:tcPr>
            <w:tcW w:w="6384" w:type="dxa"/>
            <w:noWrap w:val="0"/>
            <w:vAlign w:val="center"/>
          </w:tcPr>
          <w:p w14:paraId="65C02112">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定期专业清洗。</w:t>
            </w:r>
          </w:p>
        </w:tc>
      </w:tr>
      <w:tr w14:paraId="59C32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8" w:type="dxa"/>
            <w:noWrap w:val="0"/>
            <w:vAlign w:val="center"/>
          </w:tcPr>
          <w:p w14:paraId="76F8A4D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20</w:t>
            </w:r>
          </w:p>
        </w:tc>
        <w:tc>
          <w:tcPr>
            <w:tcW w:w="2118" w:type="dxa"/>
            <w:noWrap w:val="0"/>
            <w:vAlign w:val="center"/>
          </w:tcPr>
          <w:p w14:paraId="597BCCC2">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sz w:val="21"/>
                <w:szCs w:val="21"/>
                <w:highlight w:val="none"/>
                <w:vertAlign w:val="baseline"/>
                <w:lang w:val="en-US" w:eastAsia="zh-CN"/>
              </w:rPr>
              <w:t>玻璃幕墙外墙</w:t>
            </w:r>
          </w:p>
        </w:tc>
        <w:tc>
          <w:tcPr>
            <w:tcW w:w="6384" w:type="dxa"/>
            <w:noWrap w:val="0"/>
            <w:vAlign w:val="center"/>
          </w:tcPr>
          <w:p w14:paraId="79799C75">
            <w:pPr>
              <w:keepNext w:val="0"/>
              <w:keepLines w:val="0"/>
              <w:pageBreakBefore w:val="0"/>
              <w:widowControl w:val="0"/>
              <w:kinsoku/>
              <w:wordWrap/>
              <w:overflowPunct/>
              <w:topLinePunct w:val="0"/>
              <w:autoSpaceDE/>
              <w:autoSpaceDN/>
              <w:bidi w:val="0"/>
              <w:adjustRightInd/>
              <w:snapToGrid w:val="0"/>
              <w:spacing w:line="240" w:lineRule="auto"/>
              <w:ind w:firstLine="210" w:firstLineChars="100"/>
              <w:jc w:val="both"/>
              <w:textAlignment w:val="auto"/>
              <w:rPr>
                <w:rFonts w:hint="eastAsia" w:ascii="仿宋" w:hAnsi="仿宋" w:eastAsia="仿宋" w:cs="仿宋"/>
                <w:sz w:val="21"/>
                <w:szCs w:val="21"/>
                <w:highlight w:val="none"/>
                <w:vertAlign w:val="baseli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sz w:val="21"/>
                <w:szCs w:val="21"/>
                <w:highlight w:val="none"/>
                <w:vertAlign w:val="baseline"/>
                <w:lang w:val="en-US" w:eastAsia="zh-CN"/>
              </w:rPr>
              <w:t>定期专业清洗。</w:t>
            </w:r>
          </w:p>
        </w:tc>
      </w:tr>
    </w:tbl>
    <w:p w14:paraId="70A8A287">
      <w:pPr>
        <w:keepNext w:val="0"/>
        <w:keepLines w:val="0"/>
        <w:pageBreakBefore w:val="0"/>
        <w:widowControl w:val="0"/>
        <w:kinsoku/>
        <w:wordWrap/>
        <w:overflowPunct/>
        <w:topLinePunct w:val="0"/>
        <w:autoSpaceDE/>
        <w:autoSpaceDN/>
        <w:bidi w:val="0"/>
        <w:adjustRightInd/>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注：根据物业用材情况选择清洁要求</w:t>
      </w:r>
    </w:p>
    <w:p w14:paraId="78068CCE">
      <w:pPr>
        <w:pageBreakBefore w:val="0"/>
        <w:widowControl w:val="0"/>
        <w:kinsoku/>
        <w:wordWrap/>
        <w:overflowPunct/>
        <w:topLinePunct w:val="0"/>
        <w:bidi w:val="0"/>
        <w:adjustRightInd/>
        <w:snapToGrid w:val="0"/>
        <w:spacing w:line="500" w:lineRule="exact"/>
        <w:textAlignment w:val="auto"/>
        <w:rPr>
          <w:rFonts w:hint="eastAsia" w:ascii="仿宋" w:hAnsi="仿宋" w:eastAsia="仿宋" w:cs="仿宋"/>
          <w:sz w:val="28"/>
          <w:szCs w:val="28"/>
          <w:highlight w:val="none"/>
          <w:lang w:val="en-US" w:eastAsia="zh-CN"/>
        </w:rPr>
      </w:pPr>
    </w:p>
    <w:p w14:paraId="40CF30BC">
      <w:pPr>
        <w:pageBreakBefore w:val="0"/>
        <w:widowControl/>
        <w:kinsoku/>
        <w:wordWrap/>
        <w:overflowPunct/>
        <w:topLinePunct w:val="0"/>
        <w:autoSpaceDE w:val="0"/>
        <w:autoSpaceDN w:val="0"/>
        <w:bidi w:val="0"/>
        <w:adjustRightInd/>
        <w:snapToGrid w:val="0"/>
        <w:spacing w:line="500" w:lineRule="exact"/>
        <w:ind w:firstLine="562" w:firstLineChars="200"/>
        <w:jc w:val="both"/>
        <w:textAlignment w:val="auto"/>
        <w:outlineLvl w:val="2"/>
        <w:rPr>
          <w:rFonts w:hint="eastAsia"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3.5绿化服务</w:t>
      </w:r>
    </w:p>
    <w:tbl>
      <w:tblPr>
        <w:tblStyle w:val="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71"/>
        <w:gridCol w:w="5815"/>
      </w:tblGrid>
      <w:tr w14:paraId="21E9F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noWrap w:val="0"/>
            <w:vAlign w:val="center"/>
          </w:tcPr>
          <w:p w14:paraId="5F06A804">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序号</w:t>
            </w:r>
          </w:p>
        </w:tc>
        <w:tc>
          <w:tcPr>
            <w:tcW w:w="2175" w:type="dxa"/>
            <w:noWrap w:val="0"/>
            <w:vAlign w:val="center"/>
          </w:tcPr>
          <w:p w14:paraId="46F167D0">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服务内容</w:t>
            </w:r>
          </w:p>
        </w:tc>
        <w:tc>
          <w:tcPr>
            <w:tcW w:w="6414" w:type="dxa"/>
            <w:noWrap w:val="0"/>
            <w:vAlign w:val="center"/>
          </w:tcPr>
          <w:p w14:paraId="58D3836D">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服务标准</w:t>
            </w:r>
          </w:p>
        </w:tc>
      </w:tr>
      <w:tr w14:paraId="363F0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restart"/>
            <w:noWrap w:val="0"/>
            <w:vAlign w:val="center"/>
          </w:tcPr>
          <w:p w14:paraId="464DA9A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2175" w:type="dxa"/>
            <w:vMerge w:val="restart"/>
            <w:noWrap w:val="0"/>
            <w:vAlign w:val="center"/>
          </w:tcPr>
          <w:p w14:paraId="1857481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基本要求</w:t>
            </w:r>
          </w:p>
        </w:tc>
        <w:tc>
          <w:tcPr>
            <w:tcW w:w="6414" w:type="dxa"/>
            <w:noWrap w:val="0"/>
            <w:vAlign w:val="center"/>
          </w:tcPr>
          <w:p w14:paraId="40879618">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（1）制定绿化服务的工作制度及工作计划，并按照执行。</w:t>
            </w:r>
          </w:p>
        </w:tc>
      </w:tr>
      <w:tr w14:paraId="0A578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0654945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5" w:type="dxa"/>
            <w:vMerge w:val="continue"/>
            <w:noWrap w:val="0"/>
            <w:vAlign w:val="center"/>
          </w:tcPr>
          <w:p w14:paraId="6440548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14" w:type="dxa"/>
            <w:noWrap w:val="0"/>
            <w:vAlign w:val="center"/>
          </w:tcPr>
          <w:p w14:paraId="032830DD">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（2）做好绿化服务工作记录，填写规范。</w:t>
            </w:r>
          </w:p>
        </w:tc>
      </w:tr>
      <w:tr w14:paraId="582C3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5291390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5" w:type="dxa"/>
            <w:vMerge w:val="continue"/>
            <w:noWrap w:val="0"/>
            <w:vAlign w:val="center"/>
          </w:tcPr>
          <w:p w14:paraId="72DF387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14" w:type="dxa"/>
            <w:noWrap w:val="0"/>
            <w:vAlign w:val="center"/>
          </w:tcPr>
          <w:p w14:paraId="5124D28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（3）作业时采取安全防护措施，防止对作业人员或他人造成伤害。</w:t>
            </w:r>
          </w:p>
        </w:tc>
      </w:tr>
      <w:tr w14:paraId="59550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6D31CB8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5" w:type="dxa"/>
            <w:vMerge w:val="continue"/>
            <w:noWrap w:val="0"/>
            <w:vAlign w:val="center"/>
          </w:tcPr>
          <w:p w14:paraId="6F45A65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kern w:val="2"/>
                <w:sz w:val="21"/>
                <w:szCs w:val="21"/>
                <w:highlight w:val="none"/>
                <w:lang w:val="en-US" w:eastAsia="zh-CN" w:bidi="ar-SA"/>
              </w:rPr>
            </w:pPr>
          </w:p>
        </w:tc>
        <w:tc>
          <w:tcPr>
            <w:tcW w:w="6414" w:type="dxa"/>
            <w:noWrap w:val="0"/>
            <w:vAlign w:val="center"/>
          </w:tcPr>
          <w:p w14:paraId="54DD277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（4）相关耗材的环保、安全性应当符合规定要求。</w:t>
            </w:r>
          </w:p>
        </w:tc>
      </w:tr>
      <w:tr w14:paraId="3F000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restart"/>
            <w:noWrap w:val="0"/>
            <w:vAlign w:val="center"/>
          </w:tcPr>
          <w:p w14:paraId="17E6DFD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2175" w:type="dxa"/>
            <w:vMerge w:val="restart"/>
            <w:noWrap w:val="0"/>
            <w:vAlign w:val="center"/>
          </w:tcPr>
          <w:p w14:paraId="48EF1CB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室外绿化养护</w:t>
            </w:r>
          </w:p>
        </w:tc>
        <w:tc>
          <w:tcPr>
            <w:tcW w:w="6414" w:type="dxa"/>
            <w:noWrap w:val="0"/>
            <w:vAlign w:val="center"/>
          </w:tcPr>
          <w:p w14:paraId="021577B9">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w:t>
            </w:r>
            <w:r>
              <w:rPr>
                <w:rFonts w:hint="eastAsia" w:ascii="仿宋" w:hAnsi="仿宋" w:eastAsia="仿宋" w:cs="仿宋"/>
                <w:color w:val="auto"/>
                <w:sz w:val="21"/>
                <w:szCs w:val="21"/>
                <w:highlight w:val="none"/>
                <w:u w:val="none"/>
                <w:lang w:val="en-US" w:eastAsia="zh-CN"/>
              </w:rPr>
              <w:t>根据生长环境、植物特性进行除草、灌溉、施肥、整形修剪、防治病虫害等。</w:t>
            </w:r>
          </w:p>
        </w:tc>
      </w:tr>
      <w:tr w14:paraId="7125C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41150E7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5" w:type="dxa"/>
            <w:vMerge w:val="continue"/>
            <w:noWrap w:val="0"/>
            <w:vAlign w:val="center"/>
          </w:tcPr>
          <w:p w14:paraId="58B67E2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14" w:type="dxa"/>
            <w:noWrap w:val="0"/>
            <w:vAlign w:val="center"/>
          </w:tcPr>
          <w:p w14:paraId="658BCD70">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（2）根据生长情况修剪绿地，绿地内无枯草、无杂物，</w:t>
            </w:r>
            <w:r>
              <w:rPr>
                <w:rFonts w:hint="eastAsia" w:ascii="仿宋" w:hAnsi="仿宋" w:eastAsia="仿宋" w:cs="仿宋"/>
                <w:color w:val="auto"/>
                <w:sz w:val="21"/>
                <w:szCs w:val="21"/>
                <w:highlight w:val="none"/>
                <w:u w:val="none"/>
                <w:lang w:val="en-US" w:eastAsia="zh-CN"/>
              </w:rPr>
              <w:t>无干枯坏死和病虫侵害，基本无裸露土地。</w:t>
            </w:r>
          </w:p>
        </w:tc>
      </w:tr>
      <w:tr w14:paraId="7B341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1BDBCE3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5" w:type="dxa"/>
            <w:vMerge w:val="continue"/>
            <w:noWrap w:val="0"/>
            <w:vAlign w:val="center"/>
          </w:tcPr>
          <w:p w14:paraId="12C5F4C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14" w:type="dxa"/>
            <w:noWrap w:val="0"/>
            <w:vAlign w:val="center"/>
          </w:tcPr>
          <w:p w14:paraId="09F249D0">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（3）定期修剪树木、花卉等，</w:t>
            </w:r>
            <w:r>
              <w:rPr>
                <w:rFonts w:hint="eastAsia" w:ascii="仿宋" w:hAnsi="仿宋" w:eastAsia="仿宋" w:cs="仿宋"/>
                <w:color w:val="auto"/>
                <w:sz w:val="21"/>
                <w:szCs w:val="21"/>
                <w:highlight w:val="none"/>
                <w:u w:val="none"/>
                <w:lang w:val="en-US" w:eastAsia="zh-CN"/>
              </w:rPr>
              <w:t>灌乔木生长正常、造型美观自然、花枝新鲜，无枯叶、无病虫、无死树缺株。</w:t>
            </w:r>
          </w:p>
        </w:tc>
      </w:tr>
      <w:tr w14:paraId="72A83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25824C7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5" w:type="dxa"/>
            <w:vMerge w:val="continue"/>
            <w:noWrap w:val="0"/>
            <w:vAlign w:val="center"/>
          </w:tcPr>
          <w:p w14:paraId="284CDF5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14" w:type="dxa"/>
            <w:noWrap w:val="0"/>
            <w:vAlign w:val="center"/>
          </w:tcPr>
          <w:p w14:paraId="792FBC6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w:t>
            </w:r>
            <w:r>
              <w:rPr>
                <w:rFonts w:hint="eastAsia" w:ascii="仿宋" w:hAnsi="仿宋" w:eastAsia="仿宋" w:cs="仿宋"/>
                <w:color w:val="auto"/>
                <w:sz w:val="21"/>
                <w:szCs w:val="21"/>
                <w:highlight w:val="none"/>
                <w:u w:val="none"/>
                <w:lang w:val="en-US" w:eastAsia="zh-CN"/>
              </w:rPr>
              <w:t>绿篱生长造型正常，颜色正常，修剪及时，基本无死株和干死株，有虫株率在10%以下。</w:t>
            </w:r>
          </w:p>
        </w:tc>
      </w:tr>
      <w:tr w14:paraId="21C53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62FC1C3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5" w:type="dxa"/>
            <w:vMerge w:val="continue"/>
            <w:noWrap w:val="0"/>
            <w:vAlign w:val="center"/>
          </w:tcPr>
          <w:p w14:paraId="0C30B6B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14" w:type="dxa"/>
            <w:noWrap w:val="0"/>
            <w:vAlign w:val="center"/>
          </w:tcPr>
          <w:p w14:paraId="3B79E9B2">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w:t>
            </w:r>
            <w:r>
              <w:rPr>
                <w:rFonts w:hint="eastAsia" w:ascii="仿宋" w:hAnsi="仿宋" w:eastAsia="仿宋" w:cs="仿宋"/>
                <w:color w:val="auto"/>
                <w:sz w:val="21"/>
                <w:szCs w:val="21"/>
                <w:highlight w:val="none"/>
                <w:u w:val="none"/>
                <w:lang w:val="en-US" w:eastAsia="zh-CN"/>
              </w:rPr>
              <w:t>清除花坛和花景的花蒂、黄叶、杂草、垃圾，做好病虫害防治。</w:t>
            </w:r>
          </w:p>
        </w:tc>
      </w:tr>
      <w:tr w14:paraId="7114A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17B5317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5" w:type="dxa"/>
            <w:vMerge w:val="continue"/>
            <w:noWrap w:val="0"/>
            <w:vAlign w:val="center"/>
          </w:tcPr>
          <w:p w14:paraId="267FFB7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14" w:type="dxa"/>
            <w:noWrap w:val="0"/>
            <w:vAlign w:val="center"/>
          </w:tcPr>
          <w:p w14:paraId="348226C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w:t>
            </w:r>
            <w:r>
              <w:rPr>
                <w:rFonts w:hint="eastAsia" w:ascii="仿宋" w:hAnsi="仿宋" w:eastAsia="仿宋" w:cs="仿宋"/>
                <w:color w:val="auto"/>
                <w:sz w:val="21"/>
                <w:szCs w:val="21"/>
                <w:highlight w:val="none"/>
                <w:u w:val="none"/>
                <w:lang w:val="en-US" w:eastAsia="zh-CN"/>
              </w:rPr>
              <w:t>水池水面定期清理，无枯枝落叶、水质清洁。</w:t>
            </w:r>
          </w:p>
        </w:tc>
      </w:tr>
      <w:tr w14:paraId="6982A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279AF2D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5" w:type="dxa"/>
            <w:vMerge w:val="continue"/>
            <w:noWrap w:val="0"/>
            <w:vAlign w:val="center"/>
          </w:tcPr>
          <w:p w14:paraId="49F7FFD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14" w:type="dxa"/>
            <w:noWrap w:val="0"/>
            <w:vAlign w:val="center"/>
          </w:tcPr>
          <w:p w14:paraId="08FFA2A5">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（7）根据病虫害发生规律实施综合治理，通常在病虫率高时，以药剂杀死病虫，以确保植物良好生长。产生垃圾的主要区域和路段做到日产日清。</w:t>
            </w:r>
          </w:p>
        </w:tc>
      </w:tr>
      <w:tr w14:paraId="4E5C4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6DAF62E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5" w:type="dxa"/>
            <w:vMerge w:val="continue"/>
            <w:noWrap w:val="0"/>
            <w:vAlign w:val="center"/>
          </w:tcPr>
          <w:p w14:paraId="1FE5CB6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414" w:type="dxa"/>
            <w:noWrap w:val="0"/>
            <w:vAlign w:val="center"/>
          </w:tcPr>
          <w:p w14:paraId="56AD3331">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（8）雨雪、冰冻等恶劣天气来临前，专人巡查，对绿植做好预防措施，排除安全隐患。</w:t>
            </w:r>
          </w:p>
        </w:tc>
      </w:tr>
      <w:tr w14:paraId="45365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1" w:type="dxa"/>
            <w:vMerge w:val="continue"/>
            <w:noWrap w:val="0"/>
            <w:vAlign w:val="center"/>
          </w:tcPr>
          <w:p w14:paraId="1C5BA5D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5" w:type="dxa"/>
            <w:vMerge w:val="continue"/>
            <w:noWrap w:val="0"/>
            <w:vAlign w:val="center"/>
          </w:tcPr>
          <w:p w14:paraId="6CAAF46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kern w:val="2"/>
                <w:sz w:val="21"/>
                <w:szCs w:val="21"/>
                <w:highlight w:val="none"/>
                <w:lang w:val="en-US" w:eastAsia="zh-CN" w:bidi="ar-SA"/>
              </w:rPr>
            </w:pPr>
          </w:p>
        </w:tc>
        <w:tc>
          <w:tcPr>
            <w:tcW w:w="6414" w:type="dxa"/>
            <w:noWrap w:val="0"/>
            <w:vAlign w:val="center"/>
          </w:tcPr>
          <w:p w14:paraId="755E0194">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（9）恶劣天气后，及时清除倒树断枝，疏通道路，尽快恢复原状。</w:t>
            </w:r>
          </w:p>
        </w:tc>
      </w:tr>
    </w:tbl>
    <w:p w14:paraId="2D532232">
      <w:pPr>
        <w:pageBreakBefore w:val="0"/>
        <w:widowControl/>
        <w:kinsoku/>
        <w:wordWrap/>
        <w:overflowPunct/>
        <w:topLinePunct w:val="0"/>
        <w:autoSpaceDE w:val="0"/>
        <w:autoSpaceDN w:val="0"/>
        <w:bidi w:val="0"/>
        <w:adjustRightInd/>
        <w:snapToGrid w:val="0"/>
        <w:spacing w:line="500" w:lineRule="exact"/>
        <w:ind w:firstLine="562" w:firstLineChars="200"/>
        <w:jc w:val="both"/>
        <w:textAlignment w:val="auto"/>
        <w:outlineLvl w:val="2"/>
        <w:rPr>
          <w:rFonts w:hint="eastAsia" w:ascii="仿宋" w:hAnsi="仿宋" w:eastAsia="仿宋" w:cs="仿宋"/>
          <w:b/>
          <w:bCs w:val="0"/>
          <w:i w:val="0"/>
          <w:iCs w:val="0"/>
          <w:kern w:val="2"/>
          <w:sz w:val="28"/>
          <w:szCs w:val="28"/>
          <w:highlight w:val="none"/>
          <w:u w:val="none"/>
          <w:lang w:val="en-US" w:eastAsia="zh-CN" w:bidi="ar-SA"/>
        </w:rPr>
      </w:pPr>
      <w:r>
        <w:rPr>
          <w:rFonts w:hint="eastAsia" w:ascii="仿宋" w:hAnsi="仿宋" w:eastAsia="仿宋" w:cs="仿宋"/>
          <w:b/>
          <w:bCs w:val="0"/>
          <w:i w:val="0"/>
          <w:iCs w:val="0"/>
          <w:kern w:val="2"/>
          <w:sz w:val="28"/>
          <w:szCs w:val="28"/>
          <w:highlight w:val="none"/>
          <w:u w:val="none"/>
          <w:lang w:val="en-US" w:eastAsia="zh-CN" w:bidi="ar-SA"/>
        </w:rPr>
        <w:t>3.6</w:t>
      </w:r>
      <w:r>
        <w:rPr>
          <w:rFonts w:hint="eastAsia" w:ascii="仿宋" w:hAnsi="仿宋" w:eastAsia="仿宋" w:cs="仿宋"/>
          <w:b/>
          <w:color w:val="auto"/>
          <w:kern w:val="2"/>
          <w:sz w:val="28"/>
          <w:szCs w:val="28"/>
          <w:highlight w:val="none"/>
          <w:u w:val="none"/>
          <w:lang w:val="en-US" w:eastAsia="zh-CN" w:bidi="ar-SA"/>
        </w:rPr>
        <w:t>保安服务</w:t>
      </w:r>
    </w:p>
    <w:tbl>
      <w:tblPr>
        <w:tblStyle w:val="4"/>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970"/>
        <w:gridCol w:w="5782"/>
      </w:tblGrid>
      <w:tr w14:paraId="78405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noWrap w:val="0"/>
            <w:vAlign w:val="center"/>
          </w:tcPr>
          <w:p w14:paraId="461FF806">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序号</w:t>
            </w:r>
          </w:p>
        </w:tc>
        <w:tc>
          <w:tcPr>
            <w:tcW w:w="2174" w:type="dxa"/>
            <w:noWrap w:val="0"/>
            <w:vAlign w:val="center"/>
          </w:tcPr>
          <w:p w14:paraId="6E1E54E5">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服务内容</w:t>
            </w:r>
          </w:p>
        </w:tc>
        <w:tc>
          <w:tcPr>
            <w:tcW w:w="6378" w:type="dxa"/>
            <w:noWrap w:val="0"/>
            <w:vAlign w:val="center"/>
          </w:tcPr>
          <w:p w14:paraId="756E7DD5">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服务标准</w:t>
            </w:r>
          </w:p>
        </w:tc>
      </w:tr>
      <w:tr w14:paraId="2D029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restart"/>
            <w:noWrap w:val="0"/>
            <w:vAlign w:val="center"/>
          </w:tcPr>
          <w:p w14:paraId="4813DE2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p>
        </w:tc>
        <w:tc>
          <w:tcPr>
            <w:tcW w:w="2174" w:type="dxa"/>
            <w:vMerge w:val="restart"/>
            <w:noWrap w:val="0"/>
            <w:vAlign w:val="center"/>
          </w:tcPr>
          <w:p w14:paraId="31D484A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基本要求</w:t>
            </w:r>
          </w:p>
        </w:tc>
        <w:tc>
          <w:tcPr>
            <w:tcW w:w="6378" w:type="dxa"/>
            <w:noWrap w:val="0"/>
            <w:vAlign w:val="center"/>
          </w:tcPr>
          <w:p w14:paraId="5DDAFC51">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（1）建立保安服务相关制度，并按照执行。</w:t>
            </w:r>
          </w:p>
        </w:tc>
      </w:tr>
      <w:tr w14:paraId="78A9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3260F87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4C5B40A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528B07D2">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（2）对巡查、值守及异常情况等做好相关记录，填写规范，保存完好。</w:t>
            </w:r>
          </w:p>
        </w:tc>
      </w:tr>
      <w:tr w14:paraId="59C4A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2E21F5C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6FA62A8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07394B4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（3）配备保安服务必要的器材。</w:t>
            </w:r>
          </w:p>
        </w:tc>
      </w:tr>
      <w:tr w14:paraId="54301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restart"/>
            <w:noWrap w:val="0"/>
            <w:vAlign w:val="center"/>
          </w:tcPr>
          <w:p w14:paraId="6692F47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2174" w:type="dxa"/>
            <w:vMerge w:val="restart"/>
            <w:noWrap w:val="0"/>
            <w:vAlign w:val="center"/>
          </w:tcPr>
          <w:p w14:paraId="7D46D31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出入管理</w:t>
            </w:r>
          </w:p>
        </w:tc>
        <w:tc>
          <w:tcPr>
            <w:tcW w:w="6378" w:type="dxa"/>
            <w:noWrap w:val="0"/>
            <w:vAlign w:val="center"/>
          </w:tcPr>
          <w:p w14:paraId="502288F0">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（1）办公楼（区）主出入口应当实行 24小时值班制。</w:t>
            </w:r>
          </w:p>
        </w:tc>
      </w:tr>
      <w:tr w14:paraId="22A48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2AF8BBC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217EEF2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47415E15">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（2）设置门岗。</w:t>
            </w:r>
          </w:p>
        </w:tc>
      </w:tr>
      <w:tr w14:paraId="0887E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1ED085D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15B0017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5E5B524D">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（3）在出入口对外来人员及其携带大件物品、外来车辆进行询问和记录，并与相关部门取得联系，同意后方可进入。</w:t>
            </w:r>
          </w:p>
        </w:tc>
      </w:tr>
      <w:tr w14:paraId="6C196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6E93F3F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218C8B1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163B229B">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（4）大件物品搬出有相关部门开具的证明和清单，经核实后放行。</w:t>
            </w:r>
          </w:p>
        </w:tc>
      </w:tr>
      <w:tr w14:paraId="2EC75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810" w:type="dxa"/>
            <w:vMerge w:val="continue"/>
            <w:noWrap w:val="0"/>
            <w:vAlign w:val="center"/>
          </w:tcPr>
          <w:p w14:paraId="6ED81CC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1A64E61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1CECCBF5">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（5）排查可疑人员，对于不出示证件、不按规定登记、不听劝阻而强行闯入者，及时劝离，必要时通知公安机关进行处理。</w:t>
            </w:r>
          </w:p>
        </w:tc>
      </w:tr>
      <w:tr w14:paraId="4D171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649D548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51C8B11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61E76513">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（6）配合相关部门积极疏导上访人员，有效疏导如出入口人群集聚、车辆拥堵、货物堵塞道路等情况。</w:t>
            </w:r>
          </w:p>
        </w:tc>
      </w:tr>
      <w:tr w14:paraId="4FA93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453314E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40D3A13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2C13BA2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r w14:paraId="525AE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49478F4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762B758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622855E1">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（8）提供现场接待服务。</w:t>
            </w:r>
          </w:p>
          <w:p w14:paraId="2AC75A30">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eastAsia="zh-CN"/>
              </w:rPr>
            </w:pPr>
            <w:r>
              <w:rPr>
                <w:rFonts w:hint="eastAsia" w:ascii="仿宋" w:hAnsi="仿宋" w:eastAsia="仿宋" w:cs="仿宋"/>
                <w:color w:val="auto"/>
                <w:sz w:val="21"/>
                <w:szCs w:val="21"/>
                <w:highlight w:val="none"/>
                <w:u w:val="none"/>
                <w:lang w:val="en-US" w:eastAsia="zh-CN"/>
              </w:rPr>
              <w:t>①</w:t>
            </w:r>
            <w:r>
              <w:rPr>
                <w:rFonts w:hint="eastAsia" w:ascii="仿宋" w:hAnsi="仿宋" w:eastAsia="仿宋" w:cs="仿宋"/>
                <w:color w:val="auto"/>
                <w:sz w:val="21"/>
                <w:szCs w:val="21"/>
                <w:highlight w:val="none"/>
                <w:u w:val="none"/>
                <w:lang w:eastAsia="zh-CN"/>
              </w:rPr>
              <w:t>做好来访人员、车辆进出证件登记，及时通报。</w:t>
            </w:r>
          </w:p>
          <w:p w14:paraId="5C12159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lang w:eastAsia="zh-CN"/>
              </w:rPr>
            </w:pPr>
            <w:r>
              <w:rPr>
                <w:rFonts w:hint="eastAsia" w:ascii="仿宋" w:hAnsi="仿宋" w:eastAsia="仿宋" w:cs="仿宋"/>
                <w:color w:val="auto"/>
                <w:sz w:val="21"/>
                <w:szCs w:val="21"/>
                <w:highlight w:val="none"/>
                <w:u w:val="none"/>
                <w:lang w:val="en-US" w:eastAsia="zh-CN"/>
              </w:rPr>
              <w:t>②</w:t>
            </w:r>
            <w:r>
              <w:rPr>
                <w:rFonts w:hint="eastAsia" w:ascii="仿宋" w:hAnsi="仿宋" w:eastAsia="仿宋" w:cs="仿宋"/>
                <w:color w:val="auto"/>
                <w:sz w:val="21"/>
                <w:szCs w:val="21"/>
                <w:highlight w:val="none"/>
                <w:u w:val="none"/>
                <w:lang w:eastAsia="zh-CN"/>
              </w:rPr>
              <w:t>严禁无关人员、可疑人员和危险物品进入办公楼（区）内。</w:t>
            </w:r>
          </w:p>
          <w:p w14:paraId="6E9E90F3">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rPr>
            </w:pPr>
            <w:r>
              <w:rPr>
                <w:rFonts w:hint="eastAsia" w:ascii="仿宋" w:hAnsi="仿宋" w:eastAsia="仿宋" w:cs="仿宋"/>
                <w:color w:val="auto"/>
                <w:sz w:val="21"/>
                <w:szCs w:val="21"/>
                <w:highlight w:val="none"/>
                <w:u w:val="none"/>
              </w:rPr>
              <w:t>③物品摆放整齐有序、分类放置。</w:t>
            </w:r>
          </w:p>
          <w:p w14:paraId="3E9C6E3C">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rPr>
            </w:pPr>
            <w:r>
              <w:rPr>
                <w:rFonts w:hint="eastAsia" w:ascii="仿宋" w:hAnsi="仿宋" w:eastAsia="仿宋" w:cs="仿宋"/>
                <w:color w:val="auto"/>
                <w:sz w:val="21"/>
                <w:szCs w:val="21"/>
                <w:highlight w:val="none"/>
                <w:u w:val="none"/>
              </w:rPr>
              <w:t>④现场办理等待时间不超过5分钟，等待较长时间应</w:t>
            </w:r>
            <w:r>
              <w:rPr>
                <w:rFonts w:hint="eastAsia" w:ascii="仿宋" w:hAnsi="仿宋" w:eastAsia="仿宋" w:cs="仿宋"/>
                <w:color w:val="auto"/>
                <w:sz w:val="21"/>
                <w:szCs w:val="21"/>
                <w:highlight w:val="none"/>
                <w:u w:val="none"/>
                <w:lang w:eastAsia="zh-CN"/>
              </w:rPr>
              <w:t>当</w:t>
            </w:r>
            <w:r>
              <w:rPr>
                <w:rFonts w:hint="eastAsia" w:ascii="仿宋" w:hAnsi="仿宋" w:eastAsia="仿宋" w:cs="仿宋"/>
                <w:color w:val="auto"/>
                <w:sz w:val="21"/>
                <w:szCs w:val="21"/>
                <w:highlight w:val="none"/>
                <w:u w:val="none"/>
              </w:rPr>
              <w:t>及时沟通。</w:t>
            </w:r>
          </w:p>
          <w:p w14:paraId="5AC5681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rPr>
            </w:pPr>
            <w:r>
              <w:rPr>
                <w:rFonts w:hint="eastAsia" w:ascii="仿宋" w:hAnsi="仿宋" w:eastAsia="仿宋" w:cs="仿宋"/>
                <w:color w:val="auto"/>
                <w:sz w:val="21"/>
                <w:szCs w:val="21"/>
                <w:highlight w:val="none"/>
                <w:u w:val="none"/>
              </w:rPr>
              <w:t>⑤对来访人员咨询、建议、求助等事项，及时处理或答复，处理和答复率100%。</w:t>
            </w:r>
          </w:p>
          <w:p w14:paraId="33938642">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rPr>
            </w:pPr>
            <w:r>
              <w:rPr>
                <w:rFonts w:hint="eastAsia" w:ascii="仿宋" w:hAnsi="仿宋" w:eastAsia="仿宋" w:cs="仿宋"/>
                <w:color w:val="auto"/>
                <w:sz w:val="21"/>
                <w:szCs w:val="21"/>
                <w:highlight w:val="none"/>
                <w:u w:val="none"/>
              </w:rPr>
              <w:t>⑥接待服务工作时间应</w:t>
            </w:r>
            <w:r>
              <w:rPr>
                <w:rFonts w:hint="eastAsia" w:ascii="仿宋" w:hAnsi="仿宋" w:eastAsia="仿宋" w:cs="仿宋"/>
                <w:color w:val="auto"/>
                <w:sz w:val="21"/>
                <w:szCs w:val="21"/>
                <w:highlight w:val="none"/>
                <w:u w:val="none"/>
                <w:lang w:eastAsia="zh-CN"/>
              </w:rPr>
              <w:t>当</w:t>
            </w:r>
            <w:r>
              <w:rPr>
                <w:rFonts w:hint="eastAsia" w:ascii="仿宋" w:hAnsi="仿宋" w:eastAsia="仿宋" w:cs="仿宋"/>
                <w:color w:val="auto"/>
                <w:sz w:val="21"/>
                <w:szCs w:val="21"/>
                <w:highlight w:val="none"/>
                <w:u w:val="none"/>
              </w:rPr>
              <w:t>覆盖采购人工作时间（上班时间为—</w:t>
            </w:r>
            <w:r>
              <w:rPr>
                <w:rFonts w:hint="eastAsia" w:ascii="仿宋" w:hAnsi="仿宋" w:eastAsia="仿宋" w:cs="仿宋"/>
                <w:color w:val="auto"/>
                <w:sz w:val="21"/>
                <w:szCs w:val="21"/>
                <w:highlight w:val="none"/>
                <w:u w:val="single"/>
                <w:lang w:val="en-US" w:eastAsia="zh-CN"/>
              </w:rPr>
              <w:t>7：00</w:t>
            </w:r>
            <w:r>
              <w:rPr>
                <w:rFonts w:hint="eastAsia" w:ascii="仿宋" w:hAnsi="仿宋" w:eastAsia="仿宋" w:cs="仿宋"/>
                <w:color w:val="auto"/>
                <w:sz w:val="21"/>
                <w:szCs w:val="21"/>
                <w:highlight w:val="none"/>
                <w:u w:val="none"/>
              </w:rPr>
              <w:t>-</w:t>
            </w:r>
            <w:r>
              <w:rPr>
                <w:rFonts w:hint="eastAsia" w:ascii="仿宋" w:hAnsi="仿宋" w:eastAsia="仿宋" w:cs="仿宋"/>
                <w:color w:val="auto"/>
                <w:sz w:val="21"/>
                <w:szCs w:val="21"/>
                <w:highlight w:val="none"/>
                <w:u w:val="single"/>
                <w:lang w:val="en-US" w:eastAsia="zh-CN"/>
              </w:rPr>
              <w:t>19：00</w:t>
            </w:r>
            <w:r>
              <w:rPr>
                <w:rFonts w:hint="eastAsia" w:ascii="仿宋" w:hAnsi="仿宋" w:eastAsia="仿宋" w:cs="仿宋"/>
                <w:color w:val="auto"/>
                <w:sz w:val="21"/>
                <w:szCs w:val="21"/>
                <w:highlight w:val="none"/>
                <w:u w:val="none"/>
              </w:rPr>
              <w:t>）。</w:t>
            </w:r>
          </w:p>
          <w:p w14:paraId="5E214081">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color w:val="auto"/>
                <w:sz w:val="21"/>
                <w:szCs w:val="21"/>
                <w:highlight w:val="none"/>
                <w:u w:val="none"/>
              </w:rPr>
            </w:pPr>
            <w:r>
              <w:rPr>
                <w:rFonts w:hint="eastAsia" w:ascii="仿宋" w:hAnsi="仿宋" w:eastAsia="仿宋" w:cs="仿宋"/>
                <w:color w:val="auto"/>
                <w:sz w:val="21"/>
                <w:szCs w:val="21"/>
                <w:highlight w:val="none"/>
                <w:u w:val="none"/>
              </w:rPr>
              <w:t>⑦与被访人进行核实确认；告知被访人的办公室门牌号；告知访客注意事项（</w:t>
            </w:r>
            <w:r>
              <w:rPr>
                <w:rFonts w:hint="eastAsia" w:ascii="仿宋" w:hAnsi="仿宋" w:eastAsia="仿宋" w:cs="仿宋"/>
                <w:color w:val="auto"/>
                <w:sz w:val="21"/>
                <w:szCs w:val="21"/>
                <w:highlight w:val="none"/>
                <w:u w:val="none"/>
                <w:lang w:val="en-US" w:eastAsia="zh-CN"/>
              </w:rPr>
              <w:t>根据实际需要</w:t>
            </w:r>
            <w:r>
              <w:rPr>
                <w:rFonts w:hint="eastAsia" w:ascii="仿宋" w:hAnsi="仿宋" w:eastAsia="仿宋" w:cs="仿宋"/>
                <w:color w:val="auto"/>
                <w:sz w:val="21"/>
                <w:szCs w:val="21"/>
                <w:highlight w:val="none"/>
                <w:u w:val="none"/>
              </w:rPr>
              <w:t>填写</w:t>
            </w:r>
            <w:r>
              <w:rPr>
                <w:rFonts w:hint="eastAsia" w:ascii="仿宋" w:hAnsi="仿宋" w:eastAsia="仿宋" w:cs="仿宋"/>
                <w:color w:val="auto"/>
                <w:sz w:val="21"/>
                <w:szCs w:val="21"/>
                <w:highlight w:val="none"/>
                <w:u w:val="none"/>
                <w:lang w:val="en-US" w:eastAsia="zh-CN"/>
              </w:rPr>
              <w:t>注意事项</w:t>
            </w:r>
            <w:r>
              <w:rPr>
                <w:rFonts w:hint="eastAsia" w:ascii="仿宋" w:hAnsi="仿宋" w:eastAsia="仿宋" w:cs="仿宋"/>
                <w:color w:val="auto"/>
                <w:sz w:val="21"/>
                <w:szCs w:val="21"/>
                <w:highlight w:val="none"/>
                <w:u w:val="none"/>
              </w:rPr>
              <w:t>）。</w:t>
            </w:r>
          </w:p>
        </w:tc>
      </w:tr>
      <w:tr w14:paraId="2FBCD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restart"/>
            <w:noWrap w:val="0"/>
            <w:vAlign w:val="center"/>
          </w:tcPr>
          <w:p w14:paraId="6537916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3</w:t>
            </w:r>
          </w:p>
        </w:tc>
        <w:tc>
          <w:tcPr>
            <w:tcW w:w="2174" w:type="dxa"/>
            <w:vMerge w:val="restart"/>
            <w:noWrap w:val="0"/>
            <w:vAlign w:val="center"/>
          </w:tcPr>
          <w:p w14:paraId="56D184E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值班</w:t>
            </w:r>
            <w:r>
              <w:rPr>
                <w:rFonts w:hint="eastAsia" w:ascii="仿宋" w:hAnsi="仿宋" w:eastAsia="仿宋" w:cs="仿宋"/>
                <w:sz w:val="21"/>
                <w:szCs w:val="21"/>
                <w:highlight w:val="none"/>
              </w:rPr>
              <w:t>巡查</w:t>
            </w:r>
          </w:p>
        </w:tc>
        <w:tc>
          <w:tcPr>
            <w:tcW w:w="6378" w:type="dxa"/>
            <w:noWrap w:val="0"/>
            <w:vAlign w:val="center"/>
          </w:tcPr>
          <w:p w14:paraId="1C3C6627">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（1）建立24小时值班巡查制度。</w:t>
            </w:r>
          </w:p>
        </w:tc>
      </w:tr>
      <w:tr w14:paraId="034BD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12E1C32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222FF29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378" w:type="dxa"/>
            <w:noWrap w:val="0"/>
            <w:vAlign w:val="center"/>
          </w:tcPr>
          <w:p w14:paraId="1B799A9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（2）制定巡查路线，按照指定时间和路线执行，加强重点区域、重点部位及装修区域的巡查。</w:t>
            </w:r>
          </w:p>
        </w:tc>
      </w:tr>
      <w:tr w14:paraId="38993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5F892A2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2F9C510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val="en-US" w:eastAsia="zh-CN"/>
              </w:rPr>
            </w:pPr>
          </w:p>
        </w:tc>
        <w:tc>
          <w:tcPr>
            <w:tcW w:w="6378" w:type="dxa"/>
            <w:noWrap w:val="0"/>
            <w:vAlign w:val="center"/>
          </w:tcPr>
          <w:p w14:paraId="76FF6B32">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（3）巡查期间保持通信设施设备畅通，遇到异常情况立即上报并在现场采取相应措施。</w:t>
            </w:r>
          </w:p>
        </w:tc>
      </w:tr>
      <w:tr w14:paraId="7DB3C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54A1A20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6A3A51A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4C4271E5">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（4）收到监控室指令后，巡查人员及时到达指定地点并迅速采取相应措施。</w:t>
            </w:r>
          </w:p>
        </w:tc>
      </w:tr>
      <w:tr w14:paraId="04CDA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restart"/>
            <w:noWrap w:val="0"/>
            <w:vAlign w:val="center"/>
          </w:tcPr>
          <w:p w14:paraId="6426295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4</w:t>
            </w:r>
          </w:p>
        </w:tc>
        <w:tc>
          <w:tcPr>
            <w:tcW w:w="2174" w:type="dxa"/>
            <w:vMerge w:val="restart"/>
            <w:noWrap w:val="0"/>
            <w:vAlign w:val="center"/>
          </w:tcPr>
          <w:p w14:paraId="2D734F2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监控</w:t>
            </w:r>
            <w:r>
              <w:rPr>
                <w:rFonts w:hint="eastAsia" w:ascii="仿宋" w:hAnsi="仿宋" w:eastAsia="仿宋" w:cs="仿宋"/>
                <w:sz w:val="21"/>
                <w:szCs w:val="21"/>
                <w:highlight w:val="none"/>
                <w:lang w:val="en-US" w:eastAsia="zh-CN"/>
              </w:rPr>
              <w:t>值守</w:t>
            </w:r>
          </w:p>
        </w:tc>
        <w:tc>
          <w:tcPr>
            <w:tcW w:w="6378" w:type="dxa"/>
            <w:noWrap w:val="0"/>
            <w:vAlign w:val="center"/>
          </w:tcPr>
          <w:p w14:paraId="58BF294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（1）监控室环境符合系统设备运行要求，定期进行检查和检测，确保系统功能正常。</w:t>
            </w:r>
          </w:p>
        </w:tc>
      </w:tr>
      <w:tr w14:paraId="59C4B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3C441B3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1479907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4D8B9B3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（2）监控设备24小时正常运行，监控室实行专人24小时值班制度。</w:t>
            </w:r>
          </w:p>
        </w:tc>
      </w:tr>
      <w:tr w14:paraId="15727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5068EC9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336295C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5E59C16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（3）监控记录画面清晰，视频监控无死角、无盲区。</w:t>
            </w:r>
          </w:p>
        </w:tc>
      </w:tr>
      <w:tr w14:paraId="60047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59D0FA1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0EFBDFF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0BDBF3C7">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（4）值班期间遵守操作规程和保密制度，做好监控记录的保存工作。</w:t>
            </w:r>
          </w:p>
        </w:tc>
      </w:tr>
      <w:tr w14:paraId="06ABD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25212C4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0619955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2DD0AEB8">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（5）监控记录保持完整，保存时间不应少于90天。</w:t>
            </w:r>
          </w:p>
        </w:tc>
      </w:tr>
      <w:tr w14:paraId="191DD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10" w:type="dxa"/>
            <w:vMerge w:val="continue"/>
            <w:noWrap w:val="0"/>
            <w:vAlign w:val="center"/>
          </w:tcPr>
          <w:p w14:paraId="38A7640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0AE3907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7693A160">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（6）无关人员进入监控室或查阅监控记录，经授权人批准并做好相关记录。</w:t>
            </w:r>
          </w:p>
        </w:tc>
      </w:tr>
      <w:tr w14:paraId="0EE86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410CCAA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15CF973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008E965A">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（7）监控室收到火情等报警信号、其他异常情况信号后，及时报警并安排其他安保人员前往现场进行处理。</w:t>
            </w:r>
          </w:p>
        </w:tc>
      </w:tr>
      <w:tr w14:paraId="0EF1F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restart"/>
            <w:noWrap w:val="0"/>
            <w:vAlign w:val="center"/>
          </w:tcPr>
          <w:p w14:paraId="7C30F3D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p>
        </w:tc>
        <w:tc>
          <w:tcPr>
            <w:tcW w:w="2174" w:type="dxa"/>
            <w:vMerge w:val="restart"/>
            <w:noWrap w:val="0"/>
            <w:vAlign w:val="center"/>
          </w:tcPr>
          <w:p w14:paraId="752C99F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车辆停放</w:t>
            </w:r>
          </w:p>
        </w:tc>
        <w:tc>
          <w:tcPr>
            <w:tcW w:w="6378" w:type="dxa"/>
            <w:noWrap w:val="0"/>
            <w:vAlign w:val="center"/>
          </w:tcPr>
          <w:p w14:paraId="5A33ED57">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（1）车辆行驶路线设置合理、规范，导向标志完整、清晰。</w:t>
            </w:r>
          </w:p>
        </w:tc>
      </w:tr>
      <w:tr w14:paraId="4F7D8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1CD77C7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744D875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55F1C6A6">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（2）合理规划车辆停放区域，张贴车辆引导标识，对车辆及停放区域实行规范管理。</w:t>
            </w:r>
          </w:p>
        </w:tc>
      </w:tr>
      <w:tr w14:paraId="023E0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550636F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40A99A8E">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022DB01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（3）严禁在办公楼的公用走道、楼梯间、安全出口处等公共区域停放车辆或充电。</w:t>
            </w:r>
          </w:p>
        </w:tc>
      </w:tr>
      <w:tr w14:paraId="0AD55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0E95E77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630F3A0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762EE3F3">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（4）非机动车定点有序停放。</w:t>
            </w:r>
          </w:p>
        </w:tc>
      </w:tr>
      <w:tr w14:paraId="085B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2532314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41034D4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58B74C1B">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（5）发现车辆异常情况及时通知车主，并做好登记；发生交通事故、自然灾害等意外事故时及时赶赴现场疏导和协助处理，响应时间不超过3分钟。</w:t>
            </w:r>
          </w:p>
        </w:tc>
      </w:tr>
      <w:tr w14:paraId="585BE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restart"/>
            <w:noWrap w:val="0"/>
            <w:vAlign w:val="center"/>
          </w:tcPr>
          <w:p w14:paraId="2C10296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6</w:t>
            </w:r>
          </w:p>
        </w:tc>
        <w:tc>
          <w:tcPr>
            <w:tcW w:w="2174" w:type="dxa"/>
            <w:vMerge w:val="restart"/>
            <w:noWrap w:val="0"/>
            <w:vAlign w:val="center"/>
          </w:tcPr>
          <w:p w14:paraId="7B3C8C8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消防安全管理</w:t>
            </w:r>
          </w:p>
        </w:tc>
        <w:tc>
          <w:tcPr>
            <w:tcW w:w="6378" w:type="dxa"/>
            <w:noWrap w:val="0"/>
            <w:vAlign w:val="center"/>
          </w:tcPr>
          <w:p w14:paraId="1CD4D644">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（1）建立消防安全责任制，确定各级消防安全责任人及其职责。</w:t>
            </w:r>
          </w:p>
        </w:tc>
      </w:tr>
      <w:tr w14:paraId="625AF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2D25390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066D9FD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7B7FD675">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（2）消防控制室实行24小时值班制度，每班不少于2人。</w:t>
            </w:r>
          </w:p>
        </w:tc>
      </w:tr>
      <w:tr w14:paraId="07AEE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0E3DD874">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5E6124D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678604AF">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（3）消火栓、应急照明、应急物资、消防及人员逃生通道、消防车通道可随时正常使用。</w:t>
            </w:r>
          </w:p>
        </w:tc>
      </w:tr>
      <w:tr w14:paraId="3B076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01BEF69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3F38020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23D70288">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（4）易燃易爆品设专区专人管理，做好相关记录。</w:t>
            </w:r>
          </w:p>
        </w:tc>
      </w:tr>
      <w:tr w14:paraId="7D61B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1E365AF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781D36F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68A15F6B">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（5）定期组织消防安全宣传，每半年至少开展1次消防演练。</w:t>
            </w:r>
          </w:p>
        </w:tc>
      </w:tr>
      <w:tr w14:paraId="591B1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restart"/>
            <w:noWrap w:val="0"/>
            <w:vAlign w:val="center"/>
          </w:tcPr>
          <w:p w14:paraId="4EC1EC3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7</w:t>
            </w:r>
          </w:p>
        </w:tc>
        <w:tc>
          <w:tcPr>
            <w:tcW w:w="2174" w:type="dxa"/>
            <w:vMerge w:val="restart"/>
            <w:noWrap w:val="0"/>
            <w:vAlign w:val="center"/>
          </w:tcPr>
          <w:p w14:paraId="46B6D11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突发事件处理</w:t>
            </w:r>
          </w:p>
        </w:tc>
        <w:tc>
          <w:tcPr>
            <w:tcW w:w="6378" w:type="dxa"/>
            <w:noWrap w:val="0"/>
            <w:vAlign w:val="center"/>
          </w:tcPr>
          <w:p w14:paraId="6F28BEC2">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（1）制定突发事件安全责任书，明确突发事件责任人及应承担的安全责任。</w:t>
            </w:r>
          </w:p>
        </w:tc>
      </w:tr>
      <w:tr w14:paraId="2B146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4F7704D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4C06FE1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739F9E5E">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（2）建立应急突发事件处置队伍，明确各自的职责。</w:t>
            </w:r>
          </w:p>
        </w:tc>
      </w:tr>
      <w:tr w14:paraId="7979F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6DE9FB0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5245B5F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54332EAF">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（3）识别、分析各种潜在风险，针对不同风险类型制定相应解决方案，并配备应急物资。</w:t>
            </w:r>
          </w:p>
        </w:tc>
      </w:tr>
      <w:tr w14:paraId="04B23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3383164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67F428B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763AEA8D">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（4）每半年至少开展1次突发事件应急演练，并有相应记录。</w:t>
            </w:r>
          </w:p>
        </w:tc>
      </w:tr>
      <w:tr w14:paraId="39EA9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6C589EC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5AF511B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2E4365B5">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（5）发生意外事件时，及时采取应急措施，维护办公区域物业服务正常进行，保护人身财产安全。</w:t>
            </w:r>
          </w:p>
        </w:tc>
      </w:tr>
      <w:tr w14:paraId="03D96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03D863A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636600A0">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4290B6B8">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（6）办公区域物业服务应急预案终止实施后，积极采取措施，在尽可能短的时间内，消除事故带来的不良影响，妥善安置和慰问受害及受影响的人员和部门。</w:t>
            </w:r>
          </w:p>
        </w:tc>
      </w:tr>
      <w:tr w14:paraId="721E2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37E4D09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562BBDD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7F95E472">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（7）事故处理后，及时形成事故应急总结报告，完善应急救援工作方案。</w:t>
            </w:r>
          </w:p>
        </w:tc>
      </w:tr>
      <w:tr w14:paraId="52847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restart"/>
            <w:noWrap w:val="0"/>
            <w:vAlign w:val="center"/>
          </w:tcPr>
          <w:p w14:paraId="12B8BE68">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8</w:t>
            </w:r>
          </w:p>
        </w:tc>
        <w:tc>
          <w:tcPr>
            <w:tcW w:w="2174" w:type="dxa"/>
            <w:vMerge w:val="restart"/>
            <w:noWrap w:val="0"/>
            <w:vAlign w:val="center"/>
          </w:tcPr>
          <w:p w14:paraId="13A353F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大型活动秩序</w:t>
            </w:r>
          </w:p>
        </w:tc>
        <w:tc>
          <w:tcPr>
            <w:tcW w:w="6378" w:type="dxa"/>
            <w:noWrap w:val="0"/>
            <w:vAlign w:val="center"/>
          </w:tcPr>
          <w:p w14:paraId="522C09F7">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（1）制定相应的活动秩序维护方案，合理安排人员，并对场所的安全隐患进行排查。</w:t>
            </w:r>
          </w:p>
        </w:tc>
      </w:tr>
      <w:tr w14:paraId="14BE0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283D657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5F9F2A6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57EF27DB">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（2）应当保障通道、出入口、停车场等区域畅通。</w:t>
            </w:r>
          </w:p>
        </w:tc>
      </w:tr>
      <w:tr w14:paraId="08C75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0" w:type="dxa"/>
            <w:vMerge w:val="continue"/>
            <w:noWrap w:val="0"/>
            <w:vAlign w:val="center"/>
          </w:tcPr>
          <w:p w14:paraId="06F4873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sz w:val="21"/>
                <w:szCs w:val="21"/>
                <w:highlight w:val="none"/>
                <w:lang w:val="en-US" w:eastAsia="zh-CN"/>
              </w:rPr>
            </w:pPr>
          </w:p>
        </w:tc>
        <w:tc>
          <w:tcPr>
            <w:tcW w:w="2174" w:type="dxa"/>
            <w:vMerge w:val="continue"/>
            <w:noWrap w:val="0"/>
            <w:vAlign w:val="center"/>
          </w:tcPr>
          <w:p w14:paraId="523FADD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sz w:val="21"/>
                <w:szCs w:val="21"/>
                <w:highlight w:val="none"/>
              </w:rPr>
            </w:pPr>
          </w:p>
        </w:tc>
        <w:tc>
          <w:tcPr>
            <w:tcW w:w="6378" w:type="dxa"/>
            <w:noWrap w:val="0"/>
            <w:vAlign w:val="center"/>
          </w:tcPr>
          <w:p w14:paraId="757EAA14">
            <w:pPr>
              <w:keepNext w:val="0"/>
              <w:keepLines w:val="0"/>
              <w:pageBreakBefore w:val="0"/>
              <w:widowControl/>
              <w:kinsoku/>
              <w:wordWrap/>
              <w:overflowPunct/>
              <w:topLinePunct w:val="0"/>
              <w:autoSpaceDE/>
              <w:autoSpaceDN/>
              <w:bidi w:val="0"/>
              <w:adjustRightInd/>
              <w:snapToGrid w:val="0"/>
              <w:spacing w:line="240" w:lineRule="auto"/>
              <w:ind w:left="0" w:firstLine="210" w:firstLineChars="100"/>
              <w:jc w:val="left"/>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b w:val="0"/>
                <w:bCs w:val="0"/>
                <w:color w:val="auto"/>
                <w:kern w:val="0"/>
                <w:sz w:val="21"/>
                <w:szCs w:val="21"/>
                <w:highlight w:val="none"/>
                <w:lang w:val="en-US" w:eastAsia="zh-CN"/>
              </w:rPr>
              <w:t xml:space="preserve"> （3）活动举办过程中，做好现场秩序的维护和突发事故的处置工作，确保活动正常进行。</w:t>
            </w:r>
          </w:p>
        </w:tc>
      </w:tr>
    </w:tbl>
    <w:p w14:paraId="73BC8B65">
      <w:pPr>
        <w:pageBreakBefore w:val="0"/>
        <w:widowControl/>
        <w:kinsoku/>
        <w:wordWrap/>
        <w:overflowPunct/>
        <w:topLinePunct w:val="0"/>
        <w:autoSpaceDE w:val="0"/>
        <w:autoSpaceDN w:val="0"/>
        <w:bidi w:val="0"/>
        <w:adjustRightInd/>
        <w:snapToGrid w:val="0"/>
        <w:spacing w:line="500" w:lineRule="exact"/>
        <w:ind w:firstLine="562" w:firstLineChars="200"/>
        <w:jc w:val="both"/>
        <w:textAlignment w:val="auto"/>
        <w:outlineLvl w:val="2"/>
        <w:rPr>
          <w:rFonts w:hint="eastAsia" w:ascii="仿宋" w:hAnsi="仿宋" w:eastAsia="仿宋" w:cs="仿宋"/>
          <w:b/>
          <w:kern w:val="2"/>
          <w:sz w:val="28"/>
          <w:szCs w:val="28"/>
          <w:highlight w:val="none"/>
          <w:lang w:val="en-US" w:eastAsia="zh-CN" w:bidi="ar-SA"/>
        </w:rPr>
      </w:pPr>
      <w:r>
        <w:rPr>
          <w:rFonts w:hint="eastAsia" w:ascii="仿宋" w:hAnsi="仿宋" w:eastAsia="仿宋" w:cs="仿宋"/>
          <w:b/>
          <w:kern w:val="2"/>
          <w:sz w:val="28"/>
          <w:szCs w:val="28"/>
          <w:highlight w:val="none"/>
          <w:lang w:val="en-US" w:eastAsia="zh-CN" w:bidi="ar-SA"/>
        </w:rPr>
        <w:t>3.7会议服务</w:t>
      </w:r>
    </w:p>
    <w:tbl>
      <w:tblPr>
        <w:tblStyle w:val="4"/>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959"/>
        <w:gridCol w:w="5776"/>
      </w:tblGrid>
      <w:tr w14:paraId="79352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1B62DFB6">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序号</w:t>
            </w:r>
          </w:p>
        </w:tc>
        <w:tc>
          <w:tcPr>
            <w:tcW w:w="3348" w:type="dxa"/>
            <w:noWrap w:val="0"/>
            <w:vAlign w:val="center"/>
          </w:tcPr>
          <w:p w14:paraId="2C5022AE">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服务内容</w:t>
            </w:r>
          </w:p>
        </w:tc>
        <w:tc>
          <w:tcPr>
            <w:tcW w:w="9867" w:type="dxa"/>
            <w:noWrap w:val="0"/>
            <w:vAlign w:val="center"/>
          </w:tcPr>
          <w:p w14:paraId="7BD03E20">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服务标准</w:t>
            </w:r>
          </w:p>
        </w:tc>
      </w:tr>
      <w:tr w14:paraId="058E6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7A90C20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u w:val="none"/>
                <w:lang w:val="en-US" w:eastAsia="zh-CN"/>
              </w:rPr>
              <w:t>1</w:t>
            </w:r>
          </w:p>
        </w:tc>
        <w:tc>
          <w:tcPr>
            <w:tcW w:w="3348" w:type="dxa"/>
            <w:noWrap w:val="0"/>
            <w:vAlign w:val="center"/>
          </w:tcPr>
          <w:p w14:paraId="7F668823">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color w:val="auto"/>
                <w:sz w:val="21"/>
                <w:szCs w:val="21"/>
                <w:highlight w:val="none"/>
                <w:u w:val="none"/>
                <w:lang w:val="en-US" w:eastAsia="zh-CN"/>
              </w:rPr>
              <w:t>会议受理</w:t>
            </w:r>
          </w:p>
        </w:tc>
        <w:tc>
          <w:tcPr>
            <w:tcW w:w="9867" w:type="dxa"/>
            <w:noWrap w:val="0"/>
            <w:vAlign w:val="center"/>
          </w:tcPr>
          <w:p w14:paraId="0D62C3D9">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color w:val="auto"/>
                <w:sz w:val="21"/>
                <w:szCs w:val="21"/>
                <w:highlight w:val="none"/>
                <w:u w:val="none"/>
                <w:lang w:val="en-US" w:eastAsia="zh-CN"/>
              </w:rPr>
              <w:t>接受会议预订，记录会议需求。</w:t>
            </w:r>
          </w:p>
        </w:tc>
      </w:tr>
      <w:tr w14:paraId="4B174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5DBBF61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u w:val="none"/>
                <w:lang w:val="en-US" w:eastAsia="zh-CN"/>
              </w:rPr>
              <w:t>2</w:t>
            </w:r>
          </w:p>
        </w:tc>
        <w:tc>
          <w:tcPr>
            <w:tcW w:w="3348" w:type="dxa"/>
            <w:noWrap w:val="0"/>
            <w:vAlign w:val="center"/>
          </w:tcPr>
          <w:p w14:paraId="269F716F">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color w:val="auto"/>
                <w:sz w:val="21"/>
                <w:szCs w:val="21"/>
                <w:highlight w:val="none"/>
                <w:u w:val="none"/>
                <w:lang w:val="en-US" w:eastAsia="zh-CN"/>
              </w:rPr>
              <w:t>会前准备</w:t>
            </w:r>
          </w:p>
        </w:tc>
        <w:tc>
          <w:tcPr>
            <w:tcW w:w="9867" w:type="dxa"/>
            <w:noWrap w:val="0"/>
            <w:vAlign w:val="center"/>
          </w:tcPr>
          <w:p w14:paraId="0337556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color w:val="auto"/>
                <w:sz w:val="21"/>
                <w:szCs w:val="21"/>
                <w:highlight w:val="none"/>
                <w:u w:val="none"/>
                <w:lang w:val="en-US" w:eastAsia="zh-CN"/>
              </w:rPr>
              <w:t>根据会议需求、场地大小、用途，明确会议桌椅、物品、设备、文具等摆放规定，音、视频设施保障措施。</w:t>
            </w:r>
          </w:p>
        </w:tc>
      </w:tr>
      <w:tr w14:paraId="0926C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060709E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u w:val="none"/>
                <w:lang w:val="en-US" w:eastAsia="zh-CN"/>
              </w:rPr>
              <w:t>3</w:t>
            </w:r>
          </w:p>
        </w:tc>
        <w:tc>
          <w:tcPr>
            <w:tcW w:w="3348" w:type="dxa"/>
            <w:noWrap w:val="0"/>
            <w:vAlign w:val="center"/>
          </w:tcPr>
          <w:p w14:paraId="46734EA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color w:val="auto"/>
                <w:sz w:val="21"/>
                <w:szCs w:val="21"/>
                <w:highlight w:val="none"/>
                <w:u w:val="none"/>
                <w:lang w:val="en-US" w:eastAsia="zh-CN"/>
              </w:rPr>
              <w:t>引导服务</w:t>
            </w:r>
          </w:p>
        </w:tc>
        <w:tc>
          <w:tcPr>
            <w:tcW w:w="9867" w:type="dxa"/>
            <w:noWrap w:val="0"/>
            <w:vAlign w:val="center"/>
          </w:tcPr>
          <w:p w14:paraId="6AB8E8D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color w:val="auto"/>
                <w:sz w:val="21"/>
                <w:szCs w:val="21"/>
                <w:highlight w:val="none"/>
                <w:u w:val="none"/>
                <w:lang w:val="en-US" w:eastAsia="zh-CN"/>
              </w:rPr>
              <w:t>做好引导牌并放置在指定位置，引导人员引导手势规范，语言标准。</w:t>
            </w:r>
          </w:p>
        </w:tc>
      </w:tr>
      <w:tr w14:paraId="34CC8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68B84F6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u w:val="none"/>
                <w:lang w:val="en-US" w:eastAsia="zh-CN"/>
              </w:rPr>
              <w:t>4</w:t>
            </w:r>
          </w:p>
        </w:tc>
        <w:tc>
          <w:tcPr>
            <w:tcW w:w="3348" w:type="dxa"/>
            <w:noWrap w:val="0"/>
            <w:vAlign w:val="center"/>
          </w:tcPr>
          <w:p w14:paraId="162FDB5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color w:val="auto"/>
                <w:sz w:val="21"/>
                <w:szCs w:val="21"/>
                <w:highlight w:val="none"/>
                <w:u w:val="none"/>
                <w:lang w:val="en-US" w:eastAsia="zh-CN"/>
              </w:rPr>
              <w:t>会中服务</w:t>
            </w:r>
          </w:p>
        </w:tc>
        <w:tc>
          <w:tcPr>
            <w:tcW w:w="9867" w:type="dxa"/>
            <w:noWrap w:val="0"/>
            <w:vAlign w:val="center"/>
          </w:tcPr>
          <w:p w14:paraId="5D09817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color w:val="auto"/>
                <w:sz w:val="21"/>
                <w:szCs w:val="21"/>
                <w:highlight w:val="none"/>
                <w:u w:val="none"/>
                <w:lang w:val="en-US" w:eastAsia="zh-CN"/>
              </w:rPr>
              <w:t>会议期间按要求加水。</w:t>
            </w:r>
          </w:p>
        </w:tc>
      </w:tr>
      <w:tr w14:paraId="28118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658F91AC">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u w:val="none"/>
                <w:lang w:val="en-US" w:eastAsia="zh-CN"/>
              </w:rPr>
              <w:t>5</w:t>
            </w:r>
          </w:p>
        </w:tc>
        <w:tc>
          <w:tcPr>
            <w:tcW w:w="3348" w:type="dxa"/>
            <w:noWrap w:val="0"/>
            <w:vAlign w:val="center"/>
          </w:tcPr>
          <w:p w14:paraId="3E680831">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leftChars="0" w:firstLine="0" w:firstLineChars="0"/>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color w:val="auto"/>
                <w:sz w:val="21"/>
                <w:szCs w:val="21"/>
                <w:highlight w:val="none"/>
                <w:u w:val="none"/>
                <w:lang w:val="en-US" w:eastAsia="zh-CN"/>
              </w:rPr>
              <w:t>会后整理</w:t>
            </w:r>
          </w:p>
        </w:tc>
        <w:tc>
          <w:tcPr>
            <w:tcW w:w="9867" w:type="dxa"/>
            <w:noWrap w:val="0"/>
            <w:vAlign w:val="center"/>
          </w:tcPr>
          <w:p w14:paraId="41D8D7D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Chars="0"/>
              <w:textAlignment w:val="auto"/>
              <w:rPr>
                <w:rFonts w:hint="eastAsia" w:ascii="仿宋" w:hAnsi="仿宋" w:eastAsia="仿宋" w:cs="仿宋"/>
                <w:color w:val="auto"/>
                <w:kern w:val="2"/>
                <w:sz w:val="21"/>
                <w:szCs w:val="21"/>
                <w:highlight w:val="none"/>
                <w:u w:val="none"/>
                <w:lang w:val="en-US" w:eastAsia="zh-CN" w:bidi="ar-SA"/>
              </w:rPr>
            </w:pPr>
            <w:r>
              <w:rPr>
                <w:rFonts w:hint="eastAsia" w:ascii="仿宋" w:hAnsi="仿宋" w:eastAsia="仿宋" w:cs="仿宋"/>
                <w:b w:val="0"/>
                <w:bCs w:val="0"/>
                <w:color w:val="auto"/>
                <w:kern w:val="0"/>
                <w:sz w:val="21"/>
                <w:szCs w:val="21"/>
                <w:highlight w:val="none"/>
                <w:lang w:val="en-US" w:eastAsia="zh-CN"/>
              </w:rPr>
              <w:sym w:font="Wingdings 2" w:char="0052"/>
            </w:r>
            <w:r>
              <w:rPr>
                <w:rFonts w:hint="eastAsia" w:ascii="仿宋" w:hAnsi="仿宋" w:eastAsia="仿宋" w:cs="仿宋"/>
                <w:color w:val="auto"/>
                <w:sz w:val="21"/>
                <w:szCs w:val="21"/>
                <w:highlight w:val="none"/>
                <w:u w:val="none"/>
                <w:lang w:val="en-US" w:eastAsia="zh-CN"/>
              </w:rPr>
              <w:t>对会议现场进行检查，做好会场清扫工作。</w:t>
            </w:r>
          </w:p>
        </w:tc>
      </w:tr>
    </w:tbl>
    <w:p w14:paraId="16F0C1CF">
      <w:pPr>
        <w:keepNext/>
        <w:keepLines/>
        <w:pageBreakBefore w:val="0"/>
        <w:widowControl w:val="0"/>
        <w:kinsoku/>
        <w:wordWrap/>
        <w:overflowPunct/>
        <w:topLinePunct w:val="0"/>
        <w:bidi w:val="0"/>
        <w:adjustRightInd/>
        <w:snapToGrid w:val="0"/>
        <w:spacing w:line="500" w:lineRule="exact"/>
        <w:ind w:firstLine="562" w:firstLineChars="200"/>
        <w:jc w:val="both"/>
        <w:textAlignment w:val="auto"/>
        <w:outlineLvl w:val="1"/>
        <w:rPr>
          <w:rFonts w:hint="eastAsia" w:ascii="仿宋" w:hAnsi="仿宋" w:eastAsia="仿宋" w:cs="仿宋"/>
          <w:b/>
          <w:bCs/>
          <w:color w:val="auto"/>
          <w:kern w:val="2"/>
          <w:sz w:val="28"/>
          <w:szCs w:val="28"/>
          <w:highlight w:val="none"/>
          <w:u w:val="none"/>
          <w:lang w:val="en-US" w:eastAsia="zh-CN" w:bidi="ar-SA"/>
        </w:rPr>
      </w:pPr>
      <w:bookmarkStart w:id="6" w:name="_Toc26417"/>
      <w:bookmarkStart w:id="7" w:name="_Toc12052"/>
      <w:bookmarkStart w:id="8" w:name="_Toc27983"/>
      <w:r>
        <w:rPr>
          <w:rFonts w:hint="eastAsia" w:ascii="仿宋" w:hAnsi="仿宋" w:eastAsia="仿宋" w:cs="仿宋"/>
          <w:b/>
          <w:bCs/>
          <w:color w:val="auto"/>
          <w:kern w:val="2"/>
          <w:sz w:val="28"/>
          <w:szCs w:val="28"/>
          <w:highlight w:val="none"/>
          <w:u w:val="none"/>
          <w:lang w:val="en-US" w:eastAsia="zh-CN" w:bidi="ar-SA"/>
        </w:rPr>
        <w:t>4.供应商履行合同所需的设备</w:t>
      </w:r>
    </w:p>
    <w:p w14:paraId="4A493498">
      <w:pPr>
        <w:keepNext w:val="0"/>
        <w:keepLines w:val="0"/>
        <w:pageBreakBefore w:val="0"/>
        <w:widowControl w:val="0"/>
        <w:kinsoku/>
        <w:wordWrap/>
        <w:overflowPunct/>
        <w:topLinePunct w:val="0"/>
        <w:autoSpaceDE/>
        <w:autoSpaceDN/>
        <w:bidi w:val="0"/>
        <w:adjustRightInd/>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采购人根据项目实际需求，需要供应商提供作业设备</w:t>
      </w:r>
      <w:r>
        <w:rPr>
          <w:rFonts w:hint="eastAsia" w:ascii="仿宋" w:hAnsi="仿宋" w:eastAsia="仿宋" w:cs="仿宋"/>
          <w:b w:val="0"/>
          <w:bCs w:val="0"/>
          <w:color w:val="auto"/>
          <w:sz w:val="28"/>
          <w:szCs w:val="28"/>
          <w:highlight w:val="none"/>
          <w:lang w:val="en-US" w:eastAsia="zh-CN"/>
        </w:rPr>
        <w:t>（自有或租赁）</w:t>
      </w:r>
      <w:r>
        <w:rPr>
          <w:rFonts w:hint="eastAsia" w:ascii="仿宋" w:hAnsi="仿宋" w:eastAsia="仿宋" w:cs="仿宋"/>
          <w:sz w:val="28"/>
          <w:szCs w:val="28"/>
          <w:highlight w:val="none"/>
          <w:lang w:val="en-US" w:eastAsia="zh-CN"/>
        </w:rPr>
        <w:t>用于物业管理服务的，可在下表中列出，举例如下：</w:t>
      </w:r>
    </w:p>
    <w:tbl>
      <w:tblPr>
        <w:tblStyle w:val="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2721"/>
        <w:gridCol w:w="3412"/>
        <w:gridCol w:w="875"/>
        <w:gridCol w:w="851"/>
      </w:tblGrid>
      <w:tr w14:paraId="25E6F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2" w:type="dxa"/>
            <w:noWrap w:val="0"/>
            <w:vAlign w:val="center"/>
          </w:tcPr>
          <w:p w14:paraId="3BE49DAA">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序号</w:t>
            </w:r>
          </w:p>
        </w:tc>
        <w:tc>
          <w:tcPr>
            <w:tcW w:w="3002" w:type="dxa"/>
            <w:noWrap w:val="0"/>
            <w:vAlign w:val="center"/>
          </w:tcPr>
          <w:p w14:paraId="2C38C23F">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lang w:val="en-US" w:eastAsia="zh-CN"/>
              </w:rPr>
              <w:t>用途</w:t>
            </w:r>
          </w:p>
        </w:tc>
        <w:tc>
          <w:tcPr>
            <w:tcW w:w="3764" w:type="dxa"/>
            <w:noWrap w:val="0"/>
            <w:vAlign w:val="center"/>
          </w:tcPr>
          <w:p w14:paraId="1C886C64">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eastAsia="zh-CN"/>
              </w:rPr>
            </w:pPr>
            <w:r>
              <w:rPr>
                <w:rFonts w:hint="eastAsia" w:ascii="仿宋" w:hAnsi="仿宋" w:eastAsia="仿宋" w:cs="仿宋"/>
                <w:b/>
                <w:bCs/>
                <w:color w:val="auto"/>
                <w:kern w:val="0"/>
                <w:sz w:val="21"/>
                <w:szCs w:val="21"/>
                <w:highlight w:val="none"/>
                <w:lang w:val="en-US" w:eastAsia="zh-CN"/>
              </w:rPr>
              <w:t>作业设备</w:t>
            </w:r>
            <w:r>
              <w:rPr>
                <w:rFonts w:hint="eastAsia" w:ascii="仿宋" w:hAnsi="仿宋" w:eastAsia="仿宋" w:cs="仿宋"/>
                <w:b/>
                <w:bCs/>
                <w:color w:val="auto"/>
                <w:kern w:val="0"/>
                <w:sz w:val="21"/>
                <w:szCs w:val="21"/>
                <w:highlight w:val="none"/>
              </w:rPr>
              <w:t>名称</w:t>
            </w:r>
          </w:p>
        </w:tc>
        <w:tc>
          <w:tcPr>
            <w:tcW w:w="965" w:type="dxa"/>
            <w:noWrap w:val="0"/>
            <w:vAlign w:val="center"/>
          </w:tcPr>
          <w:p w14:paraId="669B4CEB">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数量</w:t>
            </w:r>
          </w:p>
        </w:tc>
        <w:tc>
          <w:tcPr>
            <w:tcW w:w="938" w:type="dxa"/>
            <w:noWrap w:val="0"/>
            <w:vAlign w:val="center"/>
          </w:tcPr>
          <w:p w14:paraId="6870B0D0">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color w:val="auto"/>
                <w:kern w:val="0"/>
                <w:sz w:val="21"/>
                <w:szCs w:val="21"/>
                <w:highlight w:val="none"/>
                <w:lang w:val="en-US" w:eastAsia="zh-CN"/>
              </w:rPr>
            </w:pPr>
            <w:r>
              <w:rPr>
                <w:rFonts w:hint="eastAsia" w:ascii="仿宋" w:hAnsi="仿宋" w:eastAsia="仿宋" w:cs="仿宋"/>
                <w:b/>
                <w:bCs/>
                <w:color w:val="auto"/>
                <w:kern w:val="0"/>
                <w:sz w:val="21"/>
                <w:szCs w:val="21"/>
                <w:highlight w:val="none"/>
                <w:lang w:val="en-US" w:eastAsia="zh-CN"/>
              </w:rPr>
              <w:t>单位</w:t>
            </w:r>
          </w:p>
        </w:tc>
      </w:tr>
      <w:tr w14:paraId="3DBDF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2" w:type="dxa"/>
            <w:noWrap w:val="0"/>
            <w:vAlign w:val="center"/>
          </w:tcPr>
          <w:p w14:paraId="7F01FF2D">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firstLine="0"/>
              <w:jc w:val="center"/>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1</w:t>
            </w:r>
          </w:p>
        </w:tc>
        <w:tc>
          <w:tcPr>
            <w:tcW w:w="3002" w:type="dxa"/>
            <w:noWrap w:val="0"/>
            <w:vAlign w:val="center"/>
          </w:tcPr>
          <w:p w14:paraId="706AD60B">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基本服务</w:t>
            </w:r>
          </w:p>
        </w:tc>
        <w:tc>
          <w:tcPr>
            <w:tcW w:w="3764" w:type="dxa"/>
            <w:noWrap w:val="0"/>
            <w:vAlign w:val="center"/>
          </w:tcPr>
          <w:p w14:paraId="1835BAF5">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无</w:t>
            </w:r>
          </w:p>
        </w:tc>
        <w:tc>
          <w:tcPr>
            <w:tcW w:w="965" w:type="dxa"/>
            <w:noWrap w:val="0"/>
            <w:vAlign w:val="center"/>
          </w:tcPr>
          <w:p w14:paraId="2336F18D">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0</w:t>
            </w:r>
          </w:p>
        </w:tc>
        <w:tc>
          <w:tcPr>
            <w:tcW w:w="938" w:type="dxa"/>
            <w:noWrap w:val="0"/>
            <w:vAlign w:val="center"/>
          </w:tcPr>
          <w:p w14:paraId="34D966C5">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个</w:t>
            </w:r>
          </w:p>
        </w:tc>
      </w:tr>
      <w:tr w14:paraId="6EA90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2" w:type="dxa"/>
            <w:noWrap w:val="0"/>
            <w:vAlign w:val="center"/>
          </w:tcPr>
          <w:p w14:paraId="660E1017">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firstLine="0"/>
              <w:jc w:val="center"/>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2</w:t>
            </w:r>
          </w:p>
        </w:tc>
        <w:tc>
          <w:tcPr>
            <w:tcW w:w="3002" w:type="dxa"/>
            <w:noWrap w:val="0"/>
            <w:vAlign w:val="center"/>
          </w:tcPr>
          <w:p w14:paraId="1CC59437">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房屋维修服务</w:t>
            </w:r>
          </w:p>
        </w:tc>
        <w:tc>
          <w:tcPr>
            <w:tcW w:w="3764" w:type="dxa"/>
            <w:noWrap w:val="0"/>
            <w:vAlign w:val="center"/>
          </w:tcPr>
          <w:p w14:paraId="5BA25DA4">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无</w:t>
            </w:r>
          </w:p>
        </w:tc>
        <w:tc>
          <w:tcPr>
            <w:tcW w:w="965" w:type="dxa"/>
            <w:noWrap w:val="0"/>
            <w:vAlign w:val="center"/>
          </w:tcPr>
          <w:p w14:paraId="730C32AA">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0</w:t>
            </w:r>
          </w:p>
        </w:tc>
        <w:tc>
          <w:tcPr>
            <w:tcW w:w="938" w:type="dxa"/>
            <w:noWrap w:val="0"/>
            <w:vAlign w:val="center"/>
          </w:tcPr>
          <w:p w14:paraId="5525D8E3">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台</w:t>
            </w:r>
          </w:p>
        </w:tc>
      </w:tr>
      <w:tr w14:paraId="7EE73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732" w:type="dxa"/>
            <w:vMerge w:val="restart"/>
            <w:noWrap w:val="0"/>
            <w:vAlign w:val="center"/>
          </w:tcPr>
          <w:p w14:paraId="270DB47B">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firstLine="0"/>
              <w:jc w:val="center"/>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3</w:t>
            </w:r>
          </w:p>
        </w:tc>
        <w:tc>
          <w:tcPr>
            <w:tcW w:w="3002" w:type="dxa"/>
            <w:vMerge w:val="restart"/>
            <w:noWrap w:val="0"/>
            <w:vAlign w:val="center"/>
          </w:tcPr>
          <w:p w14:paraId="712E1D0D">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sz w:val="21"/>
                <w:szCs w:val="21"/>
                <w:highlight w:val="none"/>
                <w:lang w:val="en-US" w:eastAsia="zh-CN"/>
              </w:rPr>
              <w:t>公用设施设备维护服务</w:t>
            </w:r>
          </w:p>
        </w:tc>
        <w:tc>
          <w:tcPr>
            <w:tcW w:w="3764" w:type="dxa"/>
            <w:noWrap w:val="0"/>
            <w:vAlign w:val="center"/>
          </w:tcPr>
          <w:p w14:paraId="6F2904DE">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管道探测仪</w:t>
            </w:r>
          </w:p>
        </w:tc>
        <w:tc>
          <w:tcPr>
            <w:tcW w:w="965" w:type="dxa"/>
            <w:noWrap w:val="0"/>
            <w:vAlign w:val="center"/>
          </w:tcPr>
          <w:p w14:paraId="4A293FDF">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938" w:type="dxa"/>
            <w:noWrap w:val="0"/>
            <w:vAlign w:val="center"/>
          </w:tcPr>
          <w:p w14:paraId="29ECB88B">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台</w:t>
            </w:r>
          </w:p>
        </w:tc>
      </w:tr>
      <w:tr w14:paraId="05F3B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732" w:type="dxa"/>
            <w:vMerge w:val="continue"/>
            <w:noWrap w:val="0"/>
            <w:vAlign w:val="center"/>
          </w:tcPr>
          <w:p w14:paraId="0BB69CD8">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sz w:val="21"/>
                <w:szCs w:val="21"/>
              </w:rPr>
            </w:pPr>
          </w:p>
        </w:tc>
        <w:tc>
          <w:tcPr>
            <w:tcW w:w="3002" w:type="dxa"/>
            <w:vMerge w:val="continue"/>
            <w:noWrap w:val="0"/>
            <w:vAlign w:val="center"/>
          </w:tcPr>
          <w:p w14:paraId="485717E9">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sz w:val="21"/>
                <w:szCs w:val="21"/>
              </w:rPr>
            </w:pPr>
          </w:p>
        </w:tc>
        <w:tc>
          <w:tcPr>
            <w:tcW w:w="3764" w:type="dxa"/>
            <w:noWrap w:val="0"/>
            <w:vAlign w:val="center"/>
          </w:tcPr>
          <w:p w14:paraId="6FDB2E18">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多功能管道疏通器</w:t>
            </w:r>
          </w:p>
        </w:tc>
        <w:tc>
          <w:tcPr>
            <w:tcW w:w="965" w:type="dxa"/>
            <w:noWrap w:val="0"/>
            <w:vAlign w:val="center"/>
          </w:tcPr>
          <w:p w14:paraId="1DDEC570">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938" w:type="dxa"/>
            <w:noWrap w:val="0"/>
            <w:vAlign w:val="center"/>
          </w:tcPr>
          <w:p w14:paraId="62184670">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台</w:t>
            </w:r>
          </w:p>
        </w:tc>
      </w:tr>
      <w:tr w14:paraId="37087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732" w:type="dxa"/>
            <w:vMerge w:val="continue"/>
            <w:noWrap w:val="0"/>
            <w:vAlign w:val="center"/>
          </w:tcPr>
          <w:p w14:paraId="23680E06">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002" w:type="dxa"/>
            <w:vMerge w:val="continue"/>
            <w:noWrap w:val="0"/>
            <w:vAlign w:val="center"/>
          </w:tcPr>
          <w:p w14:paraId="37D490C8">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764" w:type="dxa"/>
            <w:noWrap w:val="0"/>
            <w:vAlign w:val="center"/>
          </w:tcPr>
          <w:p w14:paraId="717058FE">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应急水泵</w:t>
            </w:r>
          </w:p>
        </w:tc>
        <w:tc>
          <w:tcPr>
            <w:tcW w:w="965" w:type="dxa"/>
            <w:noWrap w:val="0"/>
            <w:vAlign w:val="center"/>
          </w:tcPr>
          <w:p w14:paraId="760A9FC9">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938" w:type="dxa"/>
            <w:noWrap w:val="0"/>
            <w:vAlign w:val="center"/>
          </w:tcPr>
          <w:p w14:paraId="72E4286E">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台</w:t>
            </w:r>
          </w:p>
        </w:tc>
      </w:tr>
      <w:tr w14:paraId="7537E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732" w:type="dxa"/>
            <w:vMerge w:val="continue"/>
            <w:noWrap w:val="0"/>
            <w:vAlign w:val="center"/>
          </w:tcPr>
          <w:p w14:paraId="6B2E47DC">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002" w:type="dxa"/>
            <w:vMerge w:val="continue"/>
            <w:noWrap w:val="0"/>
            <w:vAlign w:val="center"/>
          </w:tcPr>
          <w:p w14:paraId="73BB70E2">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764" w:type="dxa"/>
            <w:noWrap w:val="0"/>
            <w:vAlign w:val="center"/>
          </w:tcPr>
          <w:p w14:paraId="73571EB9">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多功能洗地机</w:t>
            </w:r>
          </w:p>
        </w:tc>
        <w:tc>
          <w:tcPr>
            <w:tcW w:w="965" w:type="dxa"/>
            <w:noWrap w:val="0"/>
            <w:vAlign w:val="center"/>
          </w:tcPr>
          <w:p w14:paraId="01D708B6">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938" w:type="dxa"/>
            <w:noWrap w:val="0"/>
            <w:vAlign w:val="center"/>
          </w:tcPr>
          <w:p w14:paraId="789CCFD6">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台</w:t>
            </w:r>
          </w:p>
        </w:tc>
      </w:tr>
      <w:tr w14:paraId="70F9D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732" w:type="dxa"/>
            <w:vMerge w:val="continue"/>
            <w:noWrap w:val="0"/>
            <w:vAlign w:val="center"/>
          </w:tcPr>
          <w:p w14:paraId="2CFFCFFF">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002" w:type="dxa"/>
            <w:vMerge w:val="continue"/>
            <w:noWrap w:val="0"/>
            <w:vAlign w:val="center"/>
          </w:tcPr>
          <w:p w14:paraId="4AC31E85">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764" w:type="dxa"/>
            <w:noWrap w:val="0"/>
            <w:vAlign w:val="center"/>
          </w:tcPr>
          <w:p w14:paraId="6B5FF394">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吸尘吸水器</w:t>
            </w:r>
          </w:p>
        </w:tc>
        <w:tc>
          <w:tcPr>
            <w:tcW w:w="965" w:type="dxa"/>
            <w:noWrap w:val="0"/>
            <w:vAlign w:val="center"/>
          </w:tcPr>
          <w:p w14:paraId="7B072F93">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938" w:type="dxa"/>
            <w:noWrap w:val="0"/>
            <w:vAlign w:val="center"/>
          </w:tcPr>
          <w:p w14:paraId="41D0C412">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台</w:t>
            </w:r>
          </w:p>
        </w:tc>
      </w:tr>
      <w:tr w14:paraId="443F0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732" w:type="dxa"/>
            <w:vMerge w:val="continue"/>
            <w:noWrap w:val="0"/>
            <w:vAlign w:val="center"/>
          </w:tcPr>
          <w:p w14:paraId="1E46B94A">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002" w:type="dxa"/>
            <w:vMerge w:val="continue"/>
            <w:noWrap w:val="0"/>
            <w:vAlign w:val="center"/>
          </w:tcPr>
          <w:p w14:paraId="7E150127">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764" w:type="dxa"/>
            <w:noWrap w:val="0"/>
            <w:vAlign w:val="center"/>
          </w:tcPr>
          <w:p w14:paraId="7A2F7C5F">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高压水枪</w:t>
            </w:r>
          </w:p>
        </w:tc>
        <w:tc>
          <w:tcPr>
            <w:tcW w:w="965" w:type="dxa"/>
            <w:noWrap w:val="0"/>
            <w:vAlign w:val="center"/>
          </w:tcPr>
          <w:p w14:paraId="709D79EF">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938" w:type="dxa"/>
            <w:noWrap w:val="0"/>
            <w:vAlign w:val="center"/>
          </w:tcPr>
          <w:p w14:paraId="2BB54BE4">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台</w:t>
            </w:r>
          </w:p>
        </w:tc>
      </w:tr>
      <w:tr w14:paraId="4B83B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732" w:type="dxa"/>
            <w:vMerge w:val="restart"/>
            <w:noWrap w:val="0"/>
            <w:vAlign w:val="center"/>
          </w:tcPr>
          <w:p w14:paraId="3BF376E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firstLine="0"/>
              <w:jc w:val="center"/>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4</w:t>
            </w:r>
          </w:p>
        </w:tc>
        <w:tc>
          <w:tcPr>
            <w:tcW w:w="3002" w:type="dxa"/>
            <w:vMerge w:val="restart"/>
            <w:noWrap w:val="0"/>
            <w:vAlign w:val="center"/>
          </w:tcPr>
          <w:p w14:paraId="2D0CD585">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保洁服务</w:t>
            </w:r>
          </w:p>
        </w:tc>
        <w:tc>
          <w:tcPr>
            <w:tcW w:w="3764" w:type="dxa"/>
            <w:noWrap w:val="0"/>
            <w:vAlign w:val="center"/>
          </w:tcPr>
          <w:p w14:paraId="247162BF">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地毯清洗机......</w:t>
            </w:r>
          </w:p>
        </w:tc>
        <w:tc>
          <w:tcPr>
            <w:tcW w:w="965" w:type="dxa"/>
            <w:noWrap w:val="0"/>
            <w:vAlign w:val="center"/>
          </w:tcPr>
          <w:p w14:paraId="3DF96CE8">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938" w:type="dxa"/>
            <w:noWrap w:val="0"/>
            <w:vAlign w:val="center"/>
          </w:tcPr>
          <w:p w14:paraId="444E4E02">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台</w:t>
            </w:r>
          </w:p>
        </w:tc>
      </w:tr>
      <w:tr w14:paraId="27DBA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732" w:type="dxa"/>
            <w:vMerge w:val="continue"/>
            <w:noWrap w:val="0"/>
            <w:vAlign w:val="center"/>
          </w:tcPr>
          <w:p w14:paraId="55209541">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sz w:val="21"/>
                <w:szCs w:val="21"/>
              </w:rPr>
            </w:pPr>
          </w:p>
        </w:tc>
        <w:tc>
          <w:tcPr>
            <w:tcW w:w="3002" w:type="dxa"/>
            <w:vMerge w:val="continue"/>
            <w:noWrap w:val="0"/>
            <w:vAlign w:val="center"/>
          </w:tcPr>
          <w:p w14:paraId="3DBCFB59">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sz w:val="21"/>
                <w:szCs w:val="21"/>
              </w:rPr>
            </w:pPr>
          </w:p>
        </w:tc>
        <w:tc>
          <w:tcPr>
            <w:tcW w:w="3764" w:type="dxa"/>
            <w:noWrap w:val="0"/>
            <w:vAlign w:val="center"/>
          </w:tcPr>
          <w:p w14:paraId="0DA4A5D5">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尘推车</w:t>
            </w:r>
          </w:p>
        </w:tc>
        <w:tc>
          <w:tcPr>
            <w:tcW w:w="965" w:type="dxa"/>
            <w:noWrap w:val="0"/>
            <w:vAlign w:val="center"/>
          </w:tcPr>
          <w:p w14:paraId="23B6811A">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938" w:type="dxa"/>
            <w:noWrap w:val="0"/>
            <w:vAlign w:val="center"/>
          </w:tcPr>
          <w:p w14:paraId="25FCBCBF">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台</w:t>
            </w:r>
          </w:p>
        </w:tc>
      </w:tr>
      <w:tr w14:paraId="15CB6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732" w:type="dxa"/>
            <w:vMerge w:val="continue"/>
            <w:noWrap w:val="0"/>
            <w:vAlign w:val="center"/>
          </w:tcPr>
          <w:p w14:paraId="7B10F8EB">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002" w:type="dxa"/>
            <w:vMerge w:val="continue"/>
            <w:noWrap w:val="0"/>
            <w:vAlign w:val="center"/>
          </w:tcPr>
          <w:p w14:paraId="04E06C2C">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764" w:type="dxa"/>
            <w:noWrap w:val="0"/>
            <w:vAlign w:val="center"/>
          </w:tcPr>
          <w:p w14:paraId="06CBBD41">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垃圾清运车</w:t>
            </w:r>
          </w:p>
        </w:tc>
        <w:tc>
          <w:tcPr>
            <w:tcW w:w="965" w:type="dxa"/>
            <w:noWrap w:val="0"/>
            <w:vAlign w:val="center"/>
          </w:tcPr>
          <w:p w14:paraId="296851CF">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938" w:type="dxa"/>
            <w:noWrap w:val="0"/>
            <w:vAlign w:val="center"/>
          </w:tcPr>
          <w:p w14:paraId="390FE397">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辆</w:t>
            </w:r>
          </w:p>
        </w:tc>
      </w:tr>
      <w:tr w14:paraId="2D94A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732" w:type="dxa"/>
            <w:vMerge w:val="continue"/>
            <w:noWrap w:val="0"/>
            <w:vAlign w:val="center"/>
          </w:tcPr>
          <w:p w14:paraId="30A8090E">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002" w:type="dxa"/>
            <w:vMerge w:val="continue"/>
            <w:noWrap w:val="0"/>
            <w:vAlign w:val="center"/>
          </w:tcPr>
          <w:p w14:paraId="1994FA23">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764" w:type="dxa"/>
            <w:noWrap w:val="0"/>
            <w:vAlign w:val="center"/>
          </w:tcPr>
          <w:p w14:paraId="3B9604DF">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多功能洗地机</w:t>
            </w:r>
          </w:p>
        </w:tc>
        <w:tc>
          <w:tcPr>
            <w:tcW w:w="965" w:type="dxa"/>
            <w:noWrap w:val="0"/>
            <w:vAlign w:val="center"/>
          </w:tcPr>
          <w:p w14:paraId="671AD4E5">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938" w:type="dxa"/>
            <w:noWrap w:val="0"/>
            <w:vAlign w:val="center"/>
          </w:tcPr>
          <w:p w14:paraId="5E19B41D">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台</w:t>
            </w:r>
          </w:p>
        </w:tc>
      </w:tr>
      <w:tr w14:paraId="2C341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732" w:type="dxa"/>
            <w:vMerge w:val="continue"/>
            <w:noWrap w:val="0"/>
            <w:vAlign w:val="center"/>
          </w:tcPr>
          <w:p w14:paraId="6294D3B9">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002" w:type="dxa"/>
            <w:vMerge w:val="continue"/>
            <w:noWrap w:val="0"/>
            <w:vAlign w:val="center"/>
          </w:tcPr>
          <w:p w14:paraId="24D46576">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764" w:type="dxa"/>
            <w:noWrap w:val="0"/>
            <w:vAlign w:val="center"/>
          </w:tcPr>
          <w:p w14:paraId="06721935">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吸尘吸水器</w:t>
            </w:r>
          </w:p>
        </w:tc>
        <w:tc>
          <w:tcPr>
            <w:tcW w:w="965" w:type="dxa"/>
            <w:noWrap w:val="0"/>
            <w:vAlign w:val="center"/>
          </w:tcPr>
          <w:p w14:paraId="279552D7">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938" w:type="dxa"/>
            <w:noWrap w:val="0"/>
            <w:vAlign w:val="center"/>
          </w:tcPr>
          <w:p w14:paraId="666D1C61">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台</w:t>
            </w:r>
          </w:p>
        </w:tc>
      </w:tr>
      <w:tr w14:paraId="5DAA0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732" w:type="dxa"/>
            <w:vMerge w:val="continue"/>
            <w:noWrap w:val="0"/>
            <w:vAlign w:val="center"/>
          </w:tcPr>
          <w:p w14:paraId="41CABB63">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002" w:type="dxa"/>
            <w:vMerge w:val="continue"/>
            <w:noWrap w:val="0"/>
            <w:vAlign w:val="center"/>
          </w:tcPr>
          <w:p w14:paraId="47CABA65">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764" w:type="dxa"/>
            <w:noWrap w:val="0"/>
            <w:vAlign w:val="center"/>
          </w:tcPr>
          <w:p w14:paraId="09692719">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高压清洗机</w:t>
            </w:r>
          </w:p>
        </w:tc>
        <w:tc>
          <w:tcPr>
            <w:tcW w:w="965" w:type="dxa"/>
            <w:noWrap w:val="0"/>
            <w:vAlign w:val="center"/>
          </w:tcPr>
          <w:p w14:paraId="4C36D19B">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938" w:type="dxa"/>
            <w:noWrap w:val="0"/>
            <w:vAlign w:val="center"/>
          </w:tcPr>
          <w:p w14:paraId="5F231A2B">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台</w:t>
            </w:r>
          </w:p>
        </w:tc>
      </w:tr>
      <w:tr w14:paraId="3B7BC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 w:hRule="atLeast"/>
        </w:trPr>
        <w:tc>
          <w:tcPr>
            <w:tcW w:w="732" w:type="dxa"/>
            <w:vMerge w:val="continue"/>
            <w:noWrap w:val="0"/>
            <w:vAlign w:val="center"/>
          </w:tcPr>
          <w:p w14:paraId="0B07B03D">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002" w:type="dxa"/>
            <w:vMerge w:val="continue"/>
            <w:noWrap w:val="0"/>
            <w:vAlign w:val="center"/>
          </w:tcPr>
          <w:p w14:paraId="0E10B854">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764" w:type="dxa"/>
            <w:noWrap w:val="0"/>
            <w:vAlign w:val="center"/>
          </w:tcPr>
          <w:p w14:paraId="2F52E8E8">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保洁工具车</w:t>
            </w:r>
          </w:p>
        </w:tc>
        <w:tc>
          <w:tcPr>
            <w:tcW w:w="965" w:type="dxa"/>
            <w:noWrap w:val="0"/>
            <w:vAlign w:val="center"/>
          </w:tcPr>
          <w:p w14:paraId="4873D596">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8</w:t>
            </w:r>
          </w:p>
        </w:tc>
        <w:tc>
          <w:tcPr>
            <w:tcW w:w="938" w:type="dxa"/>
            <w:noWrap w:val="0"/>
            <w:vAlign w:val="center"/>
          </w:tcPr>
          <w:p w14:paraId="5FA19B27">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辆</w:t>
            </w:r>
          </w:p>
        </w:tc>
      </w:tr>
      <w:tr w14:paraId="70002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rPr>
        <w:tc>
          <w:tcPr>
            <w:tcW w:w="732" w:type="dxa"/>
            <w:vMerge w:val="continue"/>
            <w:noWrap w:val="0"/>
            <w:vAlign w:val="center"/>
          </w:tcPr>
          <w:p w14:paraId="56108B02">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002" w:type="dxa"/>
            <w:vMerge w:val="continue"/>
            <w:noWrap w:val="0"/>
            <w:vAlign w:val="center"/>
          </w:tcPr>
          <w:p w14:paraId="1605D32E">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764" w:type="dxa"/>
            <w:noWrap w:val="0"/>
            <w:vAlign w:val="center"/>
          </w:tcPr>
          <w:p w14:paraId="1BEC1988">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榨水车</w:t>
            </w:r>
          </w:p>
        </w:tc>
        <w:tc>
          <w:tcPr>
            <w:tcW w:w="965" w:type="dxa"/>
            <w:noWrap w:val="0"/>
            <w:vAlign w:val="center"/>
          </w:tcPr>
          <w:p w14:paraId="52433057">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938" w:type="dxa"/>
            <w:noWrap w:val="0"/>
            <w:vAlign w:val="center"/>
          </w:tcPr>
          <w:p w14:paraId="21F147A6">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辆</w:t>
            </w:r>
          </w:p>
        </w:tc>
      </w:tr>
      <w:tr w14:paraId="4AE49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rPr>
        <w:tc>
          <w:tcPr>
            <w:tcW w:w="732" w:type="dxa"/>
            <w:vMerge w:val="continue"/>
            <w:noWrap w:val="0"/>
            <w:vAlign w:val="center"/>
          </w:tcPr>
          <w:p w14:paraId="161E8358">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sz w:val="21"/>
                <w:szCs w:val="21"/>
              </w:rPr>
            </w:pPr>
          </w:p>
        </w:tc>
        <w:tc>
          <w:tcPr>
            <w:tcW w:w="3002" w:type="dxa"/>
            <w:vMerge w:val="continue"/>
            <w:noWrap w:val="0"/>
            <w:vAlign w:val="center"/>
          </w:tcPr>
          <w:p w14:paraId="78CB6BF5">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sz w:val="21"/>
                <w:szCs w:val="21"/>
              </w:rPr>
            </w:pPr>
          </w:p>
        </w:tc>
        <w:tc>
          <w:tcPr>
            <w:tcW w:w="3764" w:type="dxa"/>
            <w:noWrap w:val="0"/>
            <w:vAlign w:val="center"/>
          </w:tcPr>
          <w:p w14:paraId="48387DC8">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吹地机</w:t>
            </w:r>
          </w:p>
        </w:tc>
        <w:tc>
          <w:tcPr>
            <w:tcW w:w="965" w:type="dxa"/>
            <w:noWrap w:val="0"/>
            <w:vAlign w:val="center"/>
          </w:tcPr>
          <w:p w14:paraId="68642513">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938" w:type="dxa"/>
            <w:noWrap w:val="0"/>
            <w:vAlign w:val="center"/>
          </w:tcPr>
          <w:p w14:paraId="5D92D00C">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台</w:t>
            </w:r>
          </w:p>
        </w:tc>
      </w:tr>
      <w:tr w14:paraId="42DC7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32" w:type="dxa"/>
            <w:vMerge w:val="restart"/>
            <w:noWrap w:val="0"/>
            <w:vAlign w:val="center"/>
          </w:tcPr>
          <w:p w14:paraId="69C85225">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firstLine="0"/>
              <w:jc w:val="center"/>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5</w:t>
            </w:r>
          </w:p>
        </w:tc>
        <w:tc>
          <w:tcPr>
            <w:tcW w:w="3002" w:type="dxa"/>
            <w:vMerge w:val="restart"/>
            <w:noWrap w:val="0"/>
            <w:vAlign w:val="center"/>
          </w:tcPr>
          <w:p w14:paraId="510C9540">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绿化服务</w:t>
            </w:r>
          </w:p>
        </w:tc>
        <w:tc>
          <w:tcPr>
            <w:tcW w:w="3764" w:type="dxa"/>
            <w:noWrap w:val="0"/>
            <w:vAlign w:val="center"/>
          </w:tcPr>
          <w:p w14:paraId="14494166">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绿篱机</w:t>
            </w:r>
          </w:p>
        </w:tc>
        <w:tc>
          <w:tcPr>
            <w:tcW w:w="965" w:type="dxa"/>
            <w:noWrap w:val="0"/>
            <w:vAlign w:val="center"/>
          </w:tcPr>
          <w:p w14:paraId="1F2D3151">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938" w:type="dxa"/>
            <w:noWrap w:val="0"/>
            <w:vAlign w:val="center"/>
          </w:tcPr>
          <w:p w14:paraId="264ED95B">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台</w:t>
            </w:r>
          </w:p>
        </w:tc>
      </w:tr>
      <w:tr w14:paraId="73B1B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32" w:type="dxa"/>
            <w:vMerge w:val="continue"/>
            <w:noWrap w:val="0"/>
            <w:vAlign w:val="center"/>
          </w:tcPr>
          <w:p w14:paraId="46FBE4D6">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sz w:val="21"/>
                <w:szCs w:val="21"/>
              </w:rPr>
            </w:pPr>
          </w:p>
        </w:tc>
        <w:tc>
          <w:tcPr>
            <w:tcW w:w="3002" w:type="dxa"/>
            <w:vMerge w:val="continue"/>
            <w:noWrap w:val="0"/>
            <w:vAlign w:val="center"/>
          </w:tcPr>
          <w:p w14:paraId="65025799">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sz w:val="21"/>
                <w:szCs w:val="21"/>
              </w:rPr>
            </w:pPr>
          </w:p>
        </w:tc>
        <w:tc>
          <w:tcPr>
            <w:tcW w:w="3764" w:type="dxa"/>
            <w:noWrap w:val="0"/>
            <w:vAlign w:val="center"/>
          </w:tcPr>
          <w:p w14:paraId="256135BB">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打草机</w:t>
            </w:r>
          </w:p>
        </w:tc>
        <w:tc>
          <w:tcPr>
            <w:tcW w:w="965" w:type="dxa"/>
            <w:noWrap w:val="0"/>
            <w:vAlign w:val="center"/>
          </w:tcPr>
          <w:p w14:paraId="1824ADDE">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938" w:type="dxa"/>
            <w:noWrap w:val="0"/>
            <w:vAlign w:val="center"/>
          </w:tcPr>
          <w:p w14:paraId="013E8CBA">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台</w:t>
            </w:r>
          </w:p>
        </w:tc>
      </w:tr>
      <w:tr w14:paraId="79DB8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32" w:type="dxa"/>
            <w:vMerge w:val="continue"/>
            <w:noWrap w:val="0"/>
            <w:vAlign w:val="center"/>
          </w:tcPr>
          <w:p w14:paraId="12560104">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002" w:type="dxa"/>
            <w:vMerge w:val="continue"/>
            <w:noWrap w:val="0"/>
            <w:vAlign w:val="center"/>
          </w:tcPr>
          <w:p w14:paraId="4B38CB64">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764" w:type="dxa"/>
            <w:noWrap w:val="0"/>
            <w:vAlign w:val="center"/>
          </w:tcPr>
          <w:p w14:paraId="0CAF621C">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绿化长剪</w:t>
            </w:r>
          </w:p>
        </w:tc>
        <w:tc>
          <w:tcPr>
            <w:tcW w:w="965" w:type="dxa"/>
            <w:noWrap w:val="0"/>
            <w:vAlign w:val="center"/>
          </w:tcPr>
          <w:p w14:paraId="74D5C382">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1</w:t>
            </w:r>
          </w:p>
        </w:tc>
        <w:tc>
          <w:tcPr>
            <w:tcW w:w="938" w:type="dxa"/>
            <w:noWrap w:val="0"/>
            <w:vAlign w:val="center"/>
          </w:tcPr>
          <w:p w14:paraId="7559B1C2">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把</w:t>
            </w:r>
          </w:p>
        </w:tc>
      </w:tr>
      <w:tr w14:paraId="4B86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32" w:type="dxa"/>
            <w:vMerge w:val="restart"/>
            <w:noWrap w:val="0"/>
            <w:vAlign w:val="center"/>
          </w:tcPr>
          <w:p w14:paraId="3A66A6E2">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firstLine="0"/>
              <w:jc w:val="center"/>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6</w:t>
            </w:r>
          </w:p>
        </w:tc>
        <w:tc>
          <w:tcPr>
            <w:tcW w:w="3002" w:type="dxa"/>
            <w:vMerge w:val="restart"/>
            <w:noWrap w:val="0"/>
            <w:vAlign w:val="center"/>
          </w:tcPr>
          <w:p w14:paraId="0719A369">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保安服务</w:t>
            </w:r>
          </w:p>
        </w:tc>
        <w:tc>
          <w:tcPr>
            <w:tcW w:w="3764" w:type="dxa"/>
            <w:noWrap w:val="0"/>
            <w:vAlign w:val="center"/>
          </w:tcPr>
          <w:p w14:paraId="124BFAE4">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spacing w:val="-2"/>
                <w:sz w:val="21"/>
                <w:szCs w:val="21"/>
                <w:highlight w:val="none"/>
              </w:rPr>
              <w:t>对讲机</w:t>
            </w:r>
          </w:p>
        </w:tc>
        <w:tc>
          <w:tcPr>
            <w:tcW w:w="965" w:type="dxa"/>
            <w:noWrap w:val="0"/>
            <w:vAlign w:val="center"/>
          </w:tcPr>
          <w:p w14:paraId="0403ED4F">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20</w:t>
            </w:r>
          </w:p>
        </w:tc>
        <w:tc>
          <w:tcPr>
            <w:tcW w:w="938" w:type="dxa"/>
            <w:noWrap w:val="0"/>
            <w:vAlign w:val="center"/>
          </w:tcPr>
          <w:p w14:paraId="5AF0D788">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部</w:t>
            </w:r>
          </w:p>
        </w:tc>
      </w:tr>
      <w:tr w14:paraId="78BA5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32" w:type="dxa"/>
            <w:vMerge w:val="continue"/>
            <w:noWrap w:val="0"/>
            <w:vAlign w:val="center"/>
          </w:tcPr>
          <w:p w14:paraId="5DC764E2">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sz w:val="21"/>
                <w:szCs w:val="21"/>
              </w:rPr>
            </w:pPr>
          </w:p>
        </w:tc>
        <w:tc>
          <w:tcPr>
            <w:tcW w:w="3002" w:type="dxa"/>
            <w:vMerge w:val="continue"/>
            <w:noWrap w:val="0"/>
            <w:vAlign w:val="center"/>
          </w:tcPr>
          <w:p w14:paraId="55A5415A">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sz w:val="21"/>
                <w:szCs w:val="21"/>
              </w:rPr>
            </w:pPr>
          </w:p>
        </w:tc>
        <w:tc>
          <w:tcPr>
            <w:tcW w:w="3764" w:type="dxa"/>
            <w:noWrap w:val="0"/>
            <w:vAlign w:val="center"/>
          </w:tcPr>
          <w:p w14:paraId="3B15432D">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安保设备（执法记录仪、强光灯、雨具、大功率手电、巡逻手电）</w:t>
            </w:r>
          </w:p>
        </w:tc>
        <w:tc>
          <w:tcPr>
            <w:tcW w:w="965" w:type="dxa"/>
            <w:noWrap w:val="0"/>
            <w:vAlign w:val="center"/>
          </w:tcPr>
          <w:p w14:paraId="27896ADE">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20</w:t>
            </w:r>
          </w:p>
        </w:tc>
        <w:tc>
          <w:tcPr>
            <w:tcW w:w="938" w:type="dxa"/>
            <w:noWrap w:val="0"/>
            <w:vAlign w:val="center"/>
          </w:tcPr>
          <w:p w14:paraId="71C9799D">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套</w:t>
            </w:r>
          </w:p>
        </w:tc>
      </w:tr>
      <w:tr w14:paraId="2BC42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 w:hRule="atLeast"/>
        </w:trPr>
        <w:tc>
          <w:tcPr>
            <w:tcW w:w="732" w:type="dxa"/>
            <w:vMerge w:val="continue"/>
            <w:noWrap w:val="0"/>
            <w:vAlign w:val="center"/>
          </w:tcPr>
          <w:p w14:paraId="6CA29E38">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002" w:type="dxa"/>
            <w:vMerge w:val="continue"/>
            <w:noWrap w:val="0"/>
            <w:vAlign w:val="center"/>
          </w:tcPr>
          <w:p w14:paraId="6DC3AF8E">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p>
        </w:tc>
        <w:tc>
          <w:tcPr>
            <w:tcW w:w="3764" w:type="dxa"/>
            <w:noWrap w:val="0"/>
            <w:vAlign w:val="center"/>
          </w:tcPr>
          <w:p w14:paraId="4BA5A58E">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安保器械（橡胶棍棒、盾牌、防刺服、防刺手套</w:t>
            </w:r>
          </w:p>
        </w:tc>
        <w:tc>
          <w:tcPr>
            <w:tcW w:w="965" w:type="dxa"/>
            <w:noWrap w:val="0"/>
            <w:vAlign w:val="center"/>
          </w:tcPr>
          <w:p w14:paraId="2859AFD9">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5</w:t>
            </w:r>
          </w:p>
        </w:tc>
        <w:tc>
          <w:tcPr>
            <w:tcW w:w="938" w:type="dxa"/>
            <w:noWrap w:val="0"/>
            <w:vAlign w:val="center"/>
          </w:tcPr>
          <w:p w14:paraId="28E93610">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套</w:t>
            </w:r>
          </w:p>
        </w:tc>
      </w:tr>
      <w:tr w14:paraId="74590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2" w:type="dxa"/>
            <w:noWrap w:val="0"/>
            <w:vAlign w:val="center"/>
          </w:tcPr>
          <w:p w14:paraId="705EE3C6">
            <w:pPr>
              <w:keepNext w:val="0"/>
              <w:keepLines w:val="0"/>
              <w:pageBreakBefore w:val="0"/>
              <w:widowControl/>
              <w:numPr>
                <w:ilvl w:val="0"/>
                <w:numId w:val="0"/>
              </w:numPr>
              <w:kinsoku/>
              <w:wordWrap/>
              <w:overflowPunct/>
              <w:topLinePunct w:val="0"/>
              <w:autoSpaceDE/>
              <w:autoSpaceDN/>
              <w:bidi w:val="0"/>
              <w:adjustRightInd/>
              <w:snapToGrid w:val="0"/>
              <w:spacing w:line="240" w:lineRule="auto"/>
              <w:ind w:left="0" w:firstLine="0"/>
              <w:jc w:val="center"/>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7</w:t>
            </w:r>
          </w:p>
        </w:tc>
        <w:tc>
          <w:tcPr>
            <w:tcW w:w="3002" w:type="dxa"/>
            <w:noWrap w:val="0"/>
            <w:vAlign w:val="center"/>
          </w:tcPr>
          <w:p w14:paraId="1BCE7990">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会议服务</w:t>
            </w:r>
          </w:p>
        </w:tc>
        <w:tc>
          <w:tcPr>
            <w:tcW w:w="3764" w:type="dxa"/>
            <w:noWrap w:val="0"/>
            <w:vAlign w:val="center"/>
          </w:tcPr>
          <w:p w14:paraId="3BDE4EDA">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bidi="ar-SA"/>
              </w:rPr>
              <w:t>毛巾、保温壶、水杯</w:t>
            </w:r>
          </w:p>
        </w:tc>
        <w:tc>
          <w:tcPr>
            <w:tcW w:w="965" w:type="dxa"/>
            <w:noWrap w:val="0"/>
            <w:vAlign w:val="center"/>
          </w:tcPr>
          <w:p w14:paraId="39A09B28">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1</w:t>
            </w:r>
          </w:p>
        </w:tc>
        <w:tc>
          <w:tcPr>
            <w:tcW w:w="938" w:type="dxa"/>
            <w:noWrap w:val="0"/>
            <w:vAlign w:val="center"/>
          </w:tcPr>
          <w:p w14:paraId="5110AF2A">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批</w:t>
            </w:r>
          </w:p>
        </w:tc>
      </w:tr>
    </w:tbl>
    <w:p w14:paraId="0ADF5759">
      <w:pPr>
        <w:pStyle w:val="2"/>
        <w:pageBreakBefore w:val="0"/>
        <w:kinsoku/>
        <w:wordWrap/>
        <w:overflowPunct/>
        <w:topLinePunct w:val="0"/>
        <w:bidi w:val="0"/>
        <w:adjustRightInd/>
        <w:snapToGrid w:val="0"/>
        <w:spacing w:line="500" w:lineRule="exact"/>
        <w:textAlignment w:val="auto"/>
        <w:rPr>
          <w:rFonts w:hint="eastAsia" w:ascii="仿宋" w:hAnsi="仿宋" w:eastAsia="仿宋" w:cs="仿宋"/>
          <w:b/>
          <w:bCs/>
          <w:color w:val="FF0000"/>
          <w:sz w:val="28"/>
          <w:szCs w:val="28"/>
          <w:lang w:val="en-US" w:eastAsia="zh-CN"/>
        </w:rPr>
      </w:pPr>
      <w:r>
        <w:rPr>
          <w:rFonts w:hint="eastAsia" w:ascii="仿宋" w:hAnsi="仿宋" w:eastAsia="仿宋" w:cs="仿宋"/>
          <w:b w:val="0"/>
          <w:bCs w:val="0"/>
          <w:sz w:val="28"/>
          <w:szCs w:val="28"/>
          <w:highlight w:val="none"/>
          <w:lang w:val="en-US" w:eastAsia="zh-CN"/>
        </w:rPr>
        <w:t>注：采购人已无偿提供的作业设备，不在此重复要求。</w:t>
      </w:r>
    </w:p>
    <w:p w14:paraId="49029970">
      <w:pPr>
        <w:keepNext/>
        <w:keepLines/>
        <w:pageBreakBefore w:val="0"/>
        <w:widowControl w:val="0"/>
        <w:kinsoku/>
        <w:wordWrap/>
        <w:overflowPunct/>
        <w:topLinePunct w:val="0"/>
        <w:bidi w:val="0"/>
        <w:adjustRightInd/>
        <w:snapToGrid w:val="0"/>
        <w:spacing w:line="500" w:lineRule="exact"/>
        <w:ind w:firstLine="562" w:firstLineChars="200"/>
        <w:jc w:val="both"/>
        <w:textAlignment w:val="auto"/>
        <w:outlineLvl w:val="1"/>
        <w:rPr>
          <w:rFonts w:hint="eastAsia" w:ascii="仿宋" w:hAnsi="仿宋" w:eastAsia="仿宋" w:cs="仿宋"/>
          <w:b/>
          <w:bCs/>
          <w:kern w:val="2"/>
          <w:sz w:val="28"/>
          <w:szCs w:val="28"/>
          <w:highlight w:val="none"/>
          <w:lang w:val="en-US" w:eastAsia="zh-CN" w:bidi="ar-SA"/>
        </w:rPr>
      </w:pPr>
      <w:r>
        <w:rPr>
          <w:rFonts w:hint="eastAsia" w:ascii="仿宋" w:hAnsi="仿宋" w:eastAsia="仿宋" w:cs="仿宋"/>
          <w:b/>
          <w:bCs/>
          <w:kern w:val="2"/>
          <w:sz w:val="28"/>
          <w:szCs w:val="28"/>
          <w:highlight w:val="none"/>
          <w:lang w:val="en-US" w:eastAsia="zh-CN" w:bidi="ar-SA"/>
        </w:rPr>
        <w:t>5.物业管理服务人员需求</w:t>
      </w:r>
    </w:p>
    <w:tbl>
      <w:tblPr>
        <w:tblStyle w:val="4"/>
        <w:tblW w:w="534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8"/>
        <w:gridCol w:w="1380"/>
        <w:gridCol w:w="1476"/>
        <w:gridCol w:w="860"/>
        <w:gridCol w:w="970"/>
        <w:gridCol w:w="3343"/>
      </w:tblGrid>
      <w:tr w14:paraId="5B840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noWrap w:val="0"/>
            <w:vAlign w:val="center"/>
          </w:tcPr>
          <w:p w14:paraId="4DF03754">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rPr>
              <w:t>部门</w:t>
            </w:r>
            <w:r>
              <w:rPr>
                <w:rFonts w:hint="eastAsia" w:ascii="仿宋" w:hAnsi="仿宋" w:eastAsia="仿宋" w:cs="仿宋"/>
                <w:b/>
                <w:bCs w:val="0"/>
                <w:color w:val="auto"/>
                <w:sz w:val="21"/>
                <w:szCs w:val="21"/>
                <w:highlight w:val="none"/>
                <w:lang w:eastAsia="zh-CN"/>
              </w:rPr>
              <w:t>职能</w:t>
            </w:r>
          </w:p>
        </w:tc>
        <w:tc>
          <w:tcPr>
            <w:tcW w:w="1522" w:type="dxa"/>
            <w:noWrap w:val="0"/>
            <w:vAlign w:val="center"/>
          </w:tcPr>
          <w:p w14:paraId="6436FDFF">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岗位</w:t>
            </w:r>
          </w:p>
        </w:tc>
        <w:tc>
          <w:tcPr>
            <w:tcW w:w="1628" w:type="dxa"/>
            <w:noWrap w:val="0"/>
            <w:vAlign w:val="center"/>
          </w:tcPr>
          <w:p w14:paraId="1EB64C6A">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岗位职责</w:t>
            </w:r>
          </w:p>
        </w:tc>
        <w:tc>
          <w:tcPr>
            <w:tcW w:w="949" w:type="dxa"/>
            <w:noWrap w:val="0"/>
            <w:vAlign w:val="center"/>
          </w:tcPr>
          <w:p w14:paraId="57B2A573">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同时在岗人数</w:t>
            </w:r>
          </w:p>
        </w:tc>
        <w:tc>
          <w:tcPr>
            <w:tcW w:w="1070" w:type="dxa"/>
            <w:noWrap w:val="0"/>
            <w:vAlign w:val="center"/>
          </w:tcPr>
          <w:p w14:paraId="374467F2">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岗位所需总人数</w:t>
            </w:r>
          </w:p>
        </w:tc>
        <w:tc>
          <w:tcPr>
            <w:tcW w:w="3688" w:type="dxa"/>
            <w:noWrap w:val="0"/>
            <w:vAlign w:val="center"/>
          </w:tcPr>
          <w:p w14:paraId="0D0C324F">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rPr>
              <w:t>备注（岗位所需服务时长或时段、需具备的上岗资格证</w:t>
            </w:r>
            <w:r>
              <w:rPr>
                <w:rFonts w:hint="eastAsia" w:ascii="仿宋" w:hAnsi="仿宋" w:eastAsia="仿宋" w:cs="仿宋"/>
                <w:b/>
                <w:bCs w:val="0"/>
                <w:color w:val="auto"/>
                <w:sz w:val="21"/>
                <w:szCs w:val="21"/>
                <w:highlight w:val="none"/>
                <w:lang w:eastAsia="zh-CN"/>
              </w:rPr>
              <w:t>、人员学历、工作经验</w:t>
            </w:r>
            <w:r>
              <w:rPr>
                <w:rFonts w:hint="eastAsia" w:ascii="仿宋" w:hAnsi="仿宋" w:eastAsia="仿宋" w:cs="仿宋"/>
                <w:b/>
                <w:bCs w:val="0"/>
                <w:color w:val="auto"/>
                <w:sz w:val="21"/>
                <w:szCs w:val="21"/>
                <w:highlight w:val="none"/>
              </w:rPr>
              <w:t>等</w:t>
            </w:r>
            <w:r>
              <w:rPr>
                <w:rFonts w:hint="eastAsia" w:ascii="仿宋" w:hAnsi="仿宋" w:eastAsia="仿宋" w:cs="仿宋"/>
                <w:b/>
                <w:bCs w:val="0"/>
                <w:color w:val="auto"/>
                <w:sz w:val="21"/>
                <w:szCs w:val="21"/>
                <w:highlight w:val="none"/>
                <w:lang w:eastAsia="zh-CN"/>
              </w:rPr>
              <w:t>要求</w:t>
            </w:r>
            <w:r>
              <w:rPr>
                <w:rFonts w:hint="eastAsia" w:ascii="仿宋" w:hAnsi="仿宋" w:eastAsia="仿宋" w:cs="仿宋"/>
                <w:b/>
                <w:bCs w:val="0"/>
                <w:color w:val="auto"/>
                <w:sz w:val="21"/>
                <w:szCs w:val="21"/>
                <w:highlight w:val="none"/>
              </w:rPr>
              <w:t>）</w:t>
            </w:r>
          </w:p>
        </w:tc>
      </w:tr>
      <w:tr w14:paraId="01230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noWrap w:val="0"/>
            <w:vAlign w:val="center"/>
          </w:tcPr>
          <w:p w14:paraId="433FDDBE">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服务中心</w:t>
            </w:r>
          </w:p>
        </w:tc>
        <w:tc>
          <w:tcPr>
            <w:tcW w:w="1522" w:type="dxa"/>
            <w:noWrap w:val="0"/>
            <w:vAlign w:val="center"/>
          </w:tcPr>
          <w:p w14:paraId="5A250C95">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项目经理</w:t>
            </w:r>
          </w:p>
        </w:tc>
        <w:tc>
          <w:tcPr>
            <w:tcW w:w="1628" w:type="dxa"/>
            <w:noWrap w:val="0"/>
            <w:vAlign w:val="center"/>
          </w:tcPr>
          <w:p w14:paraId="5385FF52">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负责物业全面管理，协调各部门，处理投诉与突发事件，制定计划与考核。</w:t>
            </w:r>
          </w:p>
        </w:tc>
        <w:tc>
          <w:tcPr>
            <w:tcW w:w="949" w:type="dxa"/>
            <w:noWrap w:val="0"/>
            <w:vAlign w:val="center"/>
          </w:tcPr>
          <w:p w14:paraId="30A92173">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w:t>
            </w:r>
          </w:p>
        </w:tc>
        <w:tc>
          <w:tcPr>
            <w:tcW w:w="1070" w:type="dxa"/>
            <w:noWrap w:val="0"/>
            <w:vAlign w:val="center"/>
          </w:tcPr>
          <w:p w14:paraId="63B34075">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w:t>
            </w:r>
          </w:p>
        </w:tc>
        <w:tc>
          <w:tcPr>
            <w:tcW w:w="3688" w:type="dxa"/>
            <w:noWrap w:val="0"/>
            <w:vAlign w:val="center"/>
          </w:tcPr>
          <w:p w14:paraId="0E34E521">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大专或以上学历；8小时</w:t>
            </w:r>
          </w:p>
        </w:tc>
      </w:tr>
      <w:tr w14:paraId="7EF83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noWrap w:val="0"/>
            <w:vAlign w:val="center"/>
          </w:tcPr>
          <w:p w14:paraId="433B84DE">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基本服务</w:t>
            </w:r>
          </w:p>
        </w:tc>
        <w:tc>
          <w:tcPr>
            <w:tcW w:w="1522" w:type="dxa"/>
            <w:noWrap w:val="0"/>
            <w:vAlign w:val="center"/>
          </w:tcPr>
          <w:p w14:paraId="7B762570">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客服</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24小时服务热线</w:t>
            </w:r>
            <w:r>
              <w:rPr>
                <w:rFonts w:hint="eastAsia" w:ascii="仿宋" w:hAnsi="仿宋" w:eastAsia="仿宋" w:cs="仿宋"/>
                <w:bCs/>
                <w:color w:val="auto"/>
                <w:sz w:val="21"/>
                <w:szCs w:val="21"/>
                <w:highlight w:val="none"/>
                <w:lang w:eastAsia="zh-CN"/>
              </w:rPr>
              <w:t>）</w:t>
            </w:r>
          </w:p>
        </w:tc>
        <w:tc>
          <w:tcPr>
            <w:tcW w:w="1628" w:type="dxa"/>
            <w:noWrap w:val="0"/>
            <w:vAlign w:val="center"/>
          </w:tcPr>
          <w:p w14:paraId="65468EA9">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接听24小时热线，受理报修、咨询、投诉，跟踪回访并汇总数据。</w:t>
            </w:r>
          </w:p>
        </w:tc>
        <w:tc>
          <w:tcPr>
            <w:tcW w:w="949" w:type="dxa"/>
            <w:noWrap w:val="0"/>
            <w:vAlign w:val="center"/>
          </w:tcPr>
          <w:p w14:paraId="6A6A9ECD">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p>
        </w:tc>
        <w:tc>
          <w:tcPr>
            <w:tcW w:w="1070" w:type="dxa"/>
            <w:noWrap w:val="0"/>
            <w:vAlign w:val="center"/>
          </w:tcPr>
          <w:p w14:paraId="7072C42C">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p>
        </w:tc>
        <w:tc>
          <w:tcPr>
            <w:tcW w:w="3688" w:type="dxa"/>
            <w:noWrap w:val="0"/>
            <w:vAlign w:val="center"/>
          </w:tcPr>
          <w:p w14:paraId="4A186F8E">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女性，</w:t>
            </w:r>
            <w:r>
              <w:rPr>
                <w:rFonts w:hint="eastAsia" w:ascii="仿宋" w:hAnsi="仿宋" w:eastAsia="仿宋" w:cs="仿宋"/>
                <w:bCs/>
                <w:color w:val="auto"/>
                <w:sz w:val="21"/>
                <w:szCs w:val="21"/>
                <w:highlight w:val="none"/>
                <w:lang w:val="en-US" w:eastAsia="zh-CN"/>
              </w:rPr>
              <w:t>40周岁以下，</w:t>
            </w:r>
            <w:r>
              <w:rPr>
                <w:rFonts w:hint="eastAsia" w:ascii="仿宋" w:hAnsi="仿宋" w:eastAsia="仿宋" w:cs="仿宋"/>
                <w:bCs/>
                <w:color w:val="auto"/>
                <w:sz w:val="21"/>
                <w:szCs w:val="21"/>
                <w:highlight w:val="none"/>
              </w:rPr>
              <w:t>大专或以上学历，10小时</w:t>
            </w:r>
          </w:p>
        </w:tc>
      </w:tr>
      <w:tr w14:paraId="502AF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restart"/>
            <w:noWrap w:val="0"/>
            <w:vAlign w:val="center"/>
          </w:tcPr>
          <w:p w14:paraId="21C7BF67">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sz w:val="21"/>
                <w:szCs w:val="21"/>
                <w:highlight w:val="none"/>
                <w:lang w:val="en-US" w:eastAsia="zh-CN"/>
              </w:rPr>
              <w:t>公用设施设备维护服务</w:t>
            </w:r>
          </w:p>
        </w:tc>
        <w:tc>
          <w:tcPr>
            <w:tcW w:w="1522" w:type="dxa"/>
            <w:noWrap w:val="0"/>
            <w:vAlign w:val="center"/>
          </w:tcPr>
          <w:p w14:paraId="634C9AF4">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rPr>
              <w:t>水电工</w:t>
            </w:r>
          </w:p>
        </w:tc>
        <w:tc>
          <w:tcPr>
            <w:tcW w:w="1628" w:type="dxa"/>
            <w:noWrap w:val="0"/>
            <w:vAlign w:val="center"/>
          </w:tcPr>
          <w:p w14:paraId="093950A8">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巡检维修水电设施（照明、水泵、管道等），处理突发故障，填写记录。</w:t>
            </w:r>
          </w:p>
        </w:tc>
        <w:tc>
          <w:tcPr>
            <w:tcW w:w="949" w:type="dxa"/>
            <w:noWrap w:val="0"/>
            <w:vAlign w:val="center"/>
          </w:tcPr>
          <w:p w14:paraId="58FC99CE">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w:t>
            </w:r>
          </w:p>
        </w:tc>
        <w:tc>
          <w:tcPr>
            <w:tcW w:w="1070" w:type="dxa"/>
            <w:noWrap w:val="0"/>
            <w:vAlign w:val="center"/>
          </w:tcPr>
          <w:p w14:paraId="5EEBB41F">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w:t>
            </w:r>
          </w:p>
        </w:tc>
        <w:tc>
          <w:tcPr>
            <w:tcW w:w="3688" w:type="dxa"/>
            <w:noWrap w:val="0"/>
            <w:vAlign w:val="center"/>
          </w:tcPr>
          <w:p w14:paraId="5CB4E92F">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lang w:val="en-US"/>
              </w:rPr>
            </w:pPr>
            <w:r>
              <w:rPr>
                <w:rFonts w:hint="eastAsia" w:ascii="仿宋" w:hAnsi="仿宋" w:eastAsia="仿宋" w:cs="仿宋"/>
                <w:bCs/>
                <w:color w:val="auto"/>
                <w:sz w:val="21"/>
                <w:szCs w:val="21"/>
                <w:highlight w:val="none"/>
              </w:rPr>
              <w:t>低压电工</w:t>
            </w:r>
            <w:r>
              <w:rPr>
                <w:rFonts w:hint="eastAsia" w:ascii="仿宋" w:hAnsi="仿宋" w:eastAsia="仿宋" w:cs="仿宋"/>
                <w:bCs/>
                <w:color w:val="auto"/>
                <w:sz w:val="21"/>
                <w:szCs w:val="21"/>
                <w:highlight w:val="none"/>
                <w:lang w:val="en-US" w:eastAsia="zh-CN"/>
              </w:rPr>
              <w:t>作业，10小时</w:t>
            </w:r>
          </w:p>
        </w:tc>
      </w:tr>
      <w:tr w14:paraId="6B3BB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405350A0">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p>
        </w:tc>
        <w:tc>
          <w:tcPr>
            <w:tcW w:w="1522" w:type="dxa"/>
            <w:noWrap w:val="0"/>
            <w:vAlign w:val="center"/>
          </w:tcPr>
          <w:p w14:paraId="779C73B2">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暖通工</w:t>
            </w:r>
          </w:p>
        </w:tc>
        <w:tc>
          <w:tcPr>
            <w:tcW w:w="1628" w:type="dxa"/>
            <w:noWrap w:val="0"/>
            <w:vAlign w:val="center"/>
          </w:tcPr>
          <w:p w14:paraId="6B104A70">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运行维护暖通空调系统，监测参数，处理常见故障，配合锅炉供暖。</w:t>
            </w:r>
          </w:p>
        </w:tc>
        <w:tc>
          <w:tcPr>
            <w:tcW w:w="949" w:type="dxa"/>
            <w:noWrap w:val="0"/>
            <w:vAlign w:val="center"/>
          </w:tcPr>
          <w:p w14:paraId="02E72A79">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p>
        </w:tc>
        <w:tc>
          <w:tcPr>
            <w:tcW w:w="1070" w:type="dxa"/>
            <w:noWrap w:val="0"/>
            <w:vAlign w:val="center"/>
          </w:tcPr>
          <w:p w14:paraId="7CAC904D">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p>
        </w:tc>
        <w:tc>
          <w:tcPr>
            <w:tcW w:w="3688" w:type="dxa"/>
            <w:noWrap w:val="0"/>
            <w:vAlign w:val="center"/>
          </w:tcPr>
          <w:p w14:paraId="1CF44CF0">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p>
        </w:tc>
      </w:tr>
      <w:tr w14:paraId="2A278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74230DA7">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p>
        </w:tc>
        <w:tc>
          <w:tcPr>
            <w:tcW w:w="1522" w:type="dxa"/>
            <w:noWrap w:val="0"/>
            <w:vAlign w:val="center"/>
          </w:tcPr>
          <w:p w14:paraId="1D14FE9A">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锅炉工</w:t>
            </w:r>
          </w:p>
        </w:tc>
        <w:tc>
          <w:tcPr>
            <w:tcW w:w="1628" w:type="dxa"/>
            <w:noWrap w:val="0"/>
            <w:vAlign w:val="center"/>
          </w:tcPr>
          <w:p w14:paraId="198A0F21">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操作巡检锅炉及附属设备，监控安全参数，记录数据，配合年检。</w:t>
            </w:r>
          </w:p>
        </w:tc>
        <w:tc>
          <w:tcPr>
            <w:tcW w:w="949" w:type="dxa"/>
            <w:noWrap w:val="0"/>
            <w:vAlign w:val="center"/>
          </w:tcPr>
          <w:p w14:paraId="49696648">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1</w:t>
            </w:r>
          </w:p>
        </w:tc>
        <w:tc>
          <w:tcPr>
            <w:tcW w:w="1070" w:type="dxa"/>
            <w:noWrap w:val="0"/>
            <w:vAlign w:val="center"/>
          </w:tcPr>
          <w:p w14:paraId="5767BAC9">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2</w:t>
            </w:r>
          </w:p>
        </w:tc>
        <w:tc>
          <w:tcPr>
            <w:tcW w:w="3688" w:type="dxa"/>
            <w:noWrap w:val="0"/>
            <w:vAlign w:val="center"/>
          </w:tcPr>
          <w:p w14:paraId="164FBC27">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司炉证</w:t>
            </w:r>
          </w:p>
        </w:tc>
      </w:tr>
      <w:tr w14:paraId="5A7A5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restart"/>
            <w:noWrap w:val="0"/>
            <w:vAlign w:val="center"/>
          </w:tcPr>
          <w:p w14:paraId="42030527">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保洁服务</w:t>
            </w:r>
          </w:p>
        </w:tc>
        <w:tc>
          <w:tcPr>
            <w:tcW w:w="1522" w:type="dxa"/>
            <w:noWrap w:val="0"/>
            <w:vAlign w:val="center"/>
          </w:tcPr>
          <w:p w14:paraId="0B370BDF">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rPr>
              <w:t>主管</w:t>
            </w:r>
          </w:p>
        </w:tc>
        <w:tc>
          <w:tcPr>
            <w:tcW w:w="1628" w:type="dxa"/>
            <w:noWrap w:val="0"/>
            <w:vAlign w:val="center"/>
          </w:tcPr>
          <w:p w14:paraId="70A840A3">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kern w:val="2"/>
                <w:sz w:val="21"/>
                <w:szCs w:val="21"/>
                <w:highlight w:val="none"/>
                <w:lang w:val="en-US" w:eastAsia="zh-CN" w:bidi="ar-SA"/>
              </w:rPr>
              <w:t>保洁团队排班、培训、考核，检查质量，管理工具，协调临时任务。</w:t>
            </w:r>
          </w:p>
        </w:tc>
        <w:tc>
          <w:tcPr>
            <w:tcW w:w="949" w:type="dxa"/>
            <w:noWrap w:val="0"/>
            <w:vAlign w:val="center"/>
          </w:tcPr>
          <w:p w14:paraId="25E3CB04">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1</w:t>
            </w:r>
          </w:p>
        </w:tc>
        <w:tc>
          <w:tcPr>
            <w:tcW w:w="1070" w:type="dxa"/>
            <w:noWrap w:val="0"/>
            <w:vAlign w:val="center"/>
          </w:tcPr>
          <w:p w14:paraId="76DA41E1">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1</w:t>
            </w:r>
          </w:p>
        </w:tc>
        <w:tc>
          <w:tcPr>
            <w:tcW w:w="3688" w:type="dxa"/>
            <w:noWrap w:val="0"/>
            <w:vAlign w:val="center"/>
          </w:tcPr>
          <w:p w14:paraId="61EB042D">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kern w:val="2"/>
                <w:sz w:val="21"/>
                <w:szCs w:val="21"/>
                <w:highlight w:val="none"/>
                <w:lang w:val="en-US" w:eastAsia="zh-CN" w:bidi="ar-SA"/>
              </w:rPr>
            </w:pPr>
          </w:p>
        </w:tc>
      </w:tr>
      <w:tr w14:paraId="139A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3B3EDF0F">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p>
        </w:tc>
        <w:tc>
          <w:tcPr>
            <w:tcW w:w="1522" w:type="dxa"/>
            <w:noWrap w:val="0"/>
            <w:vAlign w:val="center"/>
          </w:tcPr>
          <w:p w14:paraId="6924683A">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rPr>
              <w:t>保洁员</w:t>
            </w:r>
          </w:p>
        </w:tc>
        <w:tc>
          <w:tcPr>
            <w:tcW w:w="1628" w:type="dxa"/>
            <w:noWrap w:val="0"/>
            <w:vAlign w:val="center"/>
          </w:tcPr>
          <w:p w14:paraId="228CB297">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kern w:val="2"/>
                <w:sz w:val="21"/>
                <w:szCs w:val="21"/>
                <w:highlight w:val="none"/>
                <w:lang w:val="en-US" w:eastAsia="zh-CN" w:bidi="ar-SA"/>
              </w:rPr>
              <w:t>按区域日常清洁（地面、卫生间、垃圾清运等），发现问题及时上报。</w:t>
            </w:r>
          </w:p>
        </w:tc>
        <w:tc>
          <w:tcPr>
            <w:tcW w:w="949" w:type="dxa"/>
            <w:noWrap w:val="0"/>
            <w:vAlign w:val="center"/>
          </w:tcPr>
          <w:p w14:paraId="024F014E">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8</w:t>
            </w:r>
          </w:p>
        </w:tc>
        <w:tc>
          <w:tcPr>
            <w:tcW w:w="1070" w:type="dxa"/>
            <w:noWrap w:val="0"/>
            <w:vAlign w:val="center"/>
          </w:tcPr>
          <w:p w14:paraId="4DDB1738">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8</w:t>
            </w:r>
          </w:p>
        </w:tc>
        <w:tc>
          <w:tcPr>
            <w:tcW w:w="3688" w:type="dxa"/>
            <w:noWrap w:val="0"/>
            <w:vAlign w:val="center"/>
          </w:tcPr>
          <w:p w14:paraId="6C567C4F">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bidi="ar-SA"/>
              </w:rPr>
              <w:t>女性，8小时</w:t>
            </w:r>
          </w:p>
        </w:tc>
      </w:tr>
      <w:tr w14:paraId="407B6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noWrap w:val="0"/>
            <w:vAlign w:val="center"/>
          </w:tcPr>
          <w:p w14:paraId="37439F34">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绿化服务</w:t>
            </w:r>
          </w:p>
        </w:tc>
        <w:tc>
          <w:tcPr>
            <w:tcW w:w="1522" w:type="dxa"/>
            <w:noWrap w:val="0"/>
            <w:vAlign w:val="center"/>
          </w:tcPr>
          <w:p w14:paraId="42E4DFB9">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rPr>
              <w:t>绿化工</w:t>
            </w:r>
          </w:p>
        </w:tc>
        <w:tc>
          <w:tcPr>
            <w:tcW w:w="1628" w:type="dxa"/>
            <w:noWrap w:val="0"/>
            <w:vAlign w:val="center"/>
          </w:tcPr>
          <w:p w14:paraId="3E1F0727">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kern w:val="2"/>
                <w:sz w:val="21"/>
                <w:szCs w:val="21"/>
                <w:highlight w:val="none"/>
                <w:lang w:val="en-US" w:eastAsia="zh-CN" w:bidi="ar-SA"/>
              </w:rPr>
              <w:t>负责绿地浇水、修剪、除草、补种、病虫害防治，维护工具。</w:t>
            </w:r>
          </w:p>
        </w:tc>
        <w:tc>
          <w:tcPr>
            <w:tcW w:w="949" w:type="dxa"/>
            <w:noWrap w:val="0"/>
            <w:vAlign w:val="center"/>
          </w:tcPr>
          <w:p w14:paraId="61EE966B">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1</w:t>
            </w:r>
          </w:p>
        </w:tc>
        <w:tc>
          <w:tcPr>
            <w:tcW w:w="1070" w:type="dxa"/>
            <w:noWrap w:val="0"/>
            <w:vAlign w:val="center"/>
          </w:tcPr>
          <w:p w14:paraId="6AE27E1D">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1</w:t>
            </w:r>
          </w:p>
        </w:tc>
        <w:tc>
          <w:tcPr>
            <w:tcW w:w="3688" w:type="dxa"/>
            <w:noWrap w:val="0"/>
            <w:vAlign w:val="center"/>
          </w:tcPr>
          <w:p w14:paraId="605637C2">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bidi="ar-SA"/>
              </w:rPr>
              <w:t>男性，8小时</w:t>
            </w:r>
          </w:p>
        </w:tc>
      </w:tr>
      <w:tr w14:paraId="5BCCE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restart"/>
            <w:noWrap w:val="0"/>
            <w:vAlign w:val="center"/>
          </w:tcPr>
          <w:p w14:paraId="0E749723">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保安服务</w:t>
            </w:r>
          </w:p>
        </w:tc>
        <w:tc>
          <w:tcPr>
            <w:tcW w:w="1522" w:type="dxa"/>
            <w:noWrap w:val="0"/>
            <w:vAlign w:val="center"/>
          </w:tcPr>
          <w:p w14:paraId="47E30A8E">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rPr>
              <w:t>主管</w:t>
            </w:r>
          </w:p>
        </w:tc>
        <w:tc>
          <w:tcPr>
            <w:tcW w:w="1628" w:type="dxa"/>
            <w:noWrap w:val="0"/>
            <w:vAlign w:val="center"/>
          </w:tcPr>
          <w:p w14:paraId="6C5D44D4">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kern w:val="2"/>
                <w:sz w:val="21"/>
                <w:szCs w:val="21"/>
                <w:highlight w:val="none"/>
                <w:lang w:val="en-US" w:eastAsia="zh-CN" w:bidi="ar-SA"/>
              </w:rPr>
              <w:t>管理保安队伍，排班培训，检查岗纪，处理突发事件，对接公安消防。</w:t>
            </w:r>
          </w:p>
        </w:tc>
        <w:tc>
          <w:tcPr>
            <w:tcW w:w="949" w:type="dxa"/>
            <w:noWrap w:val="0"/>
            <w:vAlign w:val="center"/>
          </w:tcPr>
          <w:p w14:paraId="6D8383A4">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1</w:t>
            </w:r>
          </w:p>
        </w:tc>
        <w:tc>
          <w:tcPr>
            <w:tcW w:w="1070" w:type="dxa"/>
            <w:noWrap w:val="0"/>
            <w:vAlign w:val="center"/>
          </w:tcPr>
          <w:p w14:paraId="3091E8D4">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1</w:t>
            </w:r>
          </w:p>
        </w:tc>
        <w:tc>
          <w:tcPr>
            <w:tcW w:w="3688" w:type="dxa"/>
            <w:noWrap w:val="0"/>
            <w:vAlign w:val="center"/>
          </w:tcPr>
          <w:p w14:paraId="24F78E39">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kern w:val="2"/>
                <w:sz w:val="21"/>
                <w:szCs w:val="21"/>
                <w:highlight w:val="none"/>
                <w:lang w:val="en-US" w:eastAsia="zh-CN" w:bidi="ar-SA"/>
              </w:rPr>
            </w:pPr>
          </w:p>
        </w:tc>
      </w:tr>
      <w:tr w14:paraId="388BF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4722B5B5">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p>
        </w:tc>
        <w:tc>
          <w:tcPr>
            <w:tcW w:w="1522" w:type="dxa"/>
            <w:noWrap w:val="0"/>
            <w:vAlign w:val="center"/>
          </w:tcPr>
          <w:p w14:paraId="4A1FB662">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rPr>
              <w:t>门岗</w:t>
            </w:r>
          </w:p>
        </w:tc>
        <w:tc>
          <w:tcPr>
            <w:tcW w:w="1628" w:type="dxa"/>
            <w:noWrap w:val="0"/>
            <w:vAlign w:val="center"/>
          </w:tcPr>
          <w:p w14:paraId="11EF7076">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kern w:val="2"/>
                <w:sz w:val="21"/>
                <w:szCs w:val="21"/>
                <w:highlight w:val="none"/>
                <w:lang w:val="en-US" w:eastAsia="zh-CN" w:bidi="ar-SA"/>
              </w:rPr>
              <w:t>出入口人员车辆核实登记，维护秩序，阻止无关闯入，记录异常。</w:t>
            </w:r>
          </w:p>
        </w:tc>
        <w:tc>
          <w:tcPr>
            <w:tcW w:w="949" w:type="dxa"/>
            <w:noWrap w:val="0"/>
            <w:vAlign w:val="center"/>
          </w:tcPr>
          <w:p w14:paraId="7BA64919">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4</w:t>
            </w:r>
          </w:p>
        </w:tc>
        <w:tc>
          <w:tcPr>
            <w:tcW w:w="1070" w:type="dxa"/>
            <w:noWrap w:val="0"/>
            <w:vAlign w:val="center"/>
          </w:tcPr>
          <w:p w14:paraId="38AB9CFD">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5</w:t>
            </w:r>
          </w:p>
        </w:tc>
        <w:tc>
          <w:tcPr>
            <w:tcW w:w="3688" w:type="dxa"/>
            <w:noWrap w:val="0"/>
            <w:vAlign w:val="center"/>
          </w:tcPr>
          <w:p w14:paraId="6E9FFA76">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default"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bidi="ar-SA"/>
              </w:rPr>
              <w:t>男性，具有保安证，夜间值班1人</w:t>
            </w:r>
          </w:p>
        </w:tc>
      </w:tr>
      <w:tr w14:paraId="4DD86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2BD48E79">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rPr>
            </w:pPr>
          </w:p>
        </w:tc>
        <w:tc>
          <w:tcPr>
            <w:tcW w:w="1522" w:type="dxa"/>
            <w:noWrap w:val="0"/>
            <w:vAlign w:val="center"/>
          </w:tcPr>
          <w:p w14:paraId="49105F28">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rPr>
              <w:t>消控岗</w:t>
            </w:r>
          </w:p>
        </w:tc>
        <w:tc>
          <w:tcPr>
            <w:tcW w:w="1628" w:type="dxa"/>
            <w:noWrap w:val="0"/>
            <w:vAlign w:val="center"/>
          </w:tcPr>
          <w:p w14:paraId="1C06C5B7">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kern w:val="2"/>
                <w:sz w:val="21"/>
                <w:szCs w:val="21"/>
                <w:highlight w:val="none"/>
                <w:lang w:val="en-US" w:eastAsia="zh-CN" w:bidi="ar-SA"/>
              </w:rPr>
              <w:t>消防控制室12小时值守，监控报警信号，核实并启动预案，记录。</w:t>
            </w:r>
          </w:p>
        </w:tc>
        <w:tc>
          <w:tcPr>
            <w:tcW w:w="949" w:type="dxa"/>
            <w:noWrap w:val="0"/>
            <w:vAlign w:val="center"/>
          </w:tcPr>
          <w:p w14:paraId="61BA8CFC">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1</w:t>
            </w:r>
          </w:p>
        </w:tc>
        <w:tc>
          <w:tcPr>
            <w:tcW w:w="1070" w:type="dxa"/>
            <w:noWrap w:val="0"/>
            <w:vAlign w:val="center"/>
          </w:tcPr>
          <w:p w14:paraId="409FF9BC">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2</w:t>
            </w:r>
          </w:p>
        </w:tc>
        <w:tc>
          <w:tcPr>
            <w:tcW w:w="3688" w:type="dxa"/>
            <w:noWrap w:val="0"/>
            <w:vAlign w:val="center"/>
          </w:tcPr>
          <w:p w14:paraId="603FA931">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bidi="ar-SA"/>
              </w:rPr>
              <w:t>持有消防设施操作员证（中级或以上）；12小时</w:t>
            </w:r>
          </w:p>
        </w:tc>
      </w:tr>
      <w:tr w14:paraId="22B2A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center"/>
          </w:tcPr>
          <w:p w14:paraId="0D6476BB">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lang w:val="en-US" w:eastAsia="zh-CN"/>
              </w:rPr>
            </w:pPr>
          </w:p>
        </w:tc>
        <w:tc>
          <w:tcPr>
            <w:tcW w:w="1522" w:type="dxa"/>
            <w:noWrap w:val="0"/>
            <w:vAlign w:val="center"/>
          </w:tcPr>
          <w:p w14:paraId="4DF08EFA">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rPr>
              <w:t>巡逻岗</w:t>
            </w:r>
          </w:p>
        </w:tc>
        <w:tc>
          <w:tcPr>
            <w:tcW w:w="1628" w:type="dxa"/>
            <w:noWrap w:val="0"/>
            <w:vAlign w:val="center"/>
          </w:tcPr>
          <w:p w14:paraId="60C5DF74">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kern w:val="2"/>
                <w:sz w:val="21"/>
                <w:szCs w:val="21"/>
                <w:highlight w:val="none"/>
                <w:lang w:val="en-US" w:eastAsia="zh-CN" w:bidi="ar-SA"/>
              </w:rPr>
              <w:t>按路线巡逻，检查消防通道、门窗、设施，劝阻违规，上报隐患。</w:t>
            </w:r>
          </w:p>
        </w:tc>
        <w:tc>
          <w:tcPr>
            <w:tcW w:w="949" w:type="dxa"/>
            <w:noWrap w:val="0"/>
            <w:vAlign w:val="center"/>
          </w:tcPr>
          <w:p w14:paraId="1B2C9718">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7</w:t>
            </w:r>
          </w:p>
        </w:tc>
        <w:tc>
          <w:tcPr>
            <w:tcW w:w="1070" w:type="dxa"/>
            <w:noWrap w:val="0"/>
            <w:vAlign w:val="center"/>
          </w:tcPr>
          <w:p w14:paraId="059DDF00">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9</w:t>
            </w:r>
          </w:p>
        </w:tc>
        <w:tc>
          <w:tcPr>
            <w:tcW w:w="3688" w:type="dxa"/>
            <w:noWrap w:val="0"/>
            <w:vAlign w:val="center"/>
          </w:tcPr>
          <w:p w14:paraId="0B7D7BB8">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default"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bidi="ar-SA"/>
              </w:rPr>
              <w:t>男性，具有保安证，夜间巡逻2人</w:t>
            </w:r>
          </w:p>
        </w:tc>
      </w:tr>
      <w:tr w14:paraId="65E93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vMerge w:val="continue"/>
            <w:noWrap w:val="0"/>
            <w:vAlign w:val="top"/>
          </w:tcPr>
          <w:p w14:paraId="62F49B16">
            <w:pPr>
              <w:keepNext w:val="0"/>
              <w:keepLines w:val="0"/>
              <w:pageBreakBefore w:val="0"/>
              <w:widowControl/>
              <w:kinsoku/>
              <w:wordWrap/>
              <w:overflowPunct/>
              <w:topLinePunct w:val="0"/>
              <w:autoSpaceDE/>
              <w:autoSpaceDN/>
              <w:bidi w:val="0"/>
              <w:adjustRightInd/>
              <w:snapToGrid w:val="0"/>
              <w:spacing w:line="240" w:lineRule="auto"/>
              <w:ind w:left="0"/>
              <w:jc w:val="both"/>
              <w:textAlignment w:val="auto"/>
              <w:rPr>
                <w:rFonts w:hint="eastAsia" w:ascii="仿宋" w:hAnsi="仿宋" w:eastAsia="仿宋" w:cs="仿宋"/>
                <w:bCs/>
                <w:color w:val="auto"/>
                <w:sz w:val="21"/>
                <w:szCs w:val="21"/>
                <w:highlight w:val="none"/>
                <w:lang w:val="en-US" w:eastAsia="zh-CN"/>
              </w:rPr>
            </w:pPr>
          </w:p>
        </w:tc>
        <w:tc>
          <w:tcPr>
            <w:tcW w:w="1522" w:type="dxa"/>
            <w:noWrap w:val="0"/>
            <w:vAlign w:val="center"/>
          </w:tcPr>
          <w:p w14:paraId="1F1C3911">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rPr>
              <w:t>车管岗</w:t>
            </w:r>
          </w:p>
        </w:tc>
        <w:tc>
          <w:tcPr>
            <w:tcW w:w="1628" w:type="dxa"/>
            <w:noWrap w:val="0"/>
            <w:vAlign w:val="center"/>
          </w:tcPr>
          <w:p w14:paraId="62090FEB">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kern w:val="2"/>
                <w:sz w:val="21"/>
                <w:szCs w:val="21"/>
                <w:highlight w:val="none"/>
                <w:lang w:val="en-US" w:eastAsia="zh-CN" w:bidi="ar-SA"/>
              </w:rPr>
              <w:t>引导车辆有序停放，巡查占道、异常情况，维护场内交通秩序。</w:t>
            </w:r>
          </w:p>
        </w:tc>
        <w:tc>
          <w:tcPr>
            <w:tcW w:w="949" w:type="dxa"/>
            <w:noWrap w:val="0"/>
            <w:vAlign w:val="center"/>
          </w:tcPr>
          <w:p w14:paraId="191C7FF0">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2</w:t>
            </w:r>
          </w:p>
        </w:tc>
        <w:tc>
          <w:tcPr>
            <w:tcW w:w="1070" w:type="dxa"/>
            <w:noWrap w:val="0"/>
            <w:vAlign w:val="center"/>
          </w:tcPr>
          <w:p w14:paraId="7F3A22A9">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lang w:val="en-US" w:eastAsia="zh-CN"/>
              </w:rPr>
              <w:t>3</w:t>
            </w:r>
          </w:p>
        </w:tc>
        <w:tc>
          <w:tcPr>
            <w:tcW w:w="3688" w:type="dxa"/>
            <w:noWrap w:val="0"/>
            <w:vAlign w:val="center"/>
          </w:tcPr>
          <w:p w14:paraId="34B27F12">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default"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bidi="ar-SA"/>
              </w:rPr>
              <w:t>男性，具有保安证，夜间值班1人</w:t>
            </w:r>
          </w:p>
        </w:tc>
      </w:tr>
      <w:tr w14:paraId="3D94E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90" w:type="dxa"/>
            <w:noWrap w:val="0"/>
            <w:vAlign w:val="top"/>
          </w:tcPr>
          <w:p w14:paraId="32FA9392">
            <w:pPr>
              <w:keepNext w:val="0"/>
              <w:keepLines w:val="0"/>
              <w:pageBreakBefore w:val="0"/>
              <w:widowControl/>
              <w:kinsoku/>
              <w:wordWrap/>
              <w:overflowPunct/>
              <w:topLinePunct w:val="0"/>
              <w:autoSpaceDE/>
              <w:autoSpaceDN/>
              <w:bidi w:val="0"/>
              <w:adjustRightInd/>
              <w:snapToGrid w:val="0"/>
              <w:spacing w:line="240" w:lineRule="auto"/>
              <w:ind w:left="0"/>
              <w:jc w:val="center"/>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合计</w:t>
            </w:r>
          </w:p>
        </w:tc>
        <w:tc>
          <w:tcPr>
            <w:tcW w:w="1522" w:type="dxa"/>
            <w:noWrap w:val="0"/>
            <w:vAlign w:val="center"/>
          </w:tcPr>
          <w:p w14:paraId="28326AEB">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kern w:val="2"/>
                <w:sz w:val="21"/>
                <w:szCs w:val="21"/>
                <w:highlight w:val="none"/>
                <w:lang w:val="en-US" w:eastAsia="zh-CN" w:bidi="ar-SA"/>
              </w:rPr>
            </w:pPr>
          </w:p>
        </w:tc>
        <w:tc>
          <w:tcPr>
            <w:tcW w:w="1628" w:type="dxa"/>
            <w:noWrap w:val="0"/>
            <w:vAlign w:val="center"/>
          </w:tcPr>
          <w:p w14:paraId="52392904">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kern w:val="2"/>
                <w:sz w:val="21"/>
                <w:szCs w:val="21"/>
                <w:highlight w:val="none"/>
                <w:lang w:val="en-US" w:eastAsia="zh-CN" w:bidi="ar-SA"/>
              </w:rPr>
            </w:pPr>
          </w:p>
        </w:tc>
        <w:tc>
          <w:tcPr>
            <w:tcW w:w="949" w:type="dxa"/>
            <w:noWrap w:val="0"/>
            <w:vAlign w:val="center"/>
          </w:tcPr>
          <w:p w14:paraId="79DD2EF0">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eastAsia" w:ascii="仿宋" w:hAnsi="仿宋" w:eastAsia="仿宋" w:cs="仿宋"/>
                <w:bCs/>
                <w:color w:val="auto"/>
                <w:kern w:val="2"/>
                <w:sz w:val="21"/>
                <w:szCs w:val="21"/>
                <w:highlight w:val="none"/>
                <w:lang w:val="en-US" w:eastAsia="zh-CN" w:bidi="ar-SA"/>
              </w:rPr>
            </w:pPr>
          </w:p>
        </w:tc>
        <w:tc>
          <w:tcPr>
            <w:tcW w:w="1070" w:type="dxa"/>
            <w:noWrap w:val="0"/>
            <w:vAlign w:val="center"/>
          </w:tcPr>
          <w:p w14:paraId="792A439D">
            <w:pPr>
              <w:keepNext w:val="0"/>
              <w:keepLines w:val="0"/>
              <w:pageBreakBefore w:val="0"/>
              <w:widowControl/>
              <w:kinsoku/>
              <w:wordWrap/>
              <w:overflowPunct/>
              <w:topLinePunct w:val="0"/>
              <w:autoSpaceDE/>
              <w:autoSpaceDN/>
              <w:bidi w:val="0"/>
              <w:adjustRightInd/>
              <w:snapToGrid w:val="0"/>
              <w:spacing w:line="240" w:lineRule="auto"/>
              <w:ind w:left="0" w:leftChars="0"/>
              <w:jc w:val="center"/>
              <w:textAlignment w:val="auto"/>
              <w:rPr>
                <w:rFonts w:hint="default"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bidi="ar-SA"/>
              </w:rPr>
              <w:t>36人</w:t>
            </w:r>
          </w:p>
        </w:tc>
        <w:tc>
          <w:tcPr>
            <w:tcW w:w="3688" w:type="dxa"/>
            <w:noWrap w:val="0"/>
            <w:vAlign w:val="center"/>
          </w:tcPr>
          <w:p w14:paraId="01A5B5B9">
            <w:pPr>
              <w:keepNext w:val="0"/>
              <w:keepLines w:val="0"/>
              <w:pageBreakBefore w:val="0"/>
              <w:widowControl/>
              <w:kinsoku/>
              <w:wordWrap/>
              <w:overflowPunct/>
              <w:topLinePunct w:val="0"/>
              <w:autoSpaceDE/>
              <w:autoSpaceDN/>
              <w:bidi w:val="0"/>
              <w:adjustRightInd/>
              <w:snapToGrid w:val="0"/>
              <w:spacing w:line="240" w:lineRule="auto"/>
              <w:ind w:left="0" w:leftChars="0"/>
              <w:jc w:val="both"/>
              <w:textAlignment w:val="auto"/>
              <w:rPr>
                <w:rFonts w:hint="eastAsia" w:ascii="仿宋" w:hAnsi="仿宋" w:eastAsia="仿宋" w:cs="仿宋"/>
                <w:bCs/>
                <w:color w:val="auto"/>
                <w:kern w:val="2"/>
                <w:sz w:val="21"/>
                <w:szCs w:val="21"/>
                <w:highlight w:val="none"/>
                <w:lang w:val="en-US" w:eastAsia="zh-CN" w:bidi="ar-SA"/>
              </w:rPr>
            </w:pPr>
          </w:p>
        </w:tc>
      </w:tr>
    </w:tbl>
    <w:p w14:paraId="7808F9DE">
      <w:pPr>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val="0"/>
          <w:bCs/>
          <w:color w:val="auto"/>
          <w:sz w:val="28"/>
          <w:szCs w:val="28"/>
          <w:highlight w:val="none"/>
          <w:u w:val="none"/>
        </w:rPr>
      </w:pPr>
      <w:r>
        <w:rPr>
          <w:rFonts w:hint="eastAsia" w:ascii="仿宋" w:hAnsi="仿宋" w:eastAsia="仿宋" w:cs="仿宋"/>
          <w:color w:val="auto"/>
          <w:sz w:val="28"/>
          <w:szCs w:val="28"/>
          <w:highlight w:val="none"/>
          <w:u w:val="none"/>
          <w:lang w:val="en-US" w:eastAsia="zh-CN"/>
        </w:rPr>
        <w:t>注：</w:t>
      </w:r>
      <w:r>
        <w:rPr>
          <w:rFonts w:hint="eastAsia" w:ascii="仿宋" w:hAnsi="仿宋" w:eastAsia="仿宋" w:cs="仿宋"/>
          <w:b w:val="0"/>
          <w:bCs/>
          <w:color w:val="auto"/>
          <w:sz w:val="28"/>
          <w:szCs w:val="28"/>
          <w:highlight w:val="none"/>
          <w:u w:val="none"/>
          <w:lang w:val="en-US" w:eastAsia="zh-CN"/>
        </w:rPr>
        <w:t>供应商</w:t>
      </w:r>
      <w:r>
        <w:rPr>
          <w:rFonts w:hint="eastAsia" w:ascii="仿宋" w:hAnsi="仿宋" w:eastAsia="仿宋" w:cs="仿宋"/>
          <w:b w:val="0"/>
          <w:bCs/>
          <w:color w:val="auto"/>
          <w:sz w:val="28"/>
          <w:szCs w:val="28"/>
          <w:highlight w:val="none"/>
          <w:u w:val="none"/>
        </w:rPr>
        <w:t>应</w:t>
      </w:r>
      <w:r>
        <w:rPr>
          <w:rFonts w:hint="eastAsia" w:ascii="仿宋" w:hAnsi="仿宋" w:eastAsia="仿宋" w:cs="仿宋"/>
          <w:b w:val="0"/>
          <w:bCs/>
          <w:color w:val="auto"/>
          <w:sz w:val="28"/>
          <w:szCs w:val="28"/>
          <w:highlight w:val="none"/>
          <w:u w:val="none"/>
          <w:lang w:eastAsia="zh-CN"/>
        </w:rPr>
        <w:t>当按国家相关法律法规，合理确定服务人员工资标准、</w:t>
      </w:r>
      <w:r>
        <w:rPr>
          <w:rFonts w:hint="eastAsia" w:ascii="仿宋" w:hAnsi="仿宋" w:eastAsia="仿宋" w:cs="仿宋"/>
          <w:b w:val="0"/>
          <w:bCs/>
          <w:color w:val="auto"/>
          <w:sz w:val="28"/>
          <w:szCs w:val="28"/>
          <w:highlight w:val="none"/>
          <w:u w:val="none"/>
        </w:rPr>
        <w:t>工作时间</w:t>
      </w:r>
      <w:r>
        <w:rPr>
          <w:rFonts w:hint="eastAsia" w:ascii="仿宋" w:hAnsi="仿宋" w:eastAsia="仿宋" w:cs="仿宋"/>
          <w:b w:val="0"/>
          <w:bCs/>
          <w:color w:val="auto"/>
          <w:sz w:val="28"/>
          <w:szCs w:val="28"/>
          <w:highlight w:val="none"/>
          <w:u w:val="none"/>
          <w:lang w:eastAsia="zh-CN"/>
        </w:rPr>
        <w:t>等</w:t>
      </w:r>
      <w:r>
        <w:rPr>
          <w:rFonts w:hint="eastAsia" w:ascii="仿宋" w:hAnsi="仿宋" w:eastAsia="仿宋" w:cs="仿宋"/>
          <w:b w:val="0"/>
          <w:bCs/>
          <w:color w:val="auto"/>
          <w:sz w:val="28"/>
          <w:szCs w:val="28"/>
          <w:highlight w:val="none"/>
          <w:u w:val="none"/>
        </w:rPr>
        <w:t>。</w:t>
      </w:r>
    </w:p>
    <w:p w14:paraId="4C4431BC">
      <w:pPr>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firstLine="560" w:firstLineChars="200"/>
        <w:jc w:val="left"/>
        <w:textAlignment w:val="auto"/>
        <w:rPr>
          <w:rFonts w:hint="eastAsia" w:ascii="仿宋" w:hAnsi="仿宋" w:eastAsia="仿宋" w:cs="仿宋"/>
          <w:b w:val="0"/>
          <w:bCs/>
          <w:color w:val="auto"/>
          <w:kern w:val="0"/>
          <w:sz w:val="28"/>
          <w:szCs w:val="28"/>
          <w:highlight w:val="none"/>
          <w:u w:val="none"/>
        </w:rPr>
      </w:pPr>
      <w:r>
        <w:rPr>
          <w:rFonts w:hint="eastAsia" w:ascii="仿宋" w:hAnsi="仿宋" w:eastAsia="仿宋" w:cs="仿宋"/>
          <w:b w:val="0"/>
          <w:bCs/>
          <w:color w:val="auto"/>
          <w:sz w:val="28"/>
          <w:szCs w:val="28"/>
          <w:highlight w:val="none"/>
          <w:u w:val="none"/>
          <w:lang w:val="en-US" w:eastAsia="zh-CN"/>
        </w:rPr>
        <w:t>供应商</w:t>
      </w:r>
      <w:r>
        <w:rPr>
          <w:rFonts w:hint="eastAsia" w:ascii="仿宋" w:hAnsi="仿宋" w:eastAsia="仿宋" w:cs="仿宋"/>
          <w:bCs/>
          <w:i w:val="0"/>
          <w:iCs w:val="0"/>
          <w:color w:val="auto"/>
          <w:kern w:val="0"/>
          <w:sz w:val="28"/>
          <w:szCs w:val="28"/>
          <w:highlight w:val="none"/>
          <w:u w:val="none"/>
          <w:lang w:val="en-US" w:eastAsia="zh-CN" w:bidi="ar"/>
        </w:rPr>
        <w:t>应当自行为服务人员办理必需的保险</w:t>
      </w:r>
      <w:r>
        <w:rPr>
          <w:rFonts w:hint="eastAsia" w:ascii="仿宋" w:hAnsi="仿宋" w:eastAsia="仿宋" w:cs="仿宋"/>
          <w:b w:val="0"/>
          <w:bCs/>
          <w:color w:val="auto"/>
          <w:sz w:val="28"/>
          <w:szCs w:val="28"/>
          <w:highlight w:val="none"/>
          <w:u w:val="none"/>
        </w:rPr>
        <w:t>，有关人员伤亡及第三者责任险均</w:t>
      </w:r>
      <w:r>
        <w:rPr>
          <w:rFonts w:hint="eastAsia" w:ascii="仿宋" w:hAnsi="仿宋" w:eastAsia="仿宋" w:cs="仿宋"/>
          <w:b w:val="0"/>
          <w:bCs/>
          <w:color w:val="auto"/>
          <w:sz w:val="28"/>
          <w:szCs w:val="28"/>
          <w:highlight w:val="none"/>
          <w:u w:val="none"/>
          <w:lang w:val="en-US" w:eastAsia="zh-CN"/>
        </w:rPr>
        <w:t>应当</w:t>
      </w:r>
      <w:r>
        <w:rPr>
          <w:rFonts w:hint="eastAsia" w:ascii="仿宋" w:hAnsi="仿宋" w:eastAsia="仿宋" w:cs="仿宋"/>
          <w:b w:val="0"/>
          <w:bCs/>
          <w:color w:val="auto"/>
          <w:sz w:val="28"/>
          <w:szCs w:val="28"/>
          <w:highlight w:val="none"/>
          <w:u w:val="none"/>
        </w:rPr>
        <w:t>考虑在报价因素中</w:t>
      </w:r>
      <w:r>
        <w:rPr>
          <w:rFonts w:hint="eastAsia" w:ascii="仿宋" w:hAnsi="仿宋" w:eastAsia="仿宋" w:cs="仿宋"/>
          <w:b w:val="0"/>
          <w:bCs/>
          <w:color w:val="auto"/>
          <w:kern w:val="0"/>
          <w:sz w:val="28"/>
          <w:szCs w:val="28"/>
          <w:highlight w:val="none"/>
          <w:u w:val="none"/>
        </w:rPr>
        <w:t>。</w:t>
      </w:r>
      <w:bookmarkEnd w:id="6"/>
      <w:bookmarkEnd w:id="7"/>
      <w:bookmarkEnd w:id="8"/>
      <w:bookmarkStart w:id="9" w:name="_Toc21574"/>
      <w:bookmarkStart w:id="10" w:name="_Toc20385"/>
      <w:bookmarkStart w:id="11" w:name="_Toc1962"/>
    </w:p>
    <w:p w14:paraId="0E416CDE">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both"/>
        <w:textAlignment w:val="auto"/>
        <w:outlineLvl w:val="1"/>
        <w:rPr>
          <w:rFonts w:hint="eastAsia" w:ascii="仿宋" w:hAnsi="仿宋" w:eastAsia="仿宋" w:cs="仿宋"/>
          <w:b/>
          <w:bCs/>
          <w:kern w:val="2"/>
          <w:sz w:val="28"/>
          <w:szCs w:val="28"/>
          <w:highlight w:val="none"/>
          <w:lang w:val="en-US" w:eastAsia="zh-CN" w:bidi="ar-SA"/>
        </w:rPr>
      </w:pPr>
      <w:r>
        <w:rPr>
          <w:rFonts w:hint="eastAsia" w:ascii="仿宋" w:hAnsi="仿宋" w:eastAsia="仿宋" w:cs="仿宋"/>
          <w:b/>
          <w:bCs/>
          <w:kern w:val="2"/>
          <w:sz w:val="28"/>
          <w:szCs w:val="28"/>
          <w:highlight w:val="none"/>
          <w:lang w:val="en-US" w:eastAsia="zh-CN" w:bidi="ar-SA"/>
        </w:rPr>
        <w:t>6.商务要求</w:t>
      </w:r>
    </w:p>
    <w:p w14:paraId="2DDA44CA">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both"/>
        <w:textAlignment w:val="auto"/>
        <w:outlineLvl w:val="1"/>
        <w:rPr>
          <w:rFonts w:hint="eastAsia" w:ascii="仿宋" w:hAnsi="仿宋" w:eastAsia="仿宋" w:cs="仿宋"/>
          <w:b/>
          <w:bCs/>
          <w:kern w:val="2"/>
          <w:sz w:val="28"/>
          <w:szCs w:val="28"/>
          <w:highlight w:val="none"/>
          <w:lang w:val="en-US" w:eastAsia="zh-CN" w:bidi="ar-SA"/>
        </w:rPr>
      </w:pPr>
      <w:r>
        <w:rPr>
          <w:rFonts w:hint="eastAsia" w:ascii="仿宋" w:hAnsi="仿宋" w:eastAsia="仿宋" w:cs="仿宋"/>
          <w:b/>
          <w:bCs/>
          <w:kern w:val="2"/>
          <w:sz w:val="28"/>
          <w:szCs w:val="28"/>
          <w:highlight w:val="none"/>
          <w:lang w:val="en-US" w:eastAsia="zh-CN" w:bidi="ar-SA"/>
        </w:rPr>
        <w:t>6.1实施期限</w:t>
      </w:r>
    </w:p>
    <w:p w14:paraId="0661CD5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zh-CN" w:eastAsia="zh-CN" w:bidi="ar-SA"/>
        </w:rPr>
        <w:t>本项目服务期为一年（从合同签订之日起算）。服务期满后根据上年度服务期间完成采购人所要求服务标准情况，在财政资金保障前提下，保证服务要求、服务质量不变、价格变化幅度小的情况下可以续签，续签时间不超过两年。如政策规定发生变化，服务企业需相应执行或解除合同。</w:t>
      </w:r>
    </w:p>
    <w:p w14:paraId="561FDF56">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both"/>
        <w:textAlignment w:val="auto"/>
        <w:outlineLvl w:val="1"/>
        <w:rPr>
          <w:rFonts w:hint="eastAsia" w:ascii="仿宋" w:hAnsi="仿宋" w:eastAsia="仿宋" w:cs="仿宋"/>
          <w:b/>
          <w:bCs/>
          <w:kern w:val="2"/>
          <w:sz w:val="28"/>
          <w:szCs w:val="28"/>
          <w:highlight w:val="none"/>
          <w:lang w:val="en-US" w:eastAsia="zh-CN" w:bidi="ar-SA"/>
        </w:rPr>
      </w:pPr>
      <w:r>
        <w:rPr>
          <w:rFonts w:hint="eastAsia" w:ascii="仿宋" w:hAnsi="仿宋" w:eastAsia="仿宋" w:cs="仿宋"/>
          <w:b/>
          <w:bCs/>
          <w:kern w:val="2"/>
          <w:sz w:val="28"/>
          <w:szCs w:val="28"/>
          <w:highlight w:val="none"/>
          <w:lang w:val="en-US" w:eastAsia="zh-CN" w:bidi="ar-SA"/>
        </w:rPr>
        <w:t>6.2付款方式</w:t>
      </w:r>
    </w:p>
    <w:p w14:paraId="6E5AE818">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left"/>
        <w:textAlignment w:val="auto"/>
        <w:outlineLvl w:val="1"/>
        <w:rPr>
          <w:rFonts w:hint="eastAsia" w:ascii="仿宋" w:hAnsi="仿宋" w:eastAsia="仿宋" w:cs="仿宋"/>
          <w:b w:val="0"/>
          <w:bCs w:val="0"/>
          <w:kern w:val="2"/>
          <w:sz w:val="28"/>
          <w:szCs w:val="28"/>
          <w:lang w:val="zh-CN" w:eastAsia="zh-CN" w:bidi="ar-SA"/>
        </w:rPr>
      </w:pPr>
      <w:r>
        <w:rPr>
          <w:rFonts w:hint="eastAsia" w:ascii="仿宋" w:hAnsi="仿宋" w:eastAsia="仿宋" w:cs="仿宋"/>
          <w:b w:val="0"/>
          <w:bCs w:val="0"/>
          <w:kern w:val="2"/>
          <w:sz w:val="28"/>
          <w:szCs w:val="28"/>
          <w:lang w:val="en-US" w:eastAsia="zh-CN" w:bidi="ar-SA"/>
        </w:rPr>
        <w:t>从签订合同起合同实施三个月时（按季度结算）经甲方验收合格后，支付乙方合同价款总额的25%，以后每满三个月经甲方验收合格后支付乙方合同价款总额的25%，乙方需提供正规税务发票，否则拒付。</w:t>
      </w:r>
    </w:p>
    <w:p w14:paraId="06C2626A">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6.3验收标准与要求</w:t>
      </w:r>
    </w:p>
    <w:p w14:paraId="29B2454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保洁服务：各借阅室、书库、办公室、卫生间、茶水间等区域地面、墙面、玻璃、扶手等无垃圾、无积灰、无污渍、无手印。卫生间无异味、无积水、洁具光洁、物品摆放有序。室外公共区域（广场、道路、停车场、"门前三包"）干净无杂物、无淤泥。垃圾日产日清，分类规范，垃圾箱内外清洁无残留。定期开展消毒灭害，对窨井、明沟、垃圾房等喷洒药水。</w:t>
      </w:r>
    </w:p>
    <w:p w14:paraId="6C45A06F">
      <w:pPr>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保安服务：严格执行门卫登记制度，禁止危险物品入馆。按规定路线和频次进行巡逻检查，重点区域有记录。车辆管理有序，非机动车定点停放，无易燃易爆物品堆放。制定并演练突发事件应急预案，每年至少组织1次应急演习。技防设施（监控、报警等）操作正常、定期检查。</w:t>
      </w:r>
    </w:p>
    <w:p w14:paraId="03DAF452">
      <w:pPr>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综合维修服务：定期巡查给排水、供电系统，无跑冒滴漏现象。水电故障及时上报并处理，做好维修记录。空调系统定期清洁（每年至少两次）。电梯等特种设备运行正常，发生困人等事件能及时响应并通知专业维保单位。其他辅助服务配合馆内活动的协调与安保工作。</w:t>
      </w:r>
    </w:p>
    <w:p w14:paraId="74E4C532">
      <w:pPr>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0" w:leftChars="0" w:firstLine="560" w:firstLineChars="20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成交供应商必须按服务标准中所规定的工作内容和具体要求来完成采购人所交给的工作，并提交相应的报告。</w:t>
      </w:r>
    </w:p>
    <w:p w14:paraId="46907261">
      <w:pPr>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0" w:leftChars="0" w:firstLine="560" w:firstLineChars="20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成交供应商每次完成工作后，采购人将立即进行验收，若发现成交供应商完成工作的情况不符合合同所规定的要求，采购人有权拒绝进行完工确认，并书面通知成交供应商进行整改，成交供应商应予以接受。</w:t>
      </w:r>
    </w:p>
    <w:p w14:paraId="1E2087BD">
      <w:pPr>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0" w:leftChars="0" w:firstLine="560" w:firstLineChars="20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成交供应商必须保证服务质量能够完全符合采购人之合理要求, 否则采购人有权向成交供应商发送如下告知单1）通知；2）警告；3）最后警告及扣除相关费用。</w:t>
      </w:r>
    </w:p>
    <w:p w14:paraId="08454EBC">
      <w:pPr>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0" w:leftChars="0" w:firstLine="560" w:firstLineChars="20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采购人按照服务标准制定考评表，每季度对成交供应商的整体服务水平进行打分考评。如考核得分≥90 分，为优秀；考核得分为 80 -89 分的，为良好；考核得分为 70 -79 分的，为合格，采购人有权按约定进行警告并予以扣款；如考核得分低于70 分，为不合格，采购人有权单方面解除合约，成交供应商应积极配合。</w:t>
      </w:r>
    </w:p>
    <w:p w14:paraId="4EA0BE84">
      <w:pPr>
        <w:keepNext/>
        <w:keepLines/>
        <w:pageBreakBefore w:val="0"/>
        <w:widowControl w:val="0"/>
        <w:kinsoku/>
        <w:wordWrap/>
        <w:overflowPunct/>
        <w:topLinePunct w:val="0"/>
        <w:bidi w:val="0"/>
        <w:adjustRightInd/>
        <w:snapToGrid w:val="0"/>
        <w:spacing w:line="500" w:lineRule="exact"/>
        <w:ind w:firstLine="562" w:firstLineChars="200"/>
        <w:jc w:val="both"/>
        <w:textAlignment w:val="auto"/>
        <w:outlineLvl w:val="1"/>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7.需要说明的其他事项</w:t>
      </w:r>
    </w:p>
    <w:p w14:paraId="3DA27C15">
      <w:pPr>
        <w:keepNext/>
        <w:keepLines/>
        <w:pageBreakBefore w:val="0"/>
        <w:widowControl w:val="0"/>
        <w:kinsoku/>
        <w:wordWrap/>
        <w:overflowPunct/>
        <w:topLinePunct w:val="0"/>
        <w:bidi w:val="0"/>
        <w:adjustRightInd/>
        <w:snapToGrid w:val="0"/>
        <w:spacing w:line="500" w:lineRule="exact"/>
        <w:ind w:firstLine="562" w:firstLineChars="200"/>
        <w:jc w:val="both"/>
        <w:textAlignment w:val="auto"/>
        <w:outlineLvl w:val="1"/>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7.1零星维修材料费用</w:t>
      </w:r>
    </w:p>
    <w:p w14:paraId="0EAB0345">
      <w:pPr>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0" w:leftChars="0" w:firstLine="560" w:firstLineChars="200"/>
        <w:jc w:val="both"/>
        <w:textAlignment w:val="auto"/>
        <w:rPr>
          <w:rFonts w:hint="eastAsia" w:ascii="仿宋" w:hAnsi="仿宋" w:eastAsia="仿宋" w:cs="仿宋"/>
          <w:b w:val="0"/>
          <w:bCs w:val="0"/>
          <w:i w:val="0"/>
          <w:iCs w:val="0"/>
          <w:color w:val="auto"/>
          <w:kern w:val="0"/>
          <w:sz w:val="28"/>
          <w:szCs w:val="28"/>
          <w:highlight w:val="none"/>
          <w:u w:val="single"/>
          <w:lang w:val="en-US" w:eastAsia="zh-CN" w:bidi="ar"/>
        </w:rPr>
      </w:pPr>
      <w:r>
        <w:rPr>
          <w:rFonts w:hint="eastAsia" w:ascii="仿宋" w:hAnsi="仿宋" w:eastAsia="仿宋" w:cs="仿宋"/>
          <w:b w:val="0"/>
          <w:bCs w:val="0"/>
          <w:color w:val="auto"/>
          <w:kern w:val="0"/>
          <w:sz w:val="28"/>
          <w:szCs w:val="28"/>
          <w:highlight w:val="none"/>
          <w:lang w:val="en-US" w:eastAsia="zh-CN"/>
        </w:rPr>
        <w:sym w:font="Wingdings 2" w:char="00A3"/>
      </w:r>
      <w:r>
        <w:rPr>
          <w:rFonts w:hint="eastAsia" w:ascii="仿宋" w:hAnsi="仿宋" w:eastAsia="仿宋" w:cs="仿宋"/>
          <w:b w:val="0"/>
          <w:bCs w:val="0"/>
          <w:color w:val="auto"/>
          <w:kern w:val="0"/>
          <w:sz w:val="28"/>
          <w:szCs w:val="28"/>
          <w:highlight w:val="none"/>
          <w:lang w:val="en-US" w:eastAsia="zh-CN"/>
        </w:rPr>
        <w:t xml:space="preserve"> 涉及以下情形的，相关费用包含在物业管理服务采购合同金额之内，由供应商承担：</w:t>
      </w:r>
      <w:r>
        <w:rPr>
          <w:rFonts w:hint="eastAsia" w:ascii="仿宋" w:hAnsi="仿宋" w:eastAsia="仿宋" w:cs="仿宋"/>
          <w:b w:val="0"/>
          <w:bCs w:val="0"/>
          <w:color w:val="auto"/>
          <w:kern w:val="0"/>
          <w:sz w:val="28"/>
          <w:szCs w:val="28"/>
          <w:highlight w:val="none"/>
          <w:u w:val="single"/>
          <w:lang w:val="en-US" w:eastAsia="zh-CN"/>
        </w:rPr>
        <w:t>电池、门锁、窗户把手、锁芯、LED筒灯、LED平板灯、面盆水龙头、开关、插座、三角阀、球阀、止回阀、软连接器、小空开、接触器、玻璃门地弹簧、压力表、温度计、排气阀、感应冲水器、感应蹲便器、热水器加热管、热水器温控器、换气扇、风机皮带、干手器等维修所需材料单件单价在300元以内的费用。</w:t>
      </w:r>
    </w:p>
    <w:p w14:paraId="2ED33CDC">
      <w:pPr>
        <w:keepNext/>
        <w:keepLines/>
        <w:pageBreakBefore w:val="0"/>
        <w:widowControl w:val="0"/>
        <w:kinsoku/>
        <w:wordWrap/>
        <w:overflowPunct/>
        <w:topLinePunct w:val="0"/>
        <w:bidi w:val="0"/>
        <w:adjustRightInd/>
        <w:snapToGrid w:val="0"/>
        <w:spacing w:line="500" w:lineRule="exact"/>
        <w:ind w:firstLine="560" w:firstLineChars="200"/>
        <w:jc w:val="both"/>
        <w:textAlignment w:val="auto"/>
        <w:outlineLvl w:val="1"/>
        <w:rPr>
          <w:rFonts w:hint="eastAsia" w:ascii="仿宋" w:hAnsi="仿宋" w:eastAsia="仿宋" w:cs="仿宋"/>
          <w:b w:val="0"/>
          <w:bCs w:val="0"/>
          <w:color w:val="auto"/>
          <w:kern w:val="0"/>
          <w:sz w:val="28"/>
          <w:szCs w:val="28"/>
          <w:highlight w:val="none"/>
          <w:u w:val="single"/>
          <w:lang w:val="en-US" w:eastAsia="zh-CN" w:bidi="ar-SA"/>
        </w:rPr>
      </w:pPr>
      <w:r>
        <w:rPr>
          <w:rFonts w:hint="eastAsia" w:ascii="仿宋" w:hAnsi="仿宋" w:eastAsia="仿宋" w:cs="仿宋"/>
          <w:b w:val="0"/>
          <w:bCs w:val="0"/>
          <w:color w:val="auto"/>
          <w:kern w:val="0"/>
          <w:sz w:val="28"/>
          <w:szCs w:val="28"/>
          <w:highlight w:val="none"/>
          <w:lang w:val="en-US" w:eastAsia="zh-CN" w:bidi="ar-SA"/>
        </w:rPr>
        <w:sym w:font="Wingdings 2" w:char="00A3"/>
      </w:r>
      <w:r>
        <w:rPr>
          <w:rFonts w:hint="eastAsia" w:ascii="仿宋" w:hAnsi="仿宋" w:eastAsia="仿宋" w:cs="仿宋"/>
          <w:b w:val="0"/>
          <w:bCs w:val="0"/>
          <w:color w:val="auto"/>
          <w:kern w:val="0"/>
          <w:sz w:val="28"/>
          <w:szCs w:val="28"/>
          <w:highlight w:val="none"/>
          <w:lang w:val="en-US" w:eastAsia="zh-CN" w:bidi="ar-SA"/>
        </w:rPr>
        <w:t xml:space="preserve"> 涉及以下情形的</w:t>
      </w:r>
      <w:r>
        <w:rPr>
          <w:rFonts w:hint="eastAsia" w:ascii="仿宋" w:hAnsi="仿宋" w:eastAsia="仿宋" w:cs="仿宋"/>
          <w:b w:val="0"/>
          <w:bCs w:val="0"/>
          <w:color w:val="auto"/>
          <w:kern w:val="0"/>
          <w:sz w:val="28"/>
          <w:szCs w:val="28"/>
          <w:highlight w:val="none"/>
          <w:u w:val="none"/>
          <w:lang w:val="en-US" w:eastAsia="zh-CN" w:bidi="ar-SA"/>
        </w:rPr>
        <w:t>，</w:t>
      </w:r>
      <w:r>
        <w:rPr>
          <w:rFonts w:hint="eastAsia" w:ascii="仿宋" w:hAnsi="仿宋" w:eastAsia="仿宋" w:cs="仿宋"/>
          <w:b w:val="0"/>
          <w:bCs w:val="0"/>
          <w:color w:val="auto"/>
          <w:kern w:val="0"/>
          <w:sz w:val="28"/>
          <w:szCs w:val="28"/>
          <w:highlight w:val="none"/>
          <w:lang w:val="en-US" w:eastAsia="zh-CN" w:bidi="ar-SA"/>
        </w:rPr>
        <w:t>由采购人承担：</w:t>
      </w:r>
      <w:r>
        <w:rPr>
          <w:rFonts w:hint="eastAsia" w:ascii="仿宋" w:hAnsi="仿宋" w:eastAsia="仿宋" w:cs="仿宋"/>
          <w:b w:val="0"/>
          <w:bCs w:val="0"/>
          <w:color w:val="auto"/>
          <w:kern w:val="0"/>
          <w:sz w:val="28"/>
          <w:szCs w:val="28"/>
          <w:highlight w:val="none"/>
          <w:u w:val="single"/>
          <w:lang w:val="en-US" w:eastAsia="zh-CN" w:bidi="ar-SA"/>
        </w:rPr>
        <w:t>热水器、饮水机滤芯、宣传电子灯箱、LED显示屏、话筒、音响、功放、门禁、车库卷帘、供水泵、排污泵、热水泵、供暖循环泵、软起动、交流接触器、热继电器、风机电机、风机叶轮、大空开（100A以上）、风机盘管、电动门、道闸系统、卷帘门、监控探头、监控录像机、UPS电源、监控视频显示器、监控云台、钢化玻璃门、液位浮球控制器、主管道水表、空调滤网、滤袋等维修所需材料单件单价在300元（含300元）以上费用。</w:t>
      </w:r>
    </w:p>
    <w:p w14:paraId="1E588286">
      <w:pPr>
        <w:keepNext/>
        <w:keepLines/>
        <w:pageBreakBefore w:val="0"/>
        <w:widowControl w:val="0"/>
        <w:kinsoku/>
        <w:wordWrap/>
        <w:overflowPunct/>
        <w:topLinePunct w:val="0"/>
        <w:bidi w:val="0"/>
        <w:adjustRightInd/>
        <w:snapToGrid w:val="0"/>
        <w:spacing w:line="500" w:lineRule="exact"/>
        <w:ind w:firstLine="562" w:firstLineChars="200"/>
        <w:jc w:val="both"/>
        <w:textAlignment w:val="auto"/>
        <w:outlineLvl w:val="1"/>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7.2低值易耗品费用</w:t>
      </w:r>
    </w:p>
    <w:p w14:paraId="33D7CD6C">
      <w:pPr>
        <w:keepNext w:val="0"/>
        <w:keepLines w:val="0"/>
        <w:pageBreakBefore w:val="0"/>
        <w:widowControl w:val="0"/>
        <w:numPr>
          <w:ilvl w:val="0"/>
          <w:numId w:val="0"/>
        </w:numPr>
        <w:kinsoku/>
        <w:wordWrap/>
        <w:overflowPunct/>
        <w:topLinePunct w:val="0"/>
        <w:autoSpaceDE/>
        <w:autoSpaceDN/>
        <w:bidi w:val="0"/>
        <w:adjustRightInd/>
        <w:snapToGrid w:val="0"/>
        <w:spacing w:line="500" w:lineRule="exact"/>
        <w:ind w:left="0" w:leftChars="0" w:firstLine="560" w:firstLineChars="200"/>
        <w:jc w:val="both"/>
        <w:textAlignment w:val="auto"/>
        <w:rPr>
          <w:rFonts w:hint="eastAsia" w:ascii="仿宋" w:hAnsi="仿宋" w:eastAsia="仿宋" w:cs="仿宋"/>
          <w:b w:val="0"/>
          <w:bCs w:val="0"/>
          <w:i w:val="0"/>
          <w:iCs w:val="0"/>
          <w:color w:val="auto"/>
          <w:kern w:val="0"/>
          <w:sz w:val="28"/>
          <w:szCs w:val="28"/>
          <w:highlight w:val="none"/>
          <w:u w:val="single"/>
          <w:lang w:val="en-US" w:eastAsia="zh-CN" w:bidi="ar"/>
        </w:rPr>
      </w:pPr>
      <w:r>
        <w:rPr>
          <w:rFonts w:hint="eastAsia" w:ascii="仿宋" w:hAnsi="仿宋" w:eastAsia="仿宋" w:cs="仿宋"/>
          <w:b w:val="0"/>
          <w:bCs w:val="0"/>
          <w:color w:val="auto"/>
          <w:kern w:val="0"/>
          <w:sz w:val="28"/>
          <w:szCs w:val="28"/>
          <w:highlight w:val="none"/>
          <w:lang w:val="en-US" w:eastAsia="zh-CN"/>
        </w:rPr>
        <w:sym w:font="Wingdings 2" w:char="00A3"/>
      </w:r>
      <w:r>
        <w:rPr>
          <w:rFonts w:hint="eastAsia" w:ascii="仿宋" w:hAnsi="仿宋" w:eastAsia="仿宋" w:cs="仿宋"/>
          <w:b w:val="0"/>
          <w:bCs w:val="0"/>
          <w:color w:val="auto"/>
          <w:kern w:val="0"/>
          <w:sz w:val="28"/>
          <w:szCs w:val="28"/>
          <w:highlight w:val="none"/>
          <w:lang w:val="en-US" w:eastAsia="zh-CN"/>
        </w:rPr>
        <w:t xml:space="preserve"> 涉及以下情形的，相关费用包含在物业管理服务采购合同金额之内，由供应商承担：</w:t>
      </w:r>
      <w:r>
        <w:rPr>
          <w:rFonts w:hint="eastAsia" w:ascii="仿宋" w:hAnsi="仿宋" w:eastAsia="仿宋" w:cs="仿宋"/>
          <w:b w:val="0"/>
          <w:bCs w:val="0"/>
          <w:color w:val="auto"/>
          <w:kern w:val="0"/>
          <w:sz w:val="28"/>
          <w:szCs w:val="28"/>
          <w:highlight w:val="none"/>
          <w:u w:val="single"/>
          <w:lang w:val="en-US" w:eastAsia="zh-CN"/>
        </w:rPr>
        <w:t>中性笔、记号笔、订书机、A4纸、墨粉、硒鼓、双面胶、玻璃胶、印泥、档案袋、档案盒、胶水、玻璃胶、标签纸、保洁服、保洁鞋、保安服、垃圾清运车、拖把、榨水车、垃圾桶、保洁车、尘推、毛巾、铲刀、钢丝球、垃圾夹、平板拖把、玻璃器、玻璃刮、脸盆、水桶、马桶刷、鹿皮巾、百洁布、鸡毛掸子、洗手液、洗洁精、洗衣粉、空气清新剂、檀香、芳香球、84消毒液、洁厕剂、玻璃清洗剂、水垢清洗剂、瓷砖清洗剂、多功能清洗剂、不锈钢光亮剂、粘胶去除剂、尘推油、口罩、面罩、喷壶、酒精、垃圾袋、防护服、大盘纸、擦手纸、防护橡胶手套、线手套，高粱扫帚，防风套扫，室外大扫把、灯泡、电线、轧带、生料带、胶布、螺丝、膨胀管、电工防水自粘带、水暖垫片、手电、反光贴等低值易耗品。</w:t>
      </w:r>
    </w:p>
    <w:p w14:paraId="3C086525">
      <w:pPr>
        <w:keepNext/>
        <w:keepLines/>
        <w:pageBreakBefore w:val="0"/>
        <w:widowControl w:val="0"/>
        <w:kinsoku/>
        <w:wordWrap/>
        <w:overflowPunct/>
        <w:topLinePunct w:val="0"/>
        <w:bidi w:val="0"/>
        <w:adjustRightInd/>
        <w:snapToGrid w:val="0"/>
        <w:spacing w:line="500" w:lineRule="exact"/>
        <w:ind w:firstLine="560" w:firstLineChars="200"/>
        <w:jc w:val="both"/>
        <w:textAlignment w:val="auto"/>
        <w:outlineLvl w:val="1"/>
        <w:rPr>
          <w:rFonts w:hint="eastAsia" w:ascii="仿宋" w:hAnsi="仿宋" w:eastAsia="仿宋" w:cs="仿宋"/>
          <w:b w:val="0"/>
          <w:bCs w:val="0"/>
          <w:color w:val="auto"/>
          <w:kern w:val="0"/>
          <w:sz w:val="28"/>
          <w:szCs w:val="28"/>
          <w:highlight w:val="none"/>
          <w:u w:val="single"/>
          <w:lang w:val="en-US" w:eastAsia="zh-CN" w:bidi="ar-SA"/>
        </w:rPr>
      </w:pPr>
      <w:r>
        <w:rPr>
          <w:rFonts w:hint="eastAsia" w:ascii="仿宋" w:hAnsi="仿宋" w:eastAsia="仿宋" w:cs="仿宋"/>
          <w:b w:val="0"/>
          <w:bCs w:val="0"/>
          <w:color w:val="auto"/>
          <w:kern w:val="0"/>
          <w:sz w:val="28"/>
          <w:szCs w:val="28"/>
          <w:highlight w:val="none"/>
          <w:lang w:val="en-US" w:eastAsia="zh-CN" w:bidi="ar-SA"/>
        </w:rPr>
        <w:sym w:font="Wingdings 2" w:char="00A3"/>
      </w:r>
      <w:r>
        <w:rPr>
          <w:rFonts w:hint="eastAsia" w:ascii="仿宋" w:hAnsi="仿宋" w:eastAsia="仿宋" w:cs="仿宋"/>
          <w:b w:val="0"/>
          <w:bCs w:val="0"/>
          <w:color w:val="auto"/>
          <w:kern w:val="0"/>
          <w:sz w:val="28"/>
          <w:szCs w:val="28"/>
          <w:highlight w:val="none"/>
          <w:lang w:val="en-US" w:eastAsia="zh-CN" w:bidi="ar-SA"/>
        </w:rPr>
        <w:t xml:space="preserve"> 涉及以下情形的</w:t>
      </w:r>
      <w:r>
        <w:rPr>
          <w:rFonts w:hint="eastAsia" w:ascii="仿宋" w:hAnsi="仿宋" w:eastAsia="仿宋" w:cs="仿宋"/>
          <w:b w:val="0"/>
          <w:bCs w:val="0"/>
          <w:color w:val="auto"/>
          <w:kern w:val="0"/>
          <w:sz w:val="28"/>
          <w:szCs w:val="28"/>
          <w:highlight w:val="none"/>
          <w:u w:val="none"/>
          <w:lang w:val="en-US" w:eastAsia="zh-CN" w:bidi="ar-SA"/>
        </w:rPr>
        <w:t>，</w:t>
      </w:r>
      <w:r>
        <w:rPr>
          <w:rFonts w:hint="eastAsia" w:ascii="仿宋" w:hAnsi="仿宋" w:eastAsia="仿宋" w:cs="仿宋"/>
          <w:b w:val="0"/>
          <w:bCs w:val="0"/>
          <w:color w:val="auto"/>
          <w:kern w:val="0"/>
          <w:sz w:val="28"/>
          <w:szCs w:val="28"/>
          <w:highlight w:val="none"/>
          <w:lang w:val="en-US" w:eastAsia="zh-CN" w:bidi="ar-SA"/>
        </w:rPr>
        <w:t>由采购人承担：</w:t>
      </w:r>
      <w:r>
        <w:rPr>
          <w:rFonts w:hint="eastAsia" w:ascii="仿宋" w:hAnsi="仿宋" w:eastAsia="仿宋" w:cs="仿宋"/>
          <w:b w:val="0"/>
          <w:bCs w:val="0"/>
          <w:color w:val="auto"/>
          <w:kern w:val="0"/>
          <w:sz w:val="28"/>
          <w:szCs w:val="28"/>
          <w:highlight w:val="none"/>
          <w:u w:val="single"/>
          <w:lang w:val="en-US" w:eastAsia="zh-CN" w:bidi="ar-SA"/>
        </w:rPr>
        <w:t>空调滤网、滤袋、插线板、饮水机、打包机、打包绳、书车、U盘、茶叶、茶杯。</w:t>
      </w:r>
    </w:p>
    <w:p w14:paraId="1A0CF343">
      <w:pPr>
        <w:keepNext/>
        <w:keepLines/>
        <w:pageBreakBefore w:val="0"/>
        <w:widowControl w:val="0"/>
        <w:kinsoku/>
        <w:wordWrap/>
        <w:overflowPunct/>
        <w:topLinePunct w:val="0"/>
        <w:bidi w:val="0"/>
        <w:adjustRightInd/>
        <w:snapToGrid w:val="0"/>
        <w:spacing w:line="500" w:lineRule="exact"/>
        <w:ind w:firstLine="560" w:firstLineChars="200"/>
        <w:jc w:val="both"/>
        <w:textAlignment w:val="auto"/>
        <w:outlineLvl w:val="1"/>
        <w:rPr>
          <w:rFonts w:hint="eastAsia" w:ascii="仿宋" w:hAnsi="仿宋" w:eastAsia="仿宋" w:cs="仿宋"/>
          <w:b w:val="0"/>
          <w:bCs/>
          <w:color w:val="auto"/>
          <w:kern w:val="0"/>
          <w:sz w:val="28"/>
          <w:szCs w:val="28"/>
          <w:highlight w:val="none"/>
          <w:lang w:val="en-US" w:eastAsia="zh-CN" w:bidi="ar"/>
        </w:rPr>
      </w:pPr>
      <w:r>
        <w:rPr>
          <w:rFonts w:hint="eastAsia" w:ascii="仿宋" w:hAnsi="仿宋" w:eastAsia="仿宋" w:cs="仿宋"/>
          <w:b w:val="0"/>
          <w:bCs/>
          <w:color w:val="auto"/>
          <w:kern w:val="0"/>
          <w:sz w:val="28"/>
          <w:szCs w:val="28"/>
          <w:highlight w:val="none"/>
          <w:lang w:val="en-US" w:eastAsia="zh-CN" w:bidi="ar"/>
        </w:rPr>
        <w:t>注：本款涉及的零星维修材料、低值易耗品、苗木、客耗品等费用，不论是由供应商，还是采购人承担，涉及的相关服务由供应商承担，服务费用包含在物业服务项目合同金额之内。</w:t>
      </w:r>
    </w:p>
    <w:bookmarkEnd w:id="9"/>
    <w:bookmarkEnd w:id="10"/>
    <w:bookmarkEnd w:id="11"/>
    <w:p w14:paraId="127FFF54">
      <w:pPr>
        <w:pStyle w:val="2"/>
        <w:pageBreakBefore w:val="0"/>
        <w:kinsoku/>
        <w:wordWrap/>
        <w:overflowPunct/>
        <w:topLinePunct w:val="0"/>
        <w:bidi w:val="0"/>
        <w:adjustRightInd/>
        <w:snapToGrid w:val="0"/>
        <w:spacing w:line="500" w:lineRule="exact"/>
        <w:ind w:firstLine="562" w:firstLineChars="200"/>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8.综合要求</w:t>
      </w:r>
    </w:p>
    <w:p w14:paraId="1697B754">
      <w:pPr>
        <w:pStyle w:val="2"/>
        <w:pageBreakBefore w:val="0"/>
        <w:kinsoku/>
        <w:wordWrap/>
        <w:overflowPunct/>
        <w:topLinePunct w:val="0"/>
        <w:bidi w:val="0"/>
        <w:adjustRightInd/>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1、投标人所提供的服务各项指标符合或优于本次采购要求、国家标准、行业标准及规范。 </w:t>
      </w:r>
    </w:p>
    <w:p w14:paraId="32895EAC">
      <w:pPr>
        <w:pStyle w:val="2"/>
        <w:pageBreakBefore w:val="0"/>
        <w:kinsoku/>
        <w:wordWrap/>
        <w:overflowPunct/>
        <w:topLinePunct w:val="0"/>
        <w:bidi w:val="0"/>
        <w:adjustRightInd/>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投标人必须按招标文件各章节条款的内容和顺序逐项作出实质性应答。无论招标文件如何表述，评标人欢迎投标人尽可能用数据响应服务要求。所提供的服务要求与所规定要求的任何偏离都必须逐条列入投标文件中的服务偏离表中，任何不按此要求的投标文件将承担被拒绝接受的风险。中标后，投标人在合同谈判中的任何偏离都不得超越此偏离表中已被采购人确认的条款。</w:t>
      </w:r>
    </w:p>
    <w:p w14:paraId="7A99E39C">
      <w:pPr>
        <w:pStyle w:val="2"/>
        <w:pageBreakBefore w:val="0"/>
        <w:kinsoku/>
        <w:wordWrap/>
        <w:overflowPunct/>
        <w:topLinePunct w:val="0"/>
        <w:bidi w:val="0"/>
        <w:adjustRightInd/>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3、投标人应为本项目配备一支有能力的服务团队，人员要求应满足招标文件中规定的各岗位人员最低要求。</w:t>
      </w:r>
    </w:p>
    <w:p w14:paraId="4ABD96ED">
      <w:pPr>
        <w:pStyle w:val="2"/>
        <w:pageBreakBefore w:val="0"/>
        <w:kinsoku/>
        <w:wordWrap/>
        <w:overflowPunct/>
        <w:topLinePunct w:val="0"/>
        <w:bidi w:val="0"/>
        <w:adjustRightInd/>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4、投标人需在投标文件中提供本项目所需要的物料配备清单，内容包含但不限于：物业工具（设备）和办公设备、工装和劳保消耗品。</w:t>
      </w:r>
    </w:p>
    <w:p w14:paraId="4AE4318A">
      <w:pPr>
        <w:pStyle w:val="2"/>
        <w:pageBreakBefore w:val="0"/>
        <w:kinsoku/>
        <w:wordWrap/>
        <w:overflowPunct/>
        <w:topLinePunct w:val="0"/>
        <w:bidi w:val="0"/>
        <w:adjustRightInd/>
        <w:snapToGrid w:val="0"/>
        <w:spacing w:line="500" w:lineRule="exact"/>
        <w:ind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5、投标人需在投标文件中制定针对本项目的相关服务文件、应急预案及相关保障措施等。</w:t>
      </w:r>
    </w:p>
    <w:p w14:paraId="55CCCB6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AAB580"/>
    <w:multiLevelType w:val="singleLevel"/>
    <w:tmpl w:val="BBAAB580"/>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5B38A5"/>
    <w:rsid w:val="34C44C99"/>
    <w:rsid w:val="575B38A5"/>
    <w:rsid w:val="666F77CE"/>
    <w:rsid w:val="686708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qFormat/>
    <w:uiPriority w:val="0"/>
    <w:pPr>
      <w:widowControl w:val="0"/>
      <w:snapToGrid w:val="0"/>
      <w:spacing w:line="300" w:lineRule="auto"/>
      <w:jc w:val="left"/>
    </w:pPr>
    <w:rPr>
      <w:rFonts w:ascii="Calibri" w:hAnsi="Calibri" w:eastAsia="宋体" w:cs="Calibri"/>
      <w:kern w:val="2"/>
      <w:sz w:val="21"/>
      <w:szCs w:val="21"/>
      <w:lang w:val="en-US" w:eastAsia="zh-CN" w:bidi="ar-SA"/>
    </w:rPr>
  </w:style>
  <w:style w:type="table" w:styleId="4">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2026-06-11T01:49:00Z</dcterms:created>
  <dc:creator>东腻</dc:creator>
  <cp:lastModifiedBy>东腻</cp:lastModifiedBy>
  <dcterms:modified xsi:type="dcterms:W3CDTF">2026-06-11T01:49:59Z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9C670179064C4B628BE4FF7B224E8E22_11</vt:lpwstr>
  </property>
</Properties>
</file>