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6708A">
      <w:pPr>
        <w:pStyle w:val="4"/>
        <w:spacing w:line="243" w:lineRule="auto"/>
        <w:rPr>
          <w:lang w:eastAsia="zh-CN"/>
        </w:rPr>
      </w:pPr>
    </w:p>
    <w:p w14:paraId="4A2B5BA1">
      <w:pPr>
        <w:pStyle w:val="4"/>
        <w:spacing w:line="243" w:lineRule="auto"/>
        <w:rPr>
          <w:lang w:eastAsia="zh-CN"/>
        </w:rPr>
      </w:pPr>
    </w:p>
    <w:p w14:paraId="74A50326">
      <w:pPr>
        <w:jc w:val="both"/>
        <w:outlineLvl w:val="0"/>
        <w:rPr>
          <w:rFonts w:hint="eastAsia" w:ascii="仿宋" w:hAnsi="仿宋" w:eastAsia="仿宋" w:cs="仿宋"/>
          <w:b/>
          <w:snapToGrid/>
          <w:kern w:val="1"/>
          <w:sz w:val="52"/>
          <w:szCs w:val="52"/>
          <w:lang w:eastAsia="ar-SA"/>
        </w:rPr>
      </w:pPr>
    </w:p>
    <w:p w14:paraId="01601DBA">
      <w:pPr>
        <w:jc w:val="center"/>
        <w:outlineLvl w:val="0"/>
        <w:rPr>
          <w:rFonts w:hint="eastAsia" w:ascii="方正小标宋简体" w:hAnsi="方正小标宋简体" w:eastAsia="方正小标宋简体" w:cs="方正小标宋简体"/>
          <w:bCs/>
          <w:snapToGrid/>
          <w:kern w:val="1"/>
          <w:sz w:val="52"/>
          <w:szCs w:val="52"/>
          <w:lang w:eastAsia="zh-CN"/>
        </w:rPr>
      </w:pPr>
      <w:r>
        <w:rPr>
          <w:rFonts w:hint="eastAsia" w:ascii="方正小标宋简体" w:hAnsi="方正小标宋简体" w:eastAsia="方正小标宋简体" w:cs="方正小标宋简体"/>
          <w:bCs/>
          <w:snapToGrid/>
          <w:kern w:val="1"/>
          <w:sz w:val="52"/>
          <w:szCs w:val="52"/>
          <w:lang w:eastAsia="zh-CN"/>
        </w:rPr>
        <w:t>铜川市政务云平台物理空间扩容及电子政务外网域名系统建设项目</w:t>
      </w:r>
    </w:p>
    <w:p w14:paraId="004190C5">
      <w:pPr>
        <w:pStyle w:val="3"/>
        <w:rPr>
          <w:rFonts w:hint="eastAsia" w:ascii="仿宋" w:hAnsi="仿宋" w:eastAsia="仿宋" w:cs="仿宋"/>
          <w:b/>
          <w:snapToGrid/>
          <w:kern w:val="1"/>
          <w:sz w:val="44"/>
          <w:szCs w:val="44"/>
          <w:lang w:eastAsia="zh-CN"/>
        </w:rPr>
      </w:pPr>
    </w:p>
    <w:p w14:paraId="1121B415">
      <w:pPr>
        <w:pStyle w:val="3"/>
        <w:rPr>
          <w:rFonts w:hint="eastAsia" w:ascii="仿宋" w:hAnsi="仿宋" w:eastAsia="仿宋" w:cs="仿宋"/>
          <w:b/>
          <w:snapToGrid/>
          <w:kern w:val="1"/>
          <w:sz w:val="44"/>
          <w:szCs w:val="44"/>
          <w:lang w:eastAsia="zh-CN"/>
        </w:rPr>
      </w:pPr>
    </w:p>
    <w:p w14:paraId="7621D745">
      <w:pPr>
        <w:pStyle w:val="3"/>
        <w:jc w:val="center"/>
        <w:rPr>
          <w:rFonts w:hint="eastAsia" w:ascii="仿宋" w:hAnsi="仿宋" w:eastAsia="仿宋" w:cs="仿宋"/>
          <w:b/>
          <w:snapToGrid/>
          <w:kern w:val="1"/>
          <w:sz w:val="44"/>
          <w:szCs w:val="44"/>
          <w:lang w:eastAsia="zh-CN"/>
        </w:rPr>
      </w:pPr>
    </w:p>
    <w:p w14:paraId="60532440">
      <w:pPr>
        <w:spacing w:line="660" w:lineRule="exact"/>
        <w:ind w:firstLine="560" w:firstLineChars="100"/>
        <w:jc w:val="center"/>
        <w:outlineLvl w:val="0"/>
        <w:rPr>
          <w:rFonts w:hint="eastAsia" w:ascii="黑体" w:hAnsi="黑体" w:eastAsia="黑体" w:cs="黑体"/>
          <w:bCs/>
          <w:sz w:val="28"/>
          <w:szCs w:val="28"/>
        </w:rPr>
      </w:pPr>
      <w:r>
        <w:rPr>
          <w:rFonts w:hint="eastAsia" w:ascii="黑体" w:hAnsi="黑体" w:eastAsia="黑体" w:cs="黑体"/>
          <w:bCs/>
          <w:snapToGrid/>
          <w:kern w:val="1"/>
          <w:sz w:val="56"/>
          <w:szCs w:val="56"/>
          <w:lang w:eastAsia="zh-CN"/>
        </w:rPr>
        <w:t>采购及相关服务合同</w:t>
      </w:r>
    </w:p>
    <w:p w14:paraId="608749F1">
      <w:pPr>
        <w:pStyle w:val="4"/>
        <w:spacing w:line="242" w:lineRule="auto"/>
      </w:pPr>
    </w:p>
    <w:p w14:paraId="6C3C0920">
      <w:pPr>
        <w:pStyle w:val="4"/>
        <w:spacing w:line="242" w:lineRule="auto"/>
      </w:pPr>
    </w:p>
    <w:p w14:paraId="45E6C863">
      <w:pPr>
        <w:pStyle w:val="4"/>
      </w:pPr>
    </w:p>
    <w:p w14:paraId="0813C618">
      <w:pPr>
        <w:pStyle w:val="4"/>
      </w:pPr>
    </w:p>
    <w:p w14:paraId="05CE400A">
      <w:pPr>
        <w:pStyle w:val="4"/>
      </w:pPr>
    </w:p>
    <w:p w14:paraId="204545B0">
      <w:pPr>
        <w:pStyle w:val="4"/>
      </w:pPr>
    </w:p>
    <w:p w14:paraId="62E09CC9">
      <w:pPr>
        <w:pStyle w:val="4"/>
      </w:pPr>
    </w:p>
    <w:p w14:paraId="7EA36E09">
      <w:r>
        <w:rPr>
          <w:position w:val="-24"/>
        </w:rPr>
        <w:drawing>
          <wp:inline distT="0" distB="0" distL="114300" distR="114300">
            <wp:extent cx="142240" cy="776605"/>
            <wp:effectExtent l="0" t="0" r="10160" b="444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142240" cy="776605"/>
                    </a:xfrm>
                    <a:prstGeom prst="rect">
                      <a:avLst/>
                    </a:prstGeom>
                    <a:noFill/>
                    <a:ln>
                      <a:noFill/>
                    </a:ln>
                  </pic:spPr>
                </pic:pic>
              </a:graphicData>
            </a:graphic>
          </wp:inline>
        </w:drawing>
      </w:r>
    </w:p>
    <w:p w14:paraId="7FB8DB27">
      <w:pPr>
        <w:pStyle w:val="4"/>
      </w:pPr>
    </w:p>
    <w:p w14:paraId="1043AD02">
      <w:pPr>
        <w:pStyle w:val="4"/>
      </w:pPr>
    </w:p>
    <w:p w14:paraId="702242E4">
      <w:pPr>
        <w:pStyle w:val="4"/>
      </w:pPr>
    </w:p>
    <w:p w14:paraId="7B796DEF">
      <w:pPr>
        <w:pStyle w:val="4"/>
      </w:pPr>
    </w:p>
    <w:p w14:paraId="40BC3106">
      <w:pPr>
        <w:pStyle w:val="4"/>
      </w:pPr>
    </w:p>
    <w:p w14:paraId="3DBC1FE0">
      <w:pPr>
        <w:suppressAutoHyphens/>
        <w:kinsoku/>
        <w:adjustRightInd/>
        <w:snapToGrid/>
        <w:jc w:val="center"/>
        <w:textAlignment w:val="bottom"/>
        <w:rPr>
          <w:rFonts w:hint="eastAsia" w:ascii="仿宋_GB2312" w:hAnsi="仿宋_GB2312" w:eastAsia="仿宋_GB2312" w:cs="仿宋_GB2312"/>
          <w:snapToGrid/>
          <w:kern w:val="1"/>
          <w:sz w:val="40"/>
          <w:szCs w:val="36"/>
          <w:lang w:eastAsia="ar-SA"/>
        </w:rPr>
      </w:pPr>
      <w:r>
        <w:rPr>
          <w:rFonts w:hint="eastAsia" w:ascii="仿宋_GB2312" w:hAnsi="仿宋_GB2312" w:eastAsia="仿宋_GB2312" w:cs="仿宋_GB2312"/>
          <w:snapToGrid/>
          <w:kern w:val="1"/>
          <w:sz w:val="40"/>
          <w:szCs w:val="36"/>
          <w:lang w:eastAsia="ar-SA"/>
        </w:rPr>
        <w:t>202</w:t>
      </w:r>
      <w:r>
        <w:rPr>
          <w:rFonts w:hint="eastAsia" w:ascii="仿宋_GB2312" w:hAnsi="仿宋_GB2312" w:eastAsia="仿宋_GB2312" w:cs="仿宋_GB2312"/>
          <w:snapToGrid/>
          <w:kern w:val="1"/>
          <w:sz w:val="40"/>
          <w:szCs w:val="36"/>
          <w:lang w:eastAsia="zh-CN"/>
        </w:rPr>
        <w:t>6</w:t>
      </w:r>
      <w:r>
        <w:rPr>
          <w:rFonts w:hint="eastAsia" w:ascii="仿宋_GB2312" w:hAnsi="仿宋_GB2312" w:eastAsia="仿宋_GB2312" w:cs="仿宋_GB2312"/>
          <w:snapToGrid/>
          <w:kern w:val="1"/>
          <w:sz w:val="40"/>
          <w:szCs w:val="36"/>
          <w:lang w:eastAsia="ar-SA"/>
        </w:rPr>
        <w:t>年</w:t>
      </w:r>
      <w:r>
        <w:rPr>
          <w:rFonts w:hint="eastAsia" w:ascii="仿宋_GB2312" w:hAnsi="仿宋_GB2312" w:eastAsia="仿宋_GB2312" w:cs="仿宋_GB2312"/>
          <w:snapToGrid/>
          <w:kern w:val="1"/>
          <w:sz w:val="40"/>
          <w:szCs w:val="36"/>
          <w:lang w:eastAsia="zh-CN"/>
        </w:rPr>
        <w:t xml:space="preserve">  </w:t>
      </w:r>
      <w:r>
        <w:rPr>
          <w:rFonts w:hint="eastAsia" w:ascii="仿宋_GB2312" w:hAnsi="仿宋_GB2312" w:eastAsia="仿宋_GB2312" w:cs="仿宋_GB2312"/>
          <w:snapToGrid/>
          <w:kern w:val="1"/>
          <w:sz w:val="40"/>
          <w:szCs w:val="36"/>
          <w:lang w:eastAsia="ar-SA"/>
        </w:rPr>
        <w:t>月</w:t>
      </w:r>
    </w:p>
    <w:p w14:paraId="0F4E5BF8">
      <w:pPr>
        <w:spacing w:line="219" w:lineRule="auto"/>
        <w:rPr>
          <w:rFonts w:hint="eastAsia" w:ascii="宋体" w:hAnsi="宋体" w:eastAsia="宋体" w:cs="宋体"/>
        </w:rPr>
        <w:sectPr>
          <w:headerReference r:id="rId3" w:type="default"/>
          <w:footerReference r:id="rId4" w:type="default"/>
          <w:pgSz w:w="11890" w:h="16820"/>
          <w:pgMar w:top="2098" w:right="1474" w:bottom="1984" w:left="1587" w:header="1050" w:footer="1039" w:gutter="0"/>
          <w:cols w:space="720" w:num="1"/>
        </w:sectPr>
      </w:pPr>
    </w:p>
    <w:p w14:paraId="3D64D396">
      <w:pPr>
        <w:spacing w:line="570" w:lineRule="exact"/>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rPr>
        <w:t>甲方：</w:t>
      </w:r>
    </w:p>
    <w:p w14:paraId="5A44949C">
      <w:pPr>
        <w:spacing w:line="570" w:lineRule="exact"/>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rPr>
        <w:t>法定代表人：</w:t>
      </w:r>
    </w:p>
    <w:p w14:paraId="2B9A2681">
      <w:pPr>
        <w:spacing w:line="570" w:lineRule="exact"/>
        <w:rPr>
          <w:rFonts w:hint="eastAsia" w:ascii="仿宋_GB2312" w:hAnsi="仿宋_GB2312" w:eastAsia="仿宋_GB2312" w:cs="仿宋_GB2312"/>
          <w:lang w:eastAsia="zh-CN"/>
        </w:rPr>
      </w:pPr>
      <w:r>
        <w:rPr>
          <w:rFonts w:hint="eastAsia" w:ascii="仿宋_GB2312" w:hAnsi="仿宋_GB2312" w:eastAsia="仿宋_GB2312" w:cs="仿宋_GB2312"/>
          <w:spacing w:val="7"/>
          <w:sz w:val="32"/>
          <w:szCs w:val="32"/>
          <w:lang w:eastAsia="zh-CN"/>
        </w:rPr>
        <w:t>联系地址：</w:t>
      </w:r>
    </w:p>
    <w:p w14:paraId="53336B53">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联系电话：</w:t>
      </w:r>
    </w:p>
    <w:p w14:paraId="684580A5">
      <w:pPr>
        <w:pStyle w:val="3"/>
        <w:spacing w:after="0" w:line="570" w:lineRule="exact"/>
        <w:rPr>
          <w:rFonts w:hint="eastAsia" w:ascii="仿宋_GB2312" w:hAnsi="仿宋_GB2312" w:eastAsia="仿宋_GB2312" w:cs="仿宋_GB2312"/>
          <w:lang w:eastAsia="zh-CN"/>
        </w:rPr>
      </w:pPr>
    </w:p>
    <w:p w14:paraId="3FA2179F">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w:t>
      </w:r>
    </w:p>
    <w:p w14:paraId="7CA345F0">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法定代表人：</w:t>
      </w:r>
    </w:p>
    <w:p w14:paraId="0B28E2E2">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联系地址：</w:t>
      </w:r>
    </w:p>
    <w:p w14:paraId="428BEA27">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联系电话：</w:t>
      </w:r>
    </w:p>
    <w:p w14:paraId="2901440B">
      <w:pPr>
        <w:outlineLvl w:val="4"/>
        <w:rPr>
          <w:rFonts w:hint="eastAsia" w:ascii="仿宋_GB2312" w:hAnsi="仿宋_GB2312" w:eastAsia="仿宋_GB2312" w:cs="仿宋_GB2312"/>
          <w:spacing w:val="7"/>
          <w:sz w:val="24"/>
          <w:szCs w:val="24"/>
          <w:lang w:eastAsia="zh-CN"/>
        </w:rPr>
      </w:pPr>
    </w:p>
    <w:p w14:paraId="5EAD254C">
      <w:pPr>
        <w:spacing w:line="570" w:lineRule="exact"/>
        <w:ind w:firstLine="668" w:firstLineChars="200"/>
        <w:outlineLvl w:val="4"/>
        <w:rPr>
          <w:lang w:eastAsia="zh-CN"/>
        </w:rPr>
      </w:pPr>
      <w:r>
        <w:rPr>
          <w:rFonts w:hint="eastAsia" w:ascii="仿宋_GB2312" w:hAnsi="仿宋_GB2312" w:eastAsia="仿宋_GB2312" w:cs="仿宋_GB2312"/>
          <w:spacing w:val="7"/>
          <w:sz w:val="32"/>
          <w:szCs w:val="32"/>
          <w:lang w:eastAsia="zh-CN"/>
        </w:rPr>
        <w:t>甲、乙双方本着平等互惠的原则，根据《中华人民共和国民法典》以及相关法律法规的规定签署本合同。</w:t>
      </w:r>
    </w:p>
    <w:p w14:paraId="69620413">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第一条  合同内容</w:t>
      </w:r>
    </w:p>
    <w:p w14:paraId="04FF4781">
      <w:pPr>
        <w:widowControl w:val="0"/>
        <w:overflowPunct w:val="0"/>
        <w:spacing w:line="570" w:lineRule="exact"/>
        <w:ind w:firstLine="668" w:firstLineChars="200"/>
        <w:rPr>
          <w:rFonts w:hint="eastAsia" w:ascii="仿宋_GB2312" w:hAnsi="仿宋_GB2312" w:eastAsia="仿宋_GB2312" w:cs="仿宋_GB2312"/>
          <w:spacing w:val="7"/>
          <w:sz w:val="32"/>
          <w:szCs w:val="32"/>
          <w:lang w:eastAsia="ar-SA"/>
        </w:rPr>
      </w:pPr>
      <w:r>
        <w:rPr>
          <w:rFonts w:hint="eastAsia" w:ascii="仿宋_GB2312" w:hAnsi="仿宋_GB2312" w:eastAsia="仿宋_GB2312" w:cs="仿宋_GB2312"/>
          <w:spacing w:val="7"/>
          <w:sz w:val="32"/>
          <w:szCs w:val="32"/>
          <w:lang w:eastAsia="zh-CN"/>
        </w:rPr>
        <w:t>1.</w:t>
      </w:r>
      <w:r>
        <w:rPr>
          <w:rFonts w:hint="eastAsia" w:ascii="仿宋_GB2312" w:hAnsi="仿宋_GB2312" w:eastAsia="仿宋_GB2312" w:cs="仿宋_GB2312"/>
          <w:spacing w:val="7"/>
          <w:sz w:val="32"/>
          <w:szCs w:val="32"/>
          <w:lang w:eastAsia="ar-SA"/>
        </w:rPr>
        <w:t>甲方向乙方采购用于[铜川市政务云平台物理空间扩容及电子政务外网域名系统建设项目]的设备（在本合同中亦被称为“货物”）和</w:t>
      </w:r>
      <w:r>
        <w:rPr>
          <w:rFonts w:hint="eastAsia" w:ascii="仿宋_GB2312" w:hAnsi="仿宋_GB2312" w:eastAsia="仿宋_GB2312" w:cs="仿宋_GB2312"/>
          <w:spacing w:val="7"/>
          <w:sz w:val="32"/>
          <w:szCs w:val="32"/>
          <w:lang w:eastAsia="zh-CN"/>
        </w:rPr>
        <w:t>相关</w:t>
      </w:r>
      <w:r>
        <w:rPr>
          <w:rFonts w:hint="eastAsia" w:ascii="仿宋_GB2312" w:hAnsi="仿宋_GB2312" w:eastAsia="仿宋_GB2312" w:cs="仿宋_GB2312"/>
          <w:spacing w:val="7"/>
          <w:sz w:val="32"/>
          <w:szCs w:val="32"/>
          <w:lang w:eastAsia="ar-SA"/>
        </w:rPr>
        <w:t>服务。乙方负责所供货物的安装与调试，并保证其服务质量符合约定要求。</w:t>
      </w:r>
    </w:p>
    <w:p w14:paraId="02A765AF">
      <w:pPr>
        <w:widowControl w:val="0"/>
        <w:overflowPunct w:val="0"/>
        <w:spacing w:line="570" w:lineRule="exact"/>
        <w:ind w:firstLine="668" w:firstLineChars="200"/>
        <w:rPr>
          <w:rFonts w:hint="eastAsia"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val="en-US" w:eastAsia="zh-CN"/>
        </w:rPr>
        <w:t>2.</w:t>
      </w:r>
      <w:r>
        <w:rPr>
          <w:rFonts w:hint="eastAsia" w:ascii="仿宋_GB2312" w:hAnsi="仿宋_GB2312" w:eastAsia="仿宋_GB2312" w:cs="仿宋_GB2312"/>
          <w:color w:val="auto"/>
          <w:spacing w:val="7"/>
          <w:sz w:val="32"/>
          <w:szCs w:val="32"/>
          <w:lang w:eastAsia="zh-CN"/>
        </w:rPr>
        <w:t>交货期：自合同签订之日起90个日历天</w:t>
      </w:r>
      <w:r>
        <w:rPr>
          <w:rFonts w:hint="eastAsia" w:ascii="仿宋_GB2312" w:hAnsi="仿宋_GB2312" w:eastAsia="仿宋_GB2312" w:cs="仿宋_GB2312"/>
          <w:color w:val="auto"/>
          <w:spacing w:val="7"/>
          <w:sz w:val="32"/>
          <w:szCs w:val="32"/>
          <w:lang w:val="en-US" w:eastAsia="zh-CN"/>
        </w:rPr>
        <w:t>内完成全部货物供应和安装调试工作并具备验收条件。</w:t>
      </w:r>
    </w:p>
    <w:p w14:paraId="57417793">
      <w:pPr>
        <w:widowControl w:val="0"/>
        <w:overflowPunct w:val="0"/>
        <w:spacing w:line="570" w:lineRule="exact"/>
        <w:ind w:firstLine="668" w:firstLineChars="200"/>
        <w:rPr>
          <w:rFonts w:hint="eastAsia"/>
          <w:color w:val="auto"/>
          <w:lang w:eastAsia="zh-CN"/>
        </w:rPr>
      </w:pPr>
      <w:r>
        <w:rPr>
          <w:rFonts w:hint="eastAsia" w:ascii="仿宋_GB2312" w:hAnsi="仿宋_GB2312" w:eastAsia="仿宋_GB2312" w:cs="仿宋_GB2312"/>
          <w:color w:val="auto"/>
          <w:spacing w:val="7"/>
          <w:sz w:val="32"/>
          <w:szCs w:val="32"/>
          <w:lang w:val="en-US" w:eastAsia="zh-CN"/>
        </w:rPr>
        <w:t>3.</w:t>
      </w:r>
      <w:r>
        <w:rPr>
          <w:rFonts w:hint="eastAsia" w:ascii="仿宋_GB2312" w:hAnsi="仿宋_GB2312" w:eastAsia="仿宋_GB2312" w:cs="仿宋_GB2312"/>
          <w:color w:val="auto"/>
          <w:spacing w:val="7"/>
          <w:sz w:val="32"/>
          <w:szCs w:val="32"/>
          <w:lang w:eastAsia="zh-CN"/>
        </w:rPr>
        <w:t>交货地点：甲方指定地点</w:t>
      </w:r>
    </w:p>
    <w:p w14:paraId="57EF87C4">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第二条  价格及付款</w:t>
      </w:r>
    </w:p>
    <w:p w14:paraId="61E10178">
      <w:pPr>
        <w:widowControl w:val="0"/>
        <w:overflowPunct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w:t>
      </w:r>
      <w:r>
        <w:rPr>
          <w:rFonts w:hint="eastAsia" w:ascii="仿宋_GB2312" w:hAnsi="仿宋_GB2312" w:eastAsia="仿宋_GB2312" w:cs="仿宋_GB2312"/>
          <w:spacing w:val="7"/>
          <w:sz w:val="32"/>
          <w:szCs w:val="32"/>
          <w:lang w:eastAsia="ar-SA"/>
        </w:rPr>
        <w:t>本合同总价</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u w:val="single"/>
          <w:lang w:eastAsia="zh-CN"/>
        </w:rPr>
        <w:t xml:space="preserve">         </w:t>
      </w:r>
      <w:r>
        <w:rPr>
          <w:rFonts w:hint="eastAsia" w:ascii="仿宋_GB2312" w:hAnsi="仿宋_GB2312" w:eastAsia="仿宋_GB2312" w:cs="仿宋_GB2312"/>
          <w:spacing w:val="7"/>
          <w:sz w:val="32"/>
          <w:szCs w:val="32"/>
          <w:lang w:eastAsia="zh-CN"/>
        </w:rPr>
        <w:t>（人民币大写：</w:t>
      </w:r>
      <w:r>
        <w:rPr>
          <w:rFonts w:hint="eastAsia" w:ascii="仿宋_GB2312" w:hAnsi="仿宋_GB2312" w:eastAsia="仿宋_GB2312" w:cs="仿宋_GB2312"/>
          <w:spacing w:val="7"/>
          <w:sz w:val="32"/>
          <w:szCs w:val="32"/>
          <w:u w:val="single"/>
          <w:lang w:eastAsia="zh-CN"/>
        </w:rPr>
        <w:t xml:space="preserve">     </w:t>
      </w:r>
      <w:r>
        <w:rPr>
          <w:rFonts w:hint="eastAsia" w:ascii="仿宋_GB2312" w:hAnsi="仿宋_GB2312" w:eastAsia="仿宋_GB2312" w:cs="仿宋_GB2312"/>
          <w:spacing w:val="7"/>
          <w:sz w:val="32"/>
          <w:szCs w:val="32"/>
          <w:lang w:eastAsia="zh-CN"/>
        </w:rPr>
        <w:t>）。</w:t>
      </w:r>
    </w:p>
    <w:p w14:paraId="1C16A43E">
      <w:pPr>
        <w:widowControl w:val="0"/>
        <w:overflowPunct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本合同总价已涵盖乙方履行本合同相关的一切成本、报酬及税费，甲方无需支付任何未在合同中明确约定的额外费用。</w:t>
      </w:r>
    </w:p>
    <w:p w14:paraId="01B74AFC">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（1）预付款，合同正式签订后，乙方提供合法有效等额增值税发票，达到付款条件起15个工作日内，支付合同总金额的40%。</w:t>
      </w:r>
    </w:p>
    <w:p w14:paraId="4BFE38E1">
      <w:pPr>
        <w:widowControl w:val="0"/>
        <w:spacing w:line="570" w:lineRule="exact"/>
        <w:ind w:firstLine="668" w:firstLineChars="200"/>
        <w:rPr>
          <w:rFonts w:hint="eastAsia" w:ascii="仿宋_GB2312" w:hAnsi="仿宋_GB2312" w:eastAsia="仿宋_GB2312" w:cs="仿宋_GB2312"/>
          <w:snapToGrid w:val="0"/>
          <w:color w:val="FF0000"/>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（2）进度款，产品全部到货，具备安装条件，乙方提供合法有效等额增值税发票，达到付款条件起15个工作日内，支付合同总金额的30%。</w:t>
      </w:r>
    </w:p>
    <w:p w14:paraId="6D50CB89">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（3）进度款，安装部署完成、系统正常运行、功能满足采购需求，双方签署初步验收报告，乙方提供合法有效等额增值税发票，达到付款条件起15个工作日内，支付合同总金额的20%。</w:t>
      </w:r>
    </w:p>
    <w:p w14:paraId="3778DC04">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（4）进度款，系统、设备连续稳定运行60天无故障，双方签署最终验收报告，乙方提供合法有效等额增值税发票，达到付款条件起15个工作日内，支付合同总金额的10%。</w:t>
      </w:r>
    </w:p>
    <w:p w14:paraId="239A9F7D">
      <w:pPr>
        <w:widowControl w:val="0"/>
        <w:spacing w:line="570" w:lineRule="exact"/>
        <w:ind w:firstLine="668" w:firstLineChars="200"/>
        <w:rPr>
          <w:rFonts w:hint="eastAsia" w:ascii="仿宋_GB2312" w:hAnsi="仿宋_GB2312" w:eastAsia="仿宋_GB2312" w:cs="仿宋_GB2312"/>
          <w:snapToGrid w:val="0"/>
          <w:color w:val="000000"/>
          <w:spacing w:val="7"/>
          <w:sz w:val="32"/>
          <w:szCs w:val="32"/>
          <w:lang w:val="en-US" w:eastAsia="zh-CN" w:bidi="ar-SA"/>
        </w:rPr>
      </w:pPr>
      <w:r>
        <w:rPr>
          <w:rFonts w:hint="eastAsia" w:ascii="仿宋_GB2312" w:hAnsi="仿宋_GB2312" w:eastAsia="仿宋_GB2312" w:cs="仿宋_GB2312"/>
          <w:snapToGrid w:val="0"/>
          <w:color w:val="000000"/>
          <w:spacing w:val="7"/>
          <w:sz w:val="32"/>
          <w:szCs w:val="32"/>
          <w:lang w:val="en-US" w:eastAsia="zh-CN" w:bidi="ar-SA"/>
        </w:rPr>
        <w:t>2.甲方支付款项前，乙方应当首先向甲方开具与本次付款金额相等的合法税票。否则，甲方的付款义务不发生，且不得因此延误合同的正常履行。</w:t>
      </w:r>
    </w:p>
    <w:p w14:paraId="2F1425D7">
      <w:pPr>
        <w:widowControl w:val="0"/>
        <w:spacing w:line="570" w:lineRule="exact"/>
        <w:ind w:firstLine="668" w:firstLineChars="200"/>
        <w:rPr>
          <w:rFonts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eastAsia="zh-CN"/>
        </w:rPr>
        <w:t>3.付款方式：银行转账。</w:t>
      </w:r>
    </w:p>
    <w:p w14:paraId="6A84D960">
      <w:pPr>
        <w:widowControl w:val="0"/>
        <w:spacing w:line="570" w:lineRule="exact"/>
        <w:ind w:firstLine="668" w:firstLineChars="200"/>
        <w:rPr>
          <w:rFonts w:hint="eastAsia"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val="en-US" w:eastAsia="zh-CN"/>
        </w:rPr>
        <w:t>4.</w:t>
      </w:r>
      <w:r>
        <w:rPr>
          <w:rFonts w:hint="eastAsia" w:ascii="仿宋_GB2312" w:hAnsi="仿宋_GB2312" w:eastAsia="仿宋_GB2312" w:cs="仿宋_GB2312"/>
          <w:color w:val="auto"/>
          <w:spacing w:val="7"/>
          <w:sz w:val="32"/>
          <w:szCs w:val="32"/>
          <w:lang w:eastAsia="zh-CN"/>
        </w:rPr>
        <w:t>因本项目为政府采购项目，若因相关政策或财务程序等影响，导致甲方不能及时付款，乙方应予以合理宽限，甲方不构成违约。</w:t>
      </w:r>
    </w:p>
    <w:p w14:paraId="102401C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5.乙方收款信息：</w:t>
      </w:r>
    </w:p>
    <w:p w14:paraId="38B66409">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乙方账户名：</w:t>
      </w:r>
    </w:p>
    <w:p w14:paraId="1C66743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乙方开户行：</w:t>
      </w:r>
    </w:p>
    <w:p w14:paraId="6140792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账号：</w:t>
      </w:r>
    </w:p>
    <w:p w14:paraId="0F5CEE7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地址及电话：</w:t>
      </w:r>
    </w:p>
    <w:p w14:paraId="05382CC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6.甲方开票信息：</w:t>
      </w:r>
    </w:p>
    <w:p w14:paraId="496D521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单位名称：</w:t>
      </w:r>
    </w:p>
    <w:p w14:paraId="5173212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纳税识别号：</w:t>
      </w:r>
    </w:p>
    <w:p w14:paraId="09F71F8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开户行名称：</w:t>
      </w:r>
    </w:p>
    <w:p w14:paraId="2C2AC39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银行账号：</w:t>
      </w:r>
    </w:p>
    <w:p w14:paraId="52D9AA20">
      <w:pPr>
        <w:spacing w:line="570" w:lineRule="exact"/>
        <w:ind w:firstLine="668" w:firstLineChars="200"/>
        <w:rPr>
          <w:rFonts w:hint="eastAsia" w:ascii="黑体" w:hAnsi="黑体" w:eastAsia="黑体" w:cs="黑体"/>
          <w:spacing w:val="26"/>
          <w:sz w:val="32"/>
          <w:szCs w:val="32"/>
          <w:lang w:eastAsia="zh-CN"/>
        </w:rPr>
      </w:pPr>
      <w:r>
        <w:rPr>
          <w:rFonts w:hint="eastAsia" w:ascii="仿宋_GB2312" w:hAnsi="仿宋_GB2312" w:eastAsia="仿宋_GB2312" w:cs="仿宋_GB2312"/>
          <w:spacing w:val="7"/>
          <w:sz w:val="32"/>
          <w:szCs w:val="32"/>
          <w:lang w:eastAsia="zh-CN"/>
        </w:rPr>
        <w:t>地址及电话：</w:t>
      </w:r>
    </w:p>
    <w:p w14:paraId="3C972FAF">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第三条  双方的权利和义务</w:t>
      </w:r>
    </w:p>
    <w:p w14:paraId="3BA3D8C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3.甲方的权利与义务</w:t>
      </w:r>
    </w:p>
    <w:p w14:paraId="505391A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（1）甲方有权依据合同约定验收货物，对不符合约定的货物，乙方须承担退换、赔偿等责任。</w:t>
      </w:r>
    </w:p>
    <w:p w14:paraId="7268120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（2）甲方有权要求乙方报备履行进度，并进行必要的现场监督。</w:t>
      </w:r>
    </w:p>
    <w:p w14:paraId="297758A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（3）甲方应及时响应并处理乙方在合同履行过程中提出的合理请求，并提供必要的配合。</w:t>
      </w:r>
    </w:p>
    <w:p w14:paraId="73D0443B">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（4）甲方有义务按合同约定支付项目费用。</w:t>
      </w:r>
    </w:p>
    <w:p w14:paraId="171AE79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2.乙方的权利与义务</w:t>
      </w:r>
    </w:p>
    <w:p w14:paraId="3AD4DC26">
      <w:pPr>
        <w:widowControl w:val="0"/>
        <w:spacing w:line="570" w:lineRule="exact"/>
        <w:ind w:firstLine="668" w:firstLineChars="200"/>
        <w:rPr>
          <w:rFonts w:hint="eastAsia" w:ascii="仿宋_GB2312" w:hAnsi="仿宋_GB2312" w:eastAsia="仿宋_GB2312" w:cs="仿宋_GB2312"/>
          <w:color w:val="FF0000"/>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（1）乙方须严格按照合同、招投标文件、技术标准提供全新合格设备，完成安装、调试、试运行，保证系统稳定运行并提供质保；</w:t>
      </w:r>
      <w:r>
        <w:rPr>
          <w:rFonts w:hint="eastAsia" w:ascii="仿宋_GB2312" w:hAnsi="仿宋_GB2312" w:eastAsia="仿宋_GB2312" w:cs="仿宋_GB2312"/>
          <w:b/>
          <w:bCs/>
          <w:spacing w:val="7"/>
          <w:sz w:val="32"/>
          <w:szCs w:val="32"/>
          <w:highlight w:val="none"/>
          <w:lang w:eastAsia="zh-CN"/>
        </w:rPr>
        <w:t>本项目严禁转包、违法分包或变相转包分包。</w:t>
      </w:r>
    </w:p>
    <w:p w14:paraId="00984E91">
      <w:pPr>
        <w:widowControl w:val="0"/>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（2）按照本合同约定的时间、地点、数量、质量标准及包装方式交付货物，并完成安装调试，随货提供产品合格证、出厂检测报告、使用说明书、技术文档等全套资料。</w:t>
      </w:r>
    </w:p>
    <w:p w14:paraId="7933EAC3">
      <w:pPr>
        <w:widowControl w:val="0"/>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（3）质保期内设备自身故障、系统问题，乙方</w:t>
      </w:r>
      <w:r>
        <w:rPr>
          <w:rFonts w:hint="eastAsia" w:ascii="仿宋_GB2312" w:hAnsi="仿宋_GB2312" w:eastAsia="仿宋_GB2312" w:cs="仿宋_GB2312"/>
          <w:b/>
          <w:bCs/>
          <w:spacing w:val="7"/>
          <w:sz w:val="32"/>
          <w:szCs w:val="32"/>
          <w:highlight w:val="none"/>
          <w:lang w:eastAsia="zh-CN"/>
        </w:rPr>
        <w:t>免费维修、更换配件及上门服务</w:t>
      </w:r>
      <w:r>
        <w:rPr>
          <w:rFonts w:hint="eastAsia" w:ascii="仿宋_GB2312" w:hAnsi="仿宋_GB2312" w:eastAsia="仿宋_GB2312" w:cs="仿宋_GB2312"/>
          <w:spacing w:val="7"/>
          <w:sz w:val="32"/>
          <w:szCs w:val="32"/>
          <w:highlight w:val="none"/>
          <w:lang w:eastAsia="zh-CN"/>
        </w:rPr>
        <w:t>；接到故障报修后，</w:t>
      </w:r>
      <w:r>
        <w:rPr>
          <w:rFonts w:hint="eastAsia" w:ascii="仿宋_GB2312" w:hAnsi="仿宋_GB2312" w:eastAsia="仿宋_GB2312" w:cs="仿宋_GB2312"/>
          <w:b/>
          <w:bCs/>
          <w:spacing w:val="7"/>
          <w:sz w:val="32"/>
          <w:szCs w:val="32"/>
          <w:highlight w:val="none"/>
          <w:lang w:eastAsia="zh-CN"/>
        </w:rPr>
        <w:t>1小时内响应，4小时内到达现场处置</w:t>
      </w:r>
      <w:r>
        <w:rPr>
          <w:rFonts w:hint="eastAsia" w:ascii="仿宋_GB2312" w:hAnsi="仿宋_GB2312" w:eastAsia="仿宋_GB2312" w:cs="仿宋_GB2312"/>
          <w:b w:val="0"/>
          <w:bCs w:val="0"/>
          <w:spacing w:val="7"/>
          <w:sz w:val="32"/>
          <w:szCs w:val="32"/>
          <w:highlight w:val="none"/>
          <w:lang w:eastAsia="zh-CN"/>
        </w:rPr>
        <w:t>。</w:t>
      </w:r>
      <w:r>
        <w:rPr>
          <w:rFonts w:hint="eastAsia" w:ascii="仿宋_GB2312" w:hAnsi="仿宋_GB2312" w:eastAsia="仿宋_GB2312" w:cs="仿宋_GB2312"/>
          <w:spacing w:val="7"/>
          <w:sz w:val="32"/>
          <w:szCs w:val="32"/>
          <w:highlight w:val="none"/>
          <w:lang w:eastAsia="zh-CN"/>
        </w:rPr>
        <w:t>超出质保期且需要更换配件的，乙方按市场最低价提供合格配件，免费安装维修。</w:t>
      </w:r>
    </w:p>
    <w:p w14:paraId="0040C709">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黑体" w:hAnsi="黑体" w:eastAsia="黑体"/>
          <w:color w:val="EE0000"/>
          <w:sz w:val="28"/>
          <w:szCs w:val="28"/>
          <w:highlight w:val="none"/>
          <w:lang w:eastAsia="zh-CN"/>
        </w:rPr>
      </w:pPr>
      <w:r>
        <w:rPr>
          <w:rFonts w:hint="eastAsia" w:ascii="仿宋_GB2312" w:hAnsi="仿宋_GB2312" w:eastAsia="仿宋_GB2312" w:cs="仿宋_GB2312"/>
          <w:snapToGrid w:val="0"/>
          <w:color w:val="000000"/>
          <w:spacing w:val="7"/>
          <w:sz w:val="32"/>
          <w:szCs w:val="32"/>
          <w:highlight w:val="none"/>
          <w:lang w:val="en-US" w:eastAsia="zh-CN" w:bidi="ar-SA"/>
        </w:rPr>
        <w:t>（4）乙方主动配合甲方检查、验收，出现重大故障、安全问题第一时间书面告知甲方并及时处置。</w:t>
      </w:r>
    </w:p>
    <w:p w14:paraId="7FBE79F8">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napToGrid w:val="0"/>
          <w:color w:val="000000"/>
          <w:spacing w:val="7"/>
          <w:sz w:val="32"/>
          <w:szCs w:val="32"/>
          <w:highlight w:val="none"/>
          <w:lang w:val="en-US" w:eastAsia="zh-CN" w:bidi="ar-SA"/>
        </w:rPr>
      </w:pPr>
      <w:r>
        <w:rPr>
          <w:rFonts w:hint="eastAsia" w:ascii="仿宋_GB2312" w:hAnsi="仿宋_GB2312" w:eastAsia="仿宋_GB2312" w:cs="仿宋_GB2312"/>
          <w:snapToGrid w:val="0"/>
          <w:color w:val="000000"/>
          <w:spacing w:val="7"/>
          <w:sz w:val="32"/>
          <w:szCs w:val="32"/>
          <w:highlight w:val="none"/>
          <w:lang w:val="en-US" w:eastAsia="zh-CN" w:bidi="ar-SA"/>
        </w:rPr>
        <w:t>（5）乙方作业人员严格遵守甲方机房管理、网络安全、保密管理规定，严禁泄露政务网络数据、涉密信息，严禁违规篡改甲方现有网络、域名、云平台配置。</w:t>
      </w:r>
    </w:p>
    <w:p w14:paraId="339E11FC">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第四条  交付与验收</w:t>
      </w:r>
    </w:p>
    <w:p w14:paraId="71563EB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1.乙方保证其提供的所有货物均为全新、性能良好，并保证货物及其相关的技术文件、许可证明和服务均无任何权利或质量瑕疵，完全符合本合同约定及中国法律法规与产业标准。</w:t>
      </w:r>
    </w:p>
    <w:p w14:paraId="6BFCB7DC">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2.甲方有权检验/检测货物，以确认货物是否符合合同规格的要求，并且不承担额外的费用。</w:t>
      </w:r>
    </w:p>
    <w:p w14:paraId="1166167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3.货物运抵指定地点后，甲乙双方应共同对货物的外观、数量、规格进行清点。</w:t>
      </w:r>
    </w:p>
    <w:p w14:paraId="5D28CA1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4.乙方应在甲方提出后3日内对不合格货物进行补足或调换，直至全部通过验收。</w:t>
      </w:r>
    </w:p>
    <w:p w14:paraId="4F1FB7CD">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5.</w:t>
      </w:r>
      <w:r>
        <w:rPr>
          <w:rFonts w:hint="eastAsia" w:ascii="仿宋_GB2312" w:hAnsi="仿宋_GB2312" w:eastAsia="仿宋_GB2312" w:cs="仿宋_GB2312"/>
          <w:color w:val="auto"/>
          <w:spacing w:val="7"/>
          <w:sz w:val="32"/>
          <w:szCs w:val="32"/>
          <w:highlight w:val="none"/>
          <w:lang w:eastAsia="zh-CN"/>
        </w:rPr>
        <w:t>乙方应当在设备送达后即刻安装调试。</w:t>
      </w:r>
      <w:r>
        <w:rPr>
          <w:rFonts w:hint="eastAsia" w:ascii="仿宋_GB2312" w:hAnsi="仿宋_GB2312" w:eastAsia="仿宋_GB2312" w:cs="仿宋_GB2312"/>
          <w:spacing w:val="7"/>
          <w:sz w:val="32"/>
          <w:szCs w:val="32"/>
          <w:highlight w:val="none"/>
          <w:lang w:eastAsia="zh-CN"/>
        </w:rPr>
        <w:t>安装调试完成后10日内由双方组织初步验收，验收合格的，出具《初步验收报告》；验收不合格的，乙方须按甲方要求3个工作日内完成整改，重新验收。</w:t>
      </w:r>
    </w:p>
    <w:p w14:paraId="1901310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6.初步验收合格后进入最终验收期，初验合格后</w:t>
      </w:r>
      <w:r>
        <w:rPr>
          <w:rFonts w:hint="eastAsia" w:ascii="仿宋_GB2312" w:hAnsi="仿宋_GB2312" w:eastAsia="仿宋_GB2312" w:cs="仿宋_GB2312"/>
          <w:color w:val="auto"/>
          <w:spacing w:val="7"/>
          <w:sz w:val="32"/>
          <w:szCs w:val="32"/>
          <w:highlight w:val="none"/>
          <w:lang w:eastAsia="zh-CN"/>
        </w:rPr>
        <w:t>系统、设备连续稳定运行60天无故障视为</w:t>
      </w:r>
      <w:r>
        <w:rPr>
          <w:rFonts w:hint="eastAsia" w:ascii="仿宋_GB2312" w:hAnsi="仿宋_GB2312" w:eastAsia="仿宋_GB2312" w:cs="仿宋_GB2312"/>
          <w:spacing w:val="7"/>
          <w:sz w:val="32"/>
          <w:szCs w:val="32"/>
          <w:highlight w:val="none"/>
          <w:lang w:eastAsia="zh-CN"/>
        </w:rPr>
        <w:t>最终验收合格，双方签署《最终验收报告》;出现故障重的，自故障排除之日起重新进行最终验收。</w:t>
      </w:r>
    </w:p>
    <w:p w14:paraId="7D685447">
      <w:pPr>
        <w:spacing w:line="570" w:lineRule="exact"/>
        <w:ind w:firstLine="668" w:firstLineChars="200"/>
        <w:rPr>
          <w:rFonts w:hint="eastAsia" w:eastAsia="宋体"/>
          <w:highlight w:val="none"/>
          <w:lang w:eastAsia="zh-CN"/>
        </w:rPr>
      </w:pPr>
      <w:r>
        <w:rPr>
          <w:rFonts w:hint="eastAsia" w:ascii="仿宋_GB2312" w:hAnsi="仿宋_GB2312" w:eastAsia="仿宋_GB2312" w:cs="仿宋_GB2312"/>
          <w:spacing w:val="7"/>
          <w:sz w:val="32"/>
          <w:szCs w:val="32"/>
          <w:highlight w:val="none"/>
          <w:lang w:eastAsia="zh-CN"/>
        </w:rPr>
        <w:t>7.乙方经两次整改后仍无法达到验收标准的，甲方有权解除合同、退回货物，并要求乙方承担全部损失。乙方应在退货情形出现后5日内将相关物品运走，期满未运走的，视为废弃的工业垃圾，甲方可以酌情处置。</w:t>
      </w:r>
    </w:p>
    <w:p w14:paraId="4E609A04">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第五条  质保</w:t>
      </w:r>
    </w:p>
    <w:p w14:paraId="0F870F01">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color w:val="auto"/>
          <w:spacing w:val="7"/>
          <w:sz w:val="32"/>
          <w:szCs w:val="32"/>
          <w:highlight w:val="none"/>
          <w:lang w:eastAsia="zh-CN"/>
        </w:rPr>
        <w:t>乙方所提供设备的质保期自最终验收合格之日起计算，具体期限以本合同附件清单载明的质保期为准。</w:t>
      </w:r>
      <w:r>
        <w:rPr>
          <w:rFonts w:hint="eastAsia" w:ascii="仿宋_GB2312" w:hAnsi="仿宋_GB2312" w:eastAsia="仿宋_GB2312" w:cs="仿宋_GB2312"/>
          <w:spacing w:val="7"/>
          <w:sz w:val="32"/>
          <w:szCs w:val="32"/>
          <w:highlight w:val="none"/>
          <w:lang w:eastAsia="zh-CN"/>
        </w:rPr>
        <w:t>质保期内出现问题，乙方</w:t>
      </w:r>
      <w:r>
        <w:rPr>
          <w:rFonts w:hint="eastAsia" w:ascii="仿宋_GB2312" w:hAnsi="仿宋_GB2312" w:eastAsia="仿宋_GB2312" w:cs="仿宋_GB2312"/>
          <w:b/>
          <w:bCs/>
          <w:spacing w:val="7"/>
          <w:sz w:val="32"/>
          <w:szCs w:val="32"/>
          <w:highlight w:val="none"/>
          <w:lang w:eastAsia="zh-CN"/>
        </w:rPr>
        <w:t>免费维修、更换配件及上门服务</w:t>
      </w:r>
      <w:r>
        <w:rPr>
          <w:rFonts w:hint="eastAsia" w:ascii="仿宋_GB2312" w:hAnsi="仿宋_GB2312" w:eastAsia="仿宋_GB2312" w:cs="仿宋_GB2312"/>
          <w:spacing w:val="7"/>
          <w:sz w:val="32"/>
          <w:szCs w:val="32"/>
          <w:highlight w:val="none"/>
          <w:lang w:eastAsia="zh-CN"/>
        </w:rPr>
        <w:t>；接到故障报修后，</w:t>
      </w:r>
      <w:r>
        <w:rPr>
          <w:rFonts w:hint="eastAsia" w:ascii="仿宋_GB2312" w:hAnsi="仿宋_GB2312" w:eastAsia="仿宋_GB2312" w:cs="仿宋_GB2312"/>
          <w:b/>
          <w:bCs/>
          <w:spacing w:val="7"/>
          <w:sz w:val="32"/>
          <w:szCs w:val="32"/>
          <w:highlight w:val="none"/>
          <w:lang w:eastAsia="zh-CN"/>
        </w:rPr>
        <w:t>1小时内响应，4小时内到达现场处置</w:t>
      </w:r>
      <w:r>
        <w:rPr>
          <w:rFonts w:hint="eastAsia" w:ascii="仿宋_GB2312" w:hAnsi="仿宋_GB2312" w:eastAsia="仿宋_GB2312" w:cs="仿宋_GB2312"/>
          <w:b w:val="0"/>
          <w:bCs w:val="0"/>
          <w:spacing w:val="7"/>
          <w:sz w:val="32"/>
          <w:szCs w:val="32"/>
          <w:highlight w:val="none"/>
          <w:lang w:eastAsia="zh-CN"/>
        </w:rPr>
        <w:t>。</w:t>
      </w:r>
      <w:r>
        <w:rPr>
          <w:rFonts w:hint="eastAsia" w:ascii="仿宋_GB2312" w:hAnsi="仿宋_GB2312" w:eastAsia="仿宋_GB2312" w:cs="仿宋_GB2312"/>
          <w:spacing w:val="7"/>
          <w:sz w:val="32"/>
          <w:szCs w:val="32"/>
          <w:highlight w:val="none"/>
          <w:lang w:eastAsia="zh-CN"/>
        </w:rPr>
        <w:t>逾期，甲方客户直接委托第三方处理，相关费用由乙方承担。</w:t>
      </w:r>
      <w:r>
        <w:rPr>
          <w:rFonts w:hint="eastAsia" w:ascii="仿宋_GB2312" w:hAnsi="仿宋_GB2312" w:eastAsia="仿宋_GB2312" w:cs="仿宋_GB2312"/>
          <w:spacing w:val="7"/>
          <w:sz w:val="32"/>
          <w:szCs w:val="32"/>
          <w:highlight w:val="none"/>
          <w:lang w:eastAsia="zh-CN"/>
        </w:rPr>
        <w:tab/>
      </w:r>
    </w:p>
    <w:p w14:paraId="0A8B8872">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第六条</w:t>
      </w:r>
      <w:r>
        <w:rPr>
          <w:rFonts w:hint="eastAsia" w:ascii="黑体" w:hAnsi="黑体" w:eastAsia="黑体" w:cs="黑体"/>
          <w:color w:val="auto"/>
          <w:spacing w:val="26"/>
          <w:sz w:val="32"/>
          <w:szCs w:val="32"/>
          <w:highlight w:val="none"/>
          <w:lang w:val="en-US" w:eastAsia="zh-CN"/>
        </w:rPr>
        <w:t xml:space="preserve">  </w:t>
      </w:r>
      <w:r>
        <w:rPr>
          <w:rFonts w:hint="eastAsia" w:ascii="黑体" w:hAnsi="黑体" w:eastAsia="黑体" w:cs="黑体"/>
          <w:color w:val="auto"/>
          <w:spacing w:val="26"/>
          <w:sz w:val="32"/>
          <w:szCs w:val="32"/>
          <w:highlight w:val="none"/>
          <w:lang w:eastAsia="zh-CN"/>
        </w:rPr>
        <w:t xml:space="preserve">质量 </w:t>
      </w:r>
    </w:p>
    <w:p w14:paraId="5447EB57">
      <w:pPr>
        <w:spacing w:line="570" w:lineRule="exact"/>
        <w:ind w:firstLine="668" w:firstLineChars="200"/>
        <w:rPr>
          <w:rFonts w:hint="eastAsia" w:ascii="仿宋_GB2312" w:hAnsi="仿宋_GB2312" w:eastAsia="仿宋_GB2312" w:cs="仿宋_GB2312"/>
          <w:color w:val="FF0000"/>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 xml:space="preserve">乙方应当保证所供货物的来源渠道正常，产品是全新的、未使用过的，且完全符合合同规定的质量、规格、技术指标等要求，并对由于产品设计、工艺或材料的缺陷而产生的质量问题负责。 </w:t>
      </w:r>
    </w:p>
    <w:p w14:paraId="69256129">
      <w:pPr>
        <w:pStyle w:val="2"/>
        <w:keepNext w:val="0"/>
        <w:keepLines w:val="0"/>
        <w:pageBreakBefore w:val="0"/>
        <w:widowControl w:val="0"/>
        <w:numPr>
          <w:ilvl w:val="0"/>
          <w:numId w:val="0"/>
        </w:numPr>
        <w:kinsoku/>
        <w:wordWrap/>
        <w:overflowPunct/>
        <w:topLinePunct w:val="0"/>
        <w:autoSpaceDE/>
        <w:autoSpaceDN/>
        <w:bidi w:val="0"/>
        <w:adjustRightInd/>
        <w:snapToGrid/>
        <w:ind w:firstLine="744" w:firstLineChars="200"/>
        <w:textAlignment w:val="auto"/>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val="en-US" w:eastAsia="zh-CN"/>
        </w:rPr>
        <w:t xml:space="preserve">第七条  </w:t>
      </w:r>
      <w:r>
        <w:rPr>
          <w:rFonts w:hint="eastAsia" w:ascii="黑体" w:hAnsi="黑体" w:eastAsia="黑体" w:cs="黑体"/>
          <w:color w:val="auto"/>
          <w:spacing w:val="26"/>
          <w:sz w:val="32"/>
          <w:szCs w:val="32"/>
          <w:highlight w:val="none"/>
          <w:lang w:eastAsia="zh-CN"/>
        </w:rPr>
        <w:t xml:space="preserve">运输要求 </w:t>
      </w:r>
    </w:p>
    <w:p w14:paraId="4BED7495">
      <w:pPr>
        <w:spacing w:line="570" w:lineRule="exact"/>
        <w:ind w:firstLine="668" w:firstLineChars="200"/>
        <w:rPr>
          <w:rFonts w:hint="eastAsia" w:ascii="仿宋_GB2312" w:hAnsi="仿宋_GB2312" w:eastAsia="仿宋_GB2312" w:cs="仿宋_GB2312"/>
          <w:color w:val="auto"/>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 xml:space="preserve">运输及相关费用全由乙方承担。 </w:t>
      </w:r>
    </w:p>
    <w:p w14:paraId="54E74857">
      <w:pPr>
        <w:pStyle w:val="2"/>
        <w:keepNext w:val="0"/>
        <w:keepLines w:val="0"/>
        <w:pageBreakBefore w:val="0"/>
        <w:widowControl w:val="0"/>
        <w:numPr>
          <w:ilvl w:val="0"/>
          <w:numId w:val="0"/>
        </w:numPr>
        <w:kinsoku/>
        <w:wordWrap/>
        <w:overflowPunct/>
        <w:topLinePunct w:val="0"/>
        <w:autoSpaceDE/>
        <w:autoSpaceDN/>
        <w:bidi w:val="0"/>
        <w:adjustRightInd/>
        <w:snapToGrid/>
        <w:ind w:firstLine="744" w:firstLineChars="200"/>
        <w:textAlignment w:val="auto"/>
        <w:rPr>
          <w:rFonts w:hint="eastAsia" w:ascii="黑体" w:hAnsi="黑体" w:eastAsia="黑体" w:cs="黑体"/>
          <w:color w:val="auto"/>
          <w:spacing w:val="26"/>
          <w:sz w:val="32"/>
          <w:szCs w:val="32"/>
          <w:highlight w:val="none"/>
          <w:lang w:val="en-US" w:eastAsia="zh-CN"/>
        </w:rPr>
      </w:pPr>
      <w:r>
        <w:rPr>
          <w:rFonts w:hint="eastAsia" w:ascii="黑体" w:hAnsi="黑体" w:eastAsia="黑体" w:cs="黑体"/>
          <w:color w:val="auto"/>
          <w:spacing w:val="26"/>
          <w:sz w:val="32"/>
          <w:szCs w:val="32"/>
          <w:highlight w:val="none"/>
          <w:lang w:val="en-US" w:eastAsia="zh-CN"/>
        </w:rPr>
        <w:t xml:space="preserve">第八条  知识产权 </w:t>
      </w:r>
    </w:p>
    <w:p w14:paraId="0580A0DF">
      <w:pPr>
        <w:spacing w:line="570" w:lineRule="exact"/>
        <w:ind w:firstLine="668" w:firstLineChars="200"/>
        <w:rPr>
          <w:rFonts w:hint="eastAsia" w:ascii="仿宋_GB2312" w:hAnsi="仿宋_GB2312" w:eastAsia="仿宋_GB2312" w:cs="仿宋_GB2312"/>
          <w:color w:val="auto"/>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乙方保证所投产品及交付成果知识产权合法有效，不侵犯任何第三方权利；本项目交付成果知识产权归采购人所有。</w:t>
      </w:r>
    </w:p>
    <w:p w14:paraId="322A0F66">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第九条</w:t>
      </w:r>
      <w:r>
        <w:rPr>
          <w:rFonts w:hint="eastAsia" w:ascii="黑体" w:hAnsi="黑体" w:eastAsia="黑体" w:cs="黑体"/>
          <w:color w:val="auto"/>
          <w:spacing w:val="26"/>
          <w:sz w:val="32"/>
          <w:szCs w:val="32"/>
          <w:highlight w:val="none"/>
          <w:lang w:val="en-US" w:eastAsia="zh-CN"/>
        </w:rPr>
        <w:t xml:space="preserve">  </w:t>
      </w:r>
      <w:r>
        <w:rPr>
          <w:rFonts w:hint="eastAsia" w:ascii="黑体" w:hAnsi="黑体" w:eastAsia="黑体" w:cs="黑体"/>
          <w:color w:val="auto"/>
          <w:spacing w:val="26"/>
          <w:sz w:val="32"/>
          <w:szCs w:val="32"/>
          <w:highlight w:val="none"/>
          <w:lang w:eastAsia="zh-CN"/>
        </w:rPr>
        <w:t>违约责任</w:t>
      </w:r>
    </w:p>
    <w:p w14:paraId="0380B067">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1.本合同生效后，任何一方不履行或不完全履行本合同约定义务的，即构成违约，守约方有权要求违约方按照实际损失承担违约责任。</w:t>
      </w:r>
    </w:p>
    <w:p w14:paraId="4296E85C">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2.因甲方原因导致变更、中止或者终止合同约定、未按合同约定支付价款导致乙方遭受的直接损失，乙方可向甲方申请予以赔偿有受到的损失。</w:t>
      </w:r>
    </w:p>
    <w:p w14:paraId="19891EA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3.甲方未按合同约定支付货款的，应按全国银行间同业拆借中心公布的同期一年其贷款市场报价利率向乙方支付逾期付款利息。</w:t>
      </w:r>
    </w:p>
    <w:p w14:paraId="18031146">
      <w:pPr>
        <w:spacing w:line="570" w:lineRule="exact"/>
        <w:ind w:firstLine="668" w:firstLineChars="200"/>
        <w:rPr>
          <w:rFonts w:hint="eastAsia" w:ascii="黑体" w:hAnsi="黑体" w:eastAsia="黑体" w:cs="黑体"/>
          <w:spacing w:val="26"/>
          <w:sz w:val="32"/>
          <w:szCs w:val="32"/>
          <w:highlight w:val="yellow"/>
          <w:lang w:eastAsia="zh-CN"/>
        </w:rPr>
      </w:pPr>
      <w:r>
        <w:rPr>
          <w:rFonts w:hint="eastAsia" w:ascii="仿宋_GB2312" w:hAnsi="仿宋_GB2312" w:eastAsia="仿宋_GB2312" w:cs="仿宋_GB2312"/>
          <w:spacing w:val="7"/>
          <w:sz w:val="32"/>
          <w:szCs w:val="32"/>
          <w:highlight w:val="none"/>
          <w:lang w:eastAsia="zh-CN"/>
        </w:rPr>
        <w:t>4.乙方违反保密义务，应按本合同总价款的30%向甲方支付泄露秘密损害赔偿经。如由此引发舆情、媒体曝光或者上级通报批评的，应另行支付甲方二十万元的机关声誉损害赔偿金。</w:t>
      </w:r>
    </w:p>
    <w:p w14:paraId="6DF4302A">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第十条  争议解决</w:t>
      </w:r>
    </w:p>
    <w:p w14:paraId="74E25F8D">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1.本合同适用中华人民共和国法律。</w:t>
      </w:r>
    </w:p>
    <w:p w14:paraId="5FB3516A">
      <w:pPr>
        <w:spacing w:line="570" w:lineRule="exact"/>
        <w:ind w:firstLine="668" w:firstLineChars="200"/>
        <w:rPr>
          <w:rFonts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2.所有因本合同引起的或与本合同有关的任何争议通过双方友好协商解决。协商不成，任何一方均可向设备安装调试地有管辖权人民法院提起诉讼。</w:t>
      </w:r>
    </w:p>
    <w:p w14:paraId="761AF7D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3.诉讼进行过程中，双方继续履行本合同未涉诉讼的其他部分。</w:t>
      </w:r>
    </w:p>
    <w:p w14:paraId="696D5C77">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第十一条  不可抗力</w:t>
      </w:r>
    </w:p>
    <w:p w14:paraId="1FF97E8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1.本合同任何一方因不可抗力不能履行或不能完全履行本合同的义务时，应当在不可抗力发生之日起</w:t>
      </w:r>
      <w:r>
        <w:rPr>
          <w:rFonts w:hint="eastAsia" w:ascii="仿宋_GB2312" w:hAnsi="仿宋_GB2312" w:eastAsia="仿宋_GB2312" w:cs="仿宋_GB2312"/>
          <w:spacing w:val="7"/>
          <w:sz w:val="32"/>
          <w:szCs w:val="32"/>
          <w:u w:val="none"/>
          <w:lang w:val="en-US" w:eastAsia="zh-CN"/>
        </w:rPr>
        <w:t>10</w:t>
      </w:r>
      <w:r>
        <w:rPr>
          <w:rFonts w:hint="eastAsia" w:ascii="仿宋_GB2312" w:hAnsi="仿宋_GB2312" w:eastAsia="仿宋_GB2312" w:cs="仿宋_GB2312"/>
          <w:spacing w:val="7"/>
          <w:sz w:val="32"/>
          <w:szCs w:val="32"/>
          <w:u w:val="none"/>
          <w:lang w:eastAsia="zh-CN"/>
        </w:rPr>
        <w:t>日</w:t>
      </w:r>
      <w:r>
        <w:rPr>
          <w:rFonts w:hint="eastAsia" w:ascii="仿宋_GB2312" w:hAnsi="仿宋_GB2312" w:eastAsia="仿宋_GB2312" w:cs="仿宋_GB2312"/>
          <w:spacing w:val="7"/>
          <w:sz w:val="32"/>
          <w:szCs w:val="32"/>
          <w:lang w:eastAsia="zh-CN"/>
        </w:rPr>
        <w:t>内书面通知本合同的其他方，并提供由有关部门出具的不可抗力证明。</w:t>
      </w:r>
    </w:p>
    <w:p w14:paraId="0BB302DF">
      <w:pPr>
        <w:spacing w:line="570" w:lineRule="exact"/>
        <w:ind w:firstLine="668" w:firstLineChars="200"/>
        <w:rPr>
          <w:rFonts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2.因不可抗力不能履行合同的，根据不可抗力的影响，受影响方部分或全部免除责任，但法律另有规定的除外。迟延履行合同后发生不可抗力的，不能免除责任。</w:t>
      </w:r>
    </w:p>
    <w:p w14:paraId="2A8419A9">
      <w:pPr>
        <w:spacing w:line="570" w:lineRule="exact"/>
        <w:ind w:firstLine="744" w:firstLineChars="200"/>
        <w:outlineLvl w:val="4"/>
        <w:rPr>
          <w:rFonts w:hint="eastAsia" w:ascii="黑体" w:hAnsi="黑体" w:eastAsia="黑体" w:cs="黑体"/>
          <w:spacing w:val="26"/>
          <w:sz w:val="32"/>
          <w:szCs w:val="32"/>
          <w:highlight w:val="none"/>
          <w:lang w:eastAsia="zh-CN"/>
        </w:rPr>
      </w:pPr>
      <w:r>
        <w:rPr>
          <w:rFonts w:hint="eastAsia" w:ascii="黑体" w:hAnsi="黑体" w:eastAsia="黑体" w:cs="黑体"/>
          <w:spacing w:val="26"/>
          <w:sz w:val="32"/>
          <w:szCs w:val="32"/>
          <w:highlight w:val="none"/>
          <w:lang w:eastAsia="zh-CN"/>
        </w:rPr>
        <w:t xml:space="preserve">第十二条 </w:t>
      </w:r>
      <w:r>
        <w:rPr>
          <w:rFonts w:hint="eastAsia" w:ascii="黑体" w:hAnsi="黑体" w:eastAsia="黑体" w:cs="黑体"/>
          <w:spacing w:val="26"/>
          <w:sz w:val="32"/>
          <w:szCs w:val="32"/>
          <w:highlight w:val="none"/>
          <w:lang w:val="en-US" w:eastAsia="zh-CN"/>
        </w:rPr>
        <w:t xml:space="preserve"> </w:t>
      </w:r>
      <w:r>
        <w:rPr>
          <w:rFonts w:hint="eastAsia" w:ascii="黑体" w:hAnsi="黑体" w:eastAsia="黑体" w:cs="黑体"/>
          <w:spacing w:val="26"/>
          <w:sz w:val="32"/>
          <w:szCs w:val="32"/>
          <w:highlight w:val="none"/>
          <w:lang w:eastAsia="zh-CN"/>
        </w:rPr>
        <w:t xml:space="preserve">乙方保密义务 </w:t>
      </w:r>
    </w:p>
    <w:p w14:paraId="667BFCB6">
      <w:pPr>
        <w:keepNext w:val="0"/>
        <w:keepLines w:val="0"/>
        <w:pageBreakBefore w:val="0"/>
        <w:widowControl w:val="0"/>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鉴于本项目为铜川市政务云平台、电子政务外网域名系统政务信息化建设项目，涉及政务网络、系统配置、业务数据等敏感信息，乙方应严格保守与本合同相关的全部秘密</w:t>
      </w:r>
    </w:p>
    <w:p w14:paraId="4B98949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9.1 保密信息范围</w:t>
      </w:r>
    </w:p>
    <w:p w14:paraId="44481EF4">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乙方在项目洽谈、实施、运维、售后全流程中接触、获取的以下信息，均为保密信息：</w:t>
      </w:r>
    </w:p>
    <w:p w14:paraId="7EC35DD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1.甲方政务云平台架构、机房布局、网络拓扑、电子政务外网路由、域名系统参数、IP 地址、设备配置、运维账号、权限密码、安全策略、运行日志等技术资料与系统信息；</w:t>
      </w:r>
    </w:p>
    <w:p w14:paraId="15E9256D">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2.甲方各类政务业务数据、内部文件、项目资料、招投标文件、合同内容、价款、验收标准、会议纪要、工作函件等内部政务信息；</w:t>
      </w:r>
    </w:p>
    <w:p w14:paraId="44DFE31E">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3.甲方工作人员信息、办公区域管理要求、涉密工作内容，以及甲方标注 “内部使用”“涉密” 的全部纸质、电子、音视频资料；</w:t>
      </w:r>
    </w:p>
    <w:p w14:paraId="67E158A9">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4.项目实施过程中产生的各类调试文档、临时数据、现场记录等衍生资料。</w:t>
      </w:r>
    </w:p>
    <w:p w14:paraId="1ED0AE31">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以上信息无论以何种形式存在，乙方均需严格保密。</w:t>
      </w:r>
    </w:p>
    <w:p w14:paraId="584541C6">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9.2 保密期限</w:t>
      </w:r>
    </w:p>
    <w:p w14:paraId="6F449EAC">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自乙方首次接触保密信息之日起永久保密，不因主合同履行完毕、终止、解除、失效而终止。国家及地方政务保密法规有更长要求的，从其规定。</w:t>
      </w:r>
    </w:p>
    <w:p w14:paraId="1B9B7AF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9.3 乙方具体保密要求</w:t>
      </w:r>
    </w:p>
    <w:p w14:paraId="3666DDFF">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1.乙方仅可将保密信息用于本项目履约，严禁以任何形式向任何第三方泄露、传播、复制、摘抄、转发、共享、出售保密信息。</w:t>
      </w:r>
    </w:p>
    <w:p w14:paraId="017861A2">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严格管控数据与资料：纸质资料专人专管，使用完毕统一回收销毁；电子数据仅限项目指定工作设备查阅，禁止私自拷贝、导出、上传至公网、私人网盘、社交软件及个人终端，禁止使用外接存储设备私自留存数据。</w:t>
      </w:r>
    </w:p>
    <w:p w14:paraId="683B8416">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3.乙方人员进入甲方机房、政务核心区域作业，必须遵守甲方门禁及现场管理规定，未经甲方书面许可，不得拍照、录音、录像、截屏。</w:t>
      </w:r>
    </w:p>
    <w:p w14:paraId="5BE15B28">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4.施工、调试期间，不得擅自篡改、截留、备份甲方系统数据、账号密码、网络配置；项目产生的临时文件、调试记录，在项目终验后全部交由甲方核验，并彻底清除销毁。</w:t>
      </w:r>
    </w:p>
    <w:p w14:paraId="38BCE9CF">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5.未经甲方书面正式授权，乙方不得将本项目名称、建设内容、技术方案、设备清单、现场实景等用于企业宣传、案例展示、对外宣讲、媒体发布等任何对外场景。</w:t>
      </w:r>
    </w:p>
    <w:p w14:paraId="382F999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6.乙方须对所有参与本项目的人员开展政务保密、网络安全专项培训，建立人员管理台账。项目人员离职、调岗、离场前，必须完成全部资料、数据、权限交接，并签署保密承诺，确保涉密信息不外流。</w:t>
      </w:r>
    </w:p>
    <w:p w14:paraId="046AC478">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7.严禁在公共场合、非工作沟通群组谈论、透露本项目相关政务网络、系统、数据等敏感内容。</w:t>
      </w:r>
    </w:p>
    <w:p w14:paraId="7E8E11FF">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第十三条  合同生效</w:t>
      </w:r>
    </w:p>
    <w:p w14:paraId="55461D4A">
      <w:pPr>
        <w:widowControl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1.本合同替代此前双方所有关于本合同事项的口头或书面的纪要、备忘录、合同和协议等法律文件。</w:t>
      </w:r>
    </w:p>
    <w:p w14:paraId="2AE047C5">
      <w:pPr>
        <w:widowControl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2.本合同的任何修改或调整均应由甲乙双方书面确认，并且应明确载明需要修改或调整的具体条款，签署相应补充协议。</w:t>
      </w:r>
    </w:p>
    <w:p w14:paraId="6663F610">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第十四条  其他</w:t>
      </w:r>
    </w:p>
    <w:p w14:paraId="1B9E8EB3">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1.本合同自双方签字盖章之日起生效，一式陆份，双方各执叁份。</w:t>
      </w:r>
    </w:p>
    <w:p w14:paraId="3BC6E63A">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2.本合同的附件内容为本合同不可分割的一部分，与本合同具有同等法律效力。</w:t>
      </w:r>
    </w:p>
    <w:p w14:paraId="2187431A">
      <w:pPr>
        <w:spacing w:line="570" w:lineRule="exact"/>
        <w:ind w:firstLine="668" w:firstLineChars="200"/>
        <w:rPr>
          <w:rFonts w:hint="eastAsia"/>
          <w:lang w:eastAsia="zh-CN"/>
        </w:rPr>
      </w:pPr>
      <w:r>
        <w:rPr>
          <w:rFonts w:hint="eastAsia" w:ascii="仿宋_GB2312" w:hAnsi="仿宋_GB2312" w:eastAsia="仿宋_GB2312" w:cs="仿宋_GB2312"/>
          <w:color w:val="auto"/>
          <w:spacing w:val="7"/>
          <w:sz w:val="32"/>
          <w:szCs w:val="32"/>
          <w:lang w:val="en-US" w:eastAsia="zh-CN"/>
        </w:rPr>
        <w:t>3.</w:t>
      </w:r>
      <w:r>
        <w:rPr>
          <w:rFonts w:hint="eastAsia" w:ascii="仿宋_GB2312" w:hAnsi="仿宋_GB2312" w:eastAsia="仿宋_GB2312" w:cs="仿宋_GB2312"/>
          <w:color w:val="auto"/>
          <w:spacing w:val="7"/>
          <w:sz w:val="32"/>
          <w:szCs w:val="32"/>
          <w:lang w:eastAsia="zh-CN"/>
        </w:rPr>
        <w:t>合同未尽事宜，经双方协商可签订补充协议，所签订的补充协议与本合同具有同等的法律效力，补充协议的生效应符合本合同的有关规定。合同补充条款应同时报同级财政部门备案。</w:t>
      </w:r>
    </w:p>
    <w:p w14:paraId="50CEF989">
      <w:pPr>
        <w:rPr>
          <w:rFonts w:hint="eastAsia" w:ascii="仿宋_GB2312" w:hAnsi="仿宋_GB2312" w:eastAsia="仿宋_GB2312" w:cs="仿宋_GB2312"/>
          <w:spacing w:val="7"/>
          <w:sz w:val="10"/>
          <w:szCs w:val="10"/>
          <w:lang w:eastAsia="zh-CN"/>
        </w:rPr>
      </w:pPr>
    </w:p>
    <w:p w14:paraId="38A52163">
      <w:pPr>
        <w:spacing w:line="570" w:lineRule="exact"/>
        <w:ind w:firstLine="668" w:firstLineChars="200"/>
        <w:rPr>
          <w:rFonts w:hint="eastAsia" w:ascii="黑体" w:hAnsi="黑体" w:eastAsia="黑体" w:cs="黑体"/>
          <w:spacing w:val="7"/>
          <w:sz w:val="32"/>
          <w:szCs w:val="32"/>
          <w:lang w:eastAsia="zh-CN"/>
        </w:rPr>
      </w:pPr>
      <w:r>
        <w:rPr>
          <w:rFonts w:hint="eastAsia" w:ascii="仿宋_GB2312" w:hAnsi="仿宋_GB2312" w:eastAsia="仿宋_GB2312" w:cs="仿宋_GB2312"/>
          <w:spacing w:val="7"/>
          <w:sz w:val="32"/>
          <w:szCs w:val="32"/>
          <w:lang w:eastAsia="zh-CN"/>
        </w:rPr>
        <w:t>（以下无正文）</w:t>
      </w:r>
    </w:p>
    <w:p w14:paraId="5FCBCA3E">
      <w:pPr>
        <w:pStyle w:val="2"/>
        <w:ind w:left="0" w:leftChars="0" w:firstLine="0" w:firstLineChars="0"/>
        <w:rPr>
          <w:rFonts w:hint="eastAsia"/>
          <w:lang w:eastAsia="zh-CN"/>
        </w:rPr>
      </w:pPr>
    </w:p>
    <w:p w14:paraId="687923F6">
      <w:pPr>
        <w:spacing w:line="570" w:lineRule="exact"/>
        <w:ind w:firstLine="668" w:firstLineChars="200"/>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附件</w:t>
      </w:r>
    </w:p>
    <w:p w14:paraId="0D5E6D99">
      <w:pPr>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附件一：安全生产管理责任书</w:t>
      </w:r>
    </w:p>
    <w:p w14:paraId="225394D5">
      <w:pPr>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附件二：安全施工责任协议书</w:t>
      </w:r>
    </w:p>
    <w:p w14:paraId="197252A7">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napToGrid w:val="0"/>
          <w:color w:val="000000"/>
          <w:spacing w:val="7"/>
          <w:sz w:val="32"/>
          <w:szCs w:val="32"/>
          <w:lang w:val="en-US" w:eastAsia="zh-CN" w:bidi="ar-SA"/>
        </w:rPr>
      </w:pPr>
      <w:r>
        <w:rPr>
          <w:rFonts w:hint="eastAsia" w:ascii="仿宋_GB2312" w:hAnsi="仿宋_GB2312" w:eastAsia="仿宋_GB2312" w:cs="仿宋_GB2312"/>
          <w:snapToGrid w:val="0"/>
          <w:color w:val="000000"/>
          <w:spacing w:val="7"/>
          <w:sz w:val="32"/>
          <w:szCs w:val="32"/>
          <w:lang w:val="en-US" w:eastAsia="zh-CN" w:bidi="ar-SA"/>
        </w:rPr>
        <w:t>附件三：项目建设清单</w:t>
      </w:r>
    </w:p>
    <w:p w14:paraId="41500C4B">
      <w:pPr>
        <w:pStyle w:val="2"/>
        <w:keepNext w:val="0"/>
        <w:keepLines w:val="0"/>
        <w:pageBreakBefore w:val="0"/>
        <w:widowControl/>
        <w:kinsoku w:val="0"/>
        <w:wordWrap/>
        <w:overflowPunct/>
        <w:topLinePunct w:val="0"/>
        <w:autoSpaceDE w:val="0"/>
        <w:autoSpaceDN w:val="0"/>
        <w:bidi w:val="0"/>
        <w:adjustRightInd w:val="0"/>
        <w:snapToGrid w:val="0"/>
        <w:spacing w:line="570" w:lineRule="exact"/>
        <w:ind w:left="0" w:leftChars="0" w:firstLine="0" w:firstLineChars="0"/>
        <w:textAlignment w:val="baseline"/>
        <w:rPr>
          <w:rFonts w:hint="eastAsia" w:ascii="仿宋_GB2312" w:hAnsi="仿宋_GB2312" w:eastAsia="仿宋_GB2312" w:cs="仿宋_GB2312"/>
          <w:snapToGrid w:val="0"/>
          <w:color w:val="000000"/>
          <w:spacing w:val="7"/>
          <w:sz w:val="32"/>
          <w:szCs w:val="32"/>
          <w:lang w:val="en-US" w:eastAsia="zh-CN" w:bidi="ar-SA"/>
        </w:rPr>
      </w:pPr>
    </w:p>
    <w:p w14:paraId="068965B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甲方(盖章) :</w:t>
      </w:r>
    </w:p>
    <w:p w14:paraId="3A1CDDA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法定或授权代表人：</w:t>
      </w:r>
    </w:p>
    <w:p w14:paraId="7D6D667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日 期 ：</w:t>
      </w:r>
    </w:p>
    <w:p w14:paraId="04A01660">
      <w:pPr>
        <w:spacing w:line="570" w:lineRule="exact"/>
        <w:ind w:firstLine="668" w:firstLineChars="200"/>
        <w:rPr>
          <w:rFonts w:hint="eastAsia" w:ascii="仿宋_GB2312" w:hAnsi="仿宋_GB2312" w:eastAsia="仿宋_GB2312" w:cs="仿宋_GB2312"/>
          <w:spacing w:val="7"/>
          <w:sz w:val="32"/>
          <w:szCs w:val="32"/>
          <w:lang w:eastAsia="zh-CN"/>
        </w:rPr>
      </w:pPr>
    </w:p>
    <w:p w14:paraId="1CD63C56">
      <w:pPr>
        <w:pStyle w:val="2"/>
        <w:ind w:left="0" w:leftChars="0" w:firstLine="0" w:firstLineChars="0"/>
        <w:rPr>
          <w:rFonts w:hint="eastAsia" w:ascii="仿宋_GB2312" w:hAnsi="仿宋_GB2312" w:eastAsia="仿宋_GB2312" w:cs="仿宋_GB2312"/>
          <w:spacing w:val="7"/>
          <w:sz w:val="32"/>
          <w:szCs w:val="32"/>
          <w:lang w:eastAsia="zh-CN"/>
        </w:rPr>
      </w:pPr>
    </w:p>
    <w:p w14:paraId="798FD29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乙方(盖章):</w:t>
      </w:r>
    </w:p>
    <w:p w14:paraId="461AD93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法定或授权代表人：</w:t>
      </w:r>
    </w:p>
    <w:p w14:paraId="06E99079">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日 期 ：</w:t>
      </w:r>
    </w:p>
    <w:p w14:paraId="50EBF16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br w:type="page"/>
      </w:r>
      <w:r>
        <w:rPr>
          <w:rFonts w:hint="eastAsia" w:ascii="黑体" w:hAnsi="黑体" w:eastAsia="黑体" w:cs="黑体"/>
          <w:spacing w:val="7"/>
          <w:sz w:val="32"/>
          <w:szCs w:val="32"/>
          <w:lang w:eastAsia="zh-CN"/>
        </w:rPr>
        <w:t>附件一：安全生产管理责任书</w:t>
      </w:r>
    </w:p>
    <w:p w14:paraId="53E0742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为确保安全管理工作的落实，乙方在与甲方双方签订的《</w:t>
      </w:r>
      <w:r>
        <w:rPr>
          <w:rFonts w:hint="eastAsia" w:ascii="仿宋_GB2312" w:hAnsi="仿宋_GB2312" w:eastAsia="仿宋_GB2312" w:cs="仿宋_GB2312"/>
          <w:spacing w:val="7"/>
          <w:sz w:val="32"/>
          <w:szCs w:val="32"/>
          <w:lang w:eastAsia="ar-SA"/>
        </w:rPr>
        <w:t>铜川市政务云平台物理空间扩容及电子政务外网域名系统建设</w:t>
      </w:r>
      <w:r>
        <w:rPr>
          <w:rFonts w:hint="eastAsia" w:ascii="仿宋" w:hAnsi="仿宋" w:eastAsia="仿宋" w:cs="仿宋"/>
          <w:spacing w:val="7"/>
          <w:sz w:val="32"/>
          <w:szCs w:val="32"/>
          <w:lang w:eastAsia="zh-CN"/>
        </w:rPr>
        <w:t>项目设备及相关服务采购合同》（以下简称“合同”）履行过程中，乙方承诺如下：</w:t>
      </w:r>
    </w:p>
    <w:p w14:paraId="5AAEC605">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乙方在合同签订和履行过程中持续具备《中华人民共和国建筑法》、《中华人民共和国消防法》、《中华人民共和国安全生产法》和有关法律、行政法规和国家标准或者行业标准（“相关规定”）规定的安全生产条件和资质。</w:t>
      </w:r>
    </w:p>
    <w:p w14:paraId="2BAFF4C4">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二、甲方有权对本单位现场设备安装安全进行监督，有权对作业现场的安全管理进行指导和监督。</w:t>
      </w:r>
    </w:p>
    <w:p w14:paraId="789936B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乙方认真贯彻相关规定的各项要求，对作业现场的安全管理必须坚持安全第一、预防、综合治理为主的方针，做到安全作业、文明作业，定期组织作业人员召开安全生产会议和安全生产教育培训并建立档案，如实记录会议和教育培训的时间、内容、参加人员以及考核结果等情况，确保各类设备、设施安全和人员安全。</w:t>
      </w:r>
    </w:p>
    <w:p w14:paraId="3E6B9FE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四、乙方应当特别重视并遵守下列要求：</w:t>
      </w:r>
    </w:p>
    <w:p w14:paraId="7086EBEE">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（1）制定确保运行设备安全措施。</w:t>
      </w:r>
    </w:p>
    <w:p w14:paraId="156B9A78">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（2）设备开箱后，包装箱等易燃杂物应当立即搬离现场。</w:t>
      </w:r>
    </w:p>
    <w:p w14:paraId="36B7B8E0">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（3）设备安装完毕，应当经电力维护人员检查、测试无误后，方可接通电源。</w:t>
      </w:r>
    </w:p>
    <w:p w14:paraId="23D876C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五、作业现场应当符合下列要求：</w:t>
      </w:r>
    </w:p>
    <w:p w14:paraId="4E2BAAAD">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（1）安全、整洁、美观，采取措施有效保护甲方设施、设备。</w:t>
      </w:r>
    </w:p>
    <w:p w14:paraId="66BF6D4B">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（2）阻止无关人员进入作业现场。</w:t>
      </w:r>
    </w:p>
    <w:p w14:paraId="7CD90CFE">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六、乙方接受甲方有关各项安全生产、防火等规章制度的检查、督促。</w:t>
      </w:r>
    </w:p>
    <w:p w14:paraId="071C109B">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七、乙方作业人员仅在甲方允许的区域、场所和设备上作业，不得超范围作业。</w:t>
      </w:r>
    </w:p>
    <w:p w14:paraId="3C0A87E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八、切实落实“六防”（即防爆炸、防盗抢、防火、防破坏、防诈骗、防窃密），不发生违反作业现场管理规定的行为，不发生违法犯罪案件。如发生作业人员或他人的人身、财产事故，均由乙方负责解决并承担全部责任。</w:t>
      </w:r>
    </w:p>
    <w:p w14:paraId="7AE9DFC7">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九、乙方严格遵守国家安全生产方面的有关法律、法规，如乙方违反本责任书所述的任何情形，乙方自愿承担相应责任并赔偿甲方因此受到的损失。</w:t>
      </w:r>
    </w:p>
    <w:p w14:paraId="4E180F6E">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十、本责任书经乙方签署后，与合同同时生效。</w:t>
      </w:r>
    </w:p>
    <w:p w14:paraId="12D2B269">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p>
    <w:p w14:paraId="29B8DAF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责任人（盖章）：</w:t>
      </w:r>
    </w:p>
    <w:p w14:paraId="0E021FB3">
      <w:pPr>
        <w:keepNext w:val="0"/>
        <w:keepLines w:val="0"/>
        <w:pageBreakBefore w:val="0"/>
        <w:wordWrap/>
        <w:overflowPunct/>
        <w:topLinePunct w:val="0"/>
        <w:bidi w:val="0"/>
        <w:spacing w:line="240" w:lineRule="auto"/>
        <w:ind w:firstLine="668" w:firstLineChars="200"/>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法定或授权代表人：</w:t>
      </w:r>
    </w:p>
    <w:p w14:paraId="2863750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1EA92BB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7DB6561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6160CC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3B5416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E98F9F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473685B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24E48CE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1DEBCD8C">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6CAEAE9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23195F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br w:type="page"/>
      </w:r>
      <w:r>
        <w:rPr>
          <w:rFonts w:hint="eastAsia" w:ascii="黑体" w:hAnsi="黑体" w:eastAsia="黑体" w:cs="黑体"/>
          <w:spacing w:val="7"/>
          <w:sz w:val="32"/>
          <w:szCs w:val="32"/>
          <w:lang w:eastAsia="zh-CN"/>
        </w:rPr>
        <w:t>附件二：安全施工责任协议书</w:t>
      </w:r>
    </w:p>
    <w:p w14:paraId="18F4FFCE">
      <w:pPr>
        <w:keepNext w:val="0"/>
        <w:keepLines w:val="0"/>
        <w:pageBreakBefore w:val="0"/>
        <w:widowControl w:val="0"/>
        <w:kinsoku/>
        <w:wordWrap/>
        <w:overflowPunct/>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甲方单位：</w:t>
      </w:r>
    </w:p>
    <w:p w14:paraId="3FFCACA8">
      <w:pPr>
        <w:keepNext w:val="0"/>
        <w:keepLines w:val="0"/>
        <w:pageBreakBefore w:val="0"/>
        <w:widowControl w:val="0"/>
        <w:kinsoku/>
        <w:wordWrap/>
        <w:overflowPunct/>
        <w:topLinePunct w:val="0"/>
        <w:autoSpaceDE/>
        <w:autoSpaceDN/>
        <w:bidi w:val="0"/>
        <w:adjustRightInd/>
        <w:snapToGrid/>
        <w:spacing w:after="120" w:afterLines="50"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乙方单位：</w:t>
      </w:r>
    </w:p>
    <w:p w14:paraId="4730B3A6">
      <w:pPr>
        <w:keepNext w:val="0"/>
        <w:keepLines w:val="0"/>
        <w:pageBreakBefore w:val="0"/>
        <w:widowControl w:val="0"/>
        <w:kinsoku/>
        <w:wordWrap/>
        <w:overflowPunct/>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为确保施工安全，依据《中华人民共和国民法典》、《中华人民共和国安全生产法》等相关法律法规，经甲乙双方协商一致，就乙方承揽的</w:t>
      </w:r>
      <w:r>
        <w:rPr>
          <w:rFonts w:hint="eastAsia" w:ascii="仿宋_GB2312" w:hAnsi="仿宋_GB2312" w:eastAsia="仿宋_GB2312" w:cs="仿宋_GB2312"/>
          <w:spacing w:val="7"/>
          <w:sz w:val="32"/>
          <w:szCs w:val="32"/>
          <w:lang w:eastAsia="ar-SA"/>
        </w:rPr>
        <w:t>铜川市政务云平台物理空间扩容及电子政务外网域名系统建设</w:t>
      </w:r>
      <w:r>
        <w:rPr>
          <w:rFonts w:hint="eastAsia" w:ascii="仿宋" w:hAnsi="仿宋" w:eastAsia="仿宋" w:cs="仿宋"/>
          <w:spacing w:val="7"/>
          <w:sz w:val="32"/>
          <w:szCs w:val="32"/>
          <w:lang w:eastAsia="zh-CN"/>
        </w:rPr>
        <w:t>项目施工安全相关事宜，签订本协议。</w:t>
      </w:r>
    </w:p>
    <w:p w14:paraId="026F35FF">
      <w:pPr>
        <w:keepNext w:val="0"/>
        <w:keepLines w:val="0"/>
        <w:pageBreakBefore w:val="0"/>
        <w:widowControl w:val="0"/>
        <w:numPr>
          <w:ilvl w:val="0"/>
          <w:numId w:val="1"/>
        </w:numPr>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承包项目</w:t>
      </w:r>
    </w:p>
    <w:p w14:paraId="4F18D85A">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（一）项目名称：</w:t>
      </w:r>
      <w:r>
        <w:rPr>
          <w:rFonts w:hint="eastAsia" w:ascii="仿宋_GB2312" w:hAnsi="仿宋_GB2312" w:eastAsia="仿宋_GB2312" w:cs="仿宋_GB2312"/>
          <w:spacing w:val="7"/>
          <w:sz w:val="32"/>
          <w:szCs w:val="32"/>
          <w:lang w:eastAsia="ar-SA"/>
        </w:rPr>
        <w:t>铜川市政务云平台物理空间扩容及电子政务外网域名系统建设项目</w:t>
      </w:r>
    </w:p>
    <w:p w14:paraId="6133E37F">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（二）本协议期限：与主合同期限一致。</w:t>
      </w:r>
    </w:p>
    <w:p w14:paraId="7014BDA2">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二、 安全责任</w:t>
      </w:r>
    </w:p>
    <w:p w14:paraId="5B1F254C">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（一）安全责任人</w:t>
      </w:r>
    </w:p>
    <w:p w14:paraId="2FB064DB">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2.1 甲方安全负责人：指派的现场安全责任人</w:t>
      </w:r>
    </w:p>
    <w:p w14:paraId="0AEFB3A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2.2 乙方安全负责人 ：指派的现场安全责任人</w:t>
      </w:r>
    </w:p>
    <w:p w14:paraId="329A89FB">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（二）甲方安全责任</w:t>
      </w:r>
    </w:p>
    <w:p w14:paraId="7069D37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2.3 甲方应向乙方提供作业过程中的便利，协助乙方做好安全生产，向乙方介绍现场的状况、注意事项。</w:t>
      </w:r>
    </w:p>
    <w:p w14:paraId="22E1C9A1">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2.4 甲方有权提出有关安全生产、环境保护工作方面规定，并有权对乙方的施工现场进行监督管理，发现不符合安全文明施工行为进行制止、纠正，并下发隐患整改通知书、处罚通知书给乙方，情节严重的停工整顿或终止合同清退出场。</w:t>
      </w:r>
    </w:p>
    <w:p w14:paraId="427A1964">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（三）乙方安全责任</w:t>
      </w:r>
    </w:p>
    <w:p w14:paraId="19C33C5B">
      <w:pPr>
        <w:keepNext w:val="0"/>
        <w:keepLines w:val="0"/>
        <w:pageBreakBefore w:val="0"/>
        <w:widowControl w:val="0"/>
        <w:kinsoku/>
        <w:wordWrap/>
        <w:topLinePunct w:val="0"/>
        <w:autoSpaceDE/>
        <w:autoSpaceDN/>
        <w:bidi w:val="0"/>
        <w:adjustRightInd/>
        <w:snapToGrid/>
        <w:spacing w:line="240" w:lineRule="auto"/>
        <w:ind w:firstLine="74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6"/>
          <w:szCs w:val="36"/>
          <w:lang w:eastAsia="zh-CN"/>
        </w:rPr>
        <w:t>2.5 乙方对自己员工负有完全的安全管理责任，安全事故引起的所有损</w:t>
      </w:r>
      <w:r>
        <w:rPr>
          <w:rFonts w:hint="eastAsia" w:ascii="仿宋" w:hAnsi="仿宋" w:eastAsia="仿宋" w:cs="仿宋"/>
          <w:spacing w:val="7"/>
          <w:sz w:val="32"/>
          <w:szCs w:val="32"/>
          <w:lang w:eastAsia="zh-CN"/>
        </w:rPr>
        <w:t>失由乙方承担。</w:t>
      </w:r>
    </w:p>
    <w:p w14:paraId="1227DF8A">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2.6 由乙方人员安全事故而引起的政府罚款（包括对业主的部分）将由乙方完全承担。</w:t>
      </w:r>
    </w:p>
    <w:p w14:paraId="5D91FB77">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2.7 乙方人员发生现场违章、重伤以上安全事故，接受甲方的相关处罚。</w:t>
      </w:r>
    </w:p>
    <w:p w14:paraId="5E5FACCF">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2.8 乙方按要求提供相关资质证明材料。</w:t>
      </w:r>
    </w:p>
    <w:p w14:paraId="0B40E57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2.9 乙方必须遵守国家相关法律、法规及甲方的安全规定。</w:t>
      </w:r>
    </w:p>
    <w:p w14:paraId="4830F55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三、 安全协议内容</w:t>
      </w:r>
    </w:p>
    <w:p w14:paraId="36FD7D40">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（一）约定的主要内容</w:t>
      </w:r>
    </w:p>
    <w:p w14:paraId="515FF0D9">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3.1 双方必须遵守各自的安全责任。</w:t>
      </w:r>
    </w:p>
    <w:p w14:paraId="63AB188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3.2 乙方所提供的承包项目要求的相关资质证明材料应真实、合法、有效。</w:t>
      </w:r>
    </w:p>
    <w:p w14:paraId="406211D7">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3.3 乙方必须使用符合国家标准的设备、工具，不准使用报废的、存在严重安全隐患的设备或工具。</w:t>
      </w:r>
    </w:p>
    <w:p w14:paraId="43CBA19D">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3.4 乙方应保证全体施工人员经过甲方的安全教育培训，特种作业人员必须有国家相关部门核发的合格有效的上岗资格证书。</w:t>
      </w:r>
    </w:p>
    <w:p w14:paraId="4A0404B1">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3.5 乙方应组织人员对施工区域、作业环境及使用甲方提供的设施设备、工器具等进行检查，确认符合安全要求，一经开工，就表示乙方已确认施工现场、作业环境、设施设备、工器具符合安全要求并处于安全状态。</w:t>
      </w:r>
    </w:p>
    <w:p w14:paraId="63B81375">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3.6 未经甲方同意，乙方不得擅自使用与施工无关的甲方设施设备；不得私拉乱接甲方的水、电、气等管路、线路；不得擅自拆除、变更甲方防护设施及标识。</w:t>
      </w:r>
    </w:p>
    <w:p w14:paraId="1BB8246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3.7 乙方必须接受甲方的监督、检查，对甲方提出的安全整改意见必须及时整改，同时乙方不得以此作为增加工程费用及合同金额的理由。</w:t>
      </w:r>
    </w:p>
    <w:p w14:paraId="48FB99D2">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3.8 乙方在与甲方签订协议时，已经熟知本条第（二）款约定遵守的安全制度和程序，并愿意严格遵守这些制度和程序，如违反这些制度和程序，愿意承担相应的法律责任及经济责任。</w:t>
      </w:r>
    </w:p>
    <w:p w14:paraId="274B046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（二）约定遵守的安全制度和程序</w:t>
      </w:r>
    </w:p>
    <w:p w14:paraId="697FB54C">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项目实施前，双方的项目负责人、安全管理人员等相关人员应充分沟通，明确项目安全工作内容。</w:t>
      </w:r>
    </w:p>
    <w:p w14:paraId="097BAA44">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四、约定的处罚内容</w:t>
      </w:r>
    </w:p>
    <w:p w14:paraId="6EC155C6">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（一）处罚原则和依据</w:t>
      </w:r>
    </w:p>
    <w:p w14:paraId="4F38CEB6">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4.1 对乙方违反甲方相关安全规定的行为，甲方可采取罚款、停工整顿甚至终止合同等措施。</w:t>
      </w:r>
    </w:p>
    <w:p w14:paraId="179EE34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4.2 所有处罚由甲方直接对乙方发生，甲方也可以处罚乙方项目现场负责人。</w:t>
      </w:r>
    </w:p>
    <w:p w14:paraId="488D49F9">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4.3 不同的处罚方式可同时执行。</w:t>
      </w:r>
    </w:p>
    <w:p w14:paraId="0DC41F31">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4.4 安全处罚造成的所有损失由乙方负责。</w:t>
      </w:r>
    </w:p>
    <w:p w14:paraId="58E79002">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（二）处理程序</w:t>
      </w:r>
    </w:p>
    <w:p w14:paraId="7F4E77B4">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4.5 对相关方的安全处罚将通过安全例会、安全公告等形式进行通报，并作为下次合作的评选条件。</w:t>
      </w:r>
    </w:p>
    <w:p w14:paraId="4803DE05">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（三）处罚种类</w:t>
      </w:r>
    </w:p>
    <w:p w14:paraId="0FD1578E">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4.6 处罚的种类如下：</w:t>
      </w:r>
    </w:p>
    <w:p w14:paraId="7DE44C12">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 xml:space="preserve">（1）罚款； </w:t>
      </w:r>
    </w:p>
    <w:p w14:paraId="71F9CB04">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（2）停工整顿；</w:t>
      </w:r>
    </w:p>
    <w:p w14:paraId="26FCD537">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（3）终止工程合同。</w:t>
      </w:r>
    </w:p>
    <w:p w14:paraId="36BA46A8">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五、本协议一式四份，甲方和乙方各执贰份，自双方签字盖章后生效。</w:t>
      </w:r>
    </w:p>
    <w:p w14:paraId="756E2AFB">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p>
    <w:p w14:paraId="1366CF3C">
      <w:pPr>
        <w:keepNext w:val="0"/>
        <w:keepLines w:val="0"/>
        <w:pageBreakBefore w:val="0"/>
        <w:widowControl w:val="0"/>
        <w:kinsoku/>
        <w:wordWrap/>
        <w:topLinePunct w:val="0"/>
        <w:autoSpaceDE/>
        <w:autoSpaceDN/>
        <w:bidi w:val="0"/>
        <w:adjustRightInd/>
        <w:snapToGrid/>
        <w:spacing w:line="240" w:lineRule="auto"/>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甲方：                      乙方：</w:t>
      </w:r>
    </w:p>
    <w:p w14:paraId="48EEF369">
      <w:pPr>
        <w:keepNext w:val="0"/>
        <w:keepLines w:val="0"/>
        <w:pageBreakBefore w:val="0"/>
        <w:widowControl w:val="0"/>
        <w:kinsoku/>
        <w:wordWrap/>
        <w:topLinePunct w:val="0"/>
        <w:autoSpaceDE/>
        <w:autoSpaceDN/>
        <w:bidi w:val="0"/>
        <w:adjustRightInd/>
        <w:snapToGrid/>
        <w:spacing w:line="240" w:lineRule="auto"/>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法定或授权代表人：          法定或授权代表人：</w:t>
      </w:r>
    </w:p>
    <w:p w14:paraId="39FE4005">
      <w:pPr>
        <w:keepNext w:val="0"/>
        <w:keepLines w:val="0"/>
        <w:pageBreakBefore w:val="0"/>
        <w:widowControl w:val="0"/>
        <w:tabs>
          <w:tab w:val="right" w:pos="9009"/>
        </w:tabs>
        <w:kinsoku/>
        <w:wordWrap/>
        <w:topLinePunct w:val="0"/>
        <w:autoSpaceDE/>
        <w:autoSpaceDN/>
        <w:bidi w:val="0"/>
        <w:adjustRightInd/>
        <w:snapToGrid/>
        <w:spacing w:line="240" w:lineRule="auto"/>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 xml:space="preserve">日期：  年   月  </w:t>
      </w:r>
      <w:r>
        <w:rPr>
          <w:rFonts w:hint="eastAsia" w:ascii="仿宋" w:hAnsi="仿宋" w:eastAsia="仿宋" w:cs="仿宋"/>
          <w:spacing w:val="7"/>
          <w:sz w:val="32"/>
          <w:szCs w:val="32"/>
          <w:lang w:val="en-US" w:eastAsia="zh-CN"/>
        </w:rPr>
        <w:t xml:space="preserve"> </w:t>
      </w:r>
      <w:r>
        <w:rPr>
          <w:rFonts w:hint="eastAsia" w:ascii="仿宋" w:hAnsi="仿宋" w:eastAsia="仿宋" w:cs="仿宋"/>
          <w:spacing w:val="7"/>
          <w:sz w:val="32"/>
          <w:szCs w:val="32"/>
          <w:lang w:eastAsia="zh-CN"/>
        </w:rPr>
        <w:t>日         日期：</w:t>
      </w:r>
      <w:r>
        <w:rPr>
          <w:rFonts w:hint="eastAsia" w:ascii="仿宋" w:hAnsi="仿宋" w:eastAsia="仿宋" w:cs="仿宋"/>
          <w:spacing w:val="7"/>
          <w:sz w:val="32"/>
          <w:szCs w:val="32"/>
          <w:lang w:val="en-US" w:eastAsia="zh-CN"/>
        </w:rPr>
        <w:t xml:space="preserve">  </w:t>
      </w:r>
      <w:r>
        <w:rPr>
          <w:rFonts w:hint="eastAsia" w:ascii="仿宋" w:hAnsi="仿宋" w:eastAsia="仿宋" w:cs="仿宋"/>
          <w:spacing w:val="7"/>
          <w:sz w:val="32"/>
          <w:szCs w:val="32"/>
          <w:lang w:eastAsia="zh-CN"/>
        </w:rPr>
        <w:t xml:space="preserve"> 年   月</w:t>
      </w:r>
      <w:r>
        <w:rPr>
          <w:rFonts w:hint="eastAsia" w:ascii="仿宋" w:hAnsi="仿宋" w:eastAsia="仿宋" w:cs="仿宋"/>
          <w:spacing w:val="7"/>
          <w:sz w:val="32"/>
          <w:szCs w:val="32"/>
          <w:lang w:val="en-US" w:eastAsia="zh-CN"/>
        </w:rPr>
        <w:t xml:space="preserve">   日</w:t>
      </w:r>
      <w:r>
        <w:rPr>
          <w:rFonts w:hint="eastAsia" w:ascii="仿宋" w:hAnsi="仿宋" w:eastAsia="仿宋" w:cs="仿宋"/>
          <w:spacing w:val="7"/>
          <w:sz w:val="32"/>
          <w:szCs w:val="32"/>
          <w:lang w:eastAsia="zh-CN"/>
        </w:rPr>
        <w:t xml:space="preserve"> </w:t>
      </w:r>
    </w:p>
    <w:p w14:paraId="397A9EFE">
      <w:pPr>
        <w:keepNext w:val="0"/>
        <w:keepLines w:val="0"/>
        <w:pageBreakBefore w:val="0"/>
        <w:widowControl w:val="0"/>
        <w:kinsoku/>
        <w:wordWrap/>
        <w:topLinePunct w:val="0"/>
        <w:autoSpaceDE/>
        <w:autoSpaceDN/>
        <w:bidi w:val="0"/>
        <w:adjustRightInd/>
        <w:snapToGrid/>
        <w:spacing w:line="240" w:lineRule="auto"/>
        <w:textAlignment w:val="auto"/>
        <w:rPr>
          <w:rFonts w:hint="eastAsia" w:ascii="仿宋" w:hAnsi="仿宋" w:eastAsia="仿宋" w:cs="仿宋"/>
          <w:spacing w:val="7"/>
          <w:sz w:val="32"/>
          <w:szCs w:val="32"/>
          <w:lang w:eastAsia="zh-CN"/>
        </w:rPr>
      </w:pPr>
    </w:p>
    <w:p w14:paraId="68B2B025">
      <w:pPr>
        <w:pStyle w:val="2"/>
        <w:rPr>
          <w:rFonts w:hint="eastAsia" w:ascii="仿宋" w:hAnsi="仿宋" w:eastAsia="仿宋" w:cs="仿宋"/>
          <w:spacing w:val="7"/>
          <w:sz w:val="32"/>
          <w:szCs w:val="32"/>
          <w:lang w:eastAsia="zh-CN"/>
        </w:rPr>
      </w:pPr>
    </w:p>
    <w:p w14:paraId="21354B9D">
      <w:pPr>
        <w:pStyle w:val="2"/>
        <w:rPr>
          <w:rFonts w:hint="eastAsia" w:ascii="仿宋" w:hAnsi="仿宋" w:eastAsia="仿宋" w:cs="仿宋"/>
          <w:spacing w:val="7"/>
          <w:sz w:val="32"/>
          <w:szCs w:val="32"/>
          <w:lang w:eastAsia="zh-CN"/>
        </w:rPr>
      </w:pPr>
    </w:p>
    <w:p w14:paraId="047E3A87">
      <w:pPr>
        <w:pStyle w:val="2"/>
        <w:keepNext w:val="0"/>
        <w:keepLines w:val="0"/>
        <w:pageBreakBefore w:val="0"/>
        <w:widowControl/>
        <w:kinsoku w:val="0"/>
        <w:wordWrap/>
        <w:overflowPunct/>
        <w:topLinePunct w:val="0"/>
        <w:autoSpaceDE w:val="0"/>
        <w:autoSpaceDN w:val="0"/>
        <w:bidi w:val="0"/>
        <w:adjustRightInd w:val="0"/>
        <w:snapToGrid w:val="0"/>
        <w:ind w:firstLine="0"/>
        <w:textAlignment w:val="baseline"/>
        <w:rPr>
          <w:rFonts w:hint="eastAsia" w:ascii="黑体" w:hAnsi="黑体" w:eastAsia="黑体" w:cs="黑体"/>
          <w:snapToGrid w:val="0"/>
          <w:color w:val="000000"/>
          <w:spacing w:val="7"/>
          <w:sz w:val="32"/>
          <w:szCs w:val="32"/>
          <w:lang w:val="en-US" w:eastAsia="zh-CN" w:bidi="ar-SA"/>
        </w:rPr>
      </w:pPr>
      <w:r>
        <w:rPr>
          <w:rFonts w:hint="eastAsia" w:ascii="黑体" w:hAnsi="黑体" w:eastAsia="黑体" w:cs="黑体"/>
          <w:snapToGrid w:val="0"/>
          <w:color w:val="000000"/>
          <w:spacing w:val="7"/>
          <w:sz w:val="32"/>
          <w:szCs w:val="32"/>
          <w:lang w:val="en-US" w:eastAsia="zh-CN" w:bidi="ar-SA"/>
        </w:rPr>
        <w:br w:type="page"/>
      </w:r>
      <w:r>
        <w:rPr>
          <w:rFonts w:hint="eastAsia" w:ascii="黑体" w:hAnsi="黑体" w:eastAsia="黑体" w:cs="黑体"/>
          <w:snapToGrid w:val="0"/>
          <w:color w:val="000000"/>
          <w:spacing w:val="7"/>
          <w:sz w:val="32"/>
          <w:szCs w:val="32"/>
          <w:lang w:val="en-US" w:eastAsia="zh-CN" w:bidi="ar-SA"/>
        </w:rPr>
        <w:t>附件三：项目建设清单</w:t>
      </w:r>
    </w:p>
    <w:p w14:paraId="53653618">
      <w:pPr>
        <w:pStyle w:val="2"/>
        <w:keepNext w:val="0"/>
        <w:keepLines w:val="0"/>
        <w:pageBreakBefore w:val="0"/>
        <w:widowControl/>
        <w:kinsoku w:val="0"/>
        <w:wordWrap/>
        <w:overflowPunct/>
        <w:topLinePunct w:val="0"/>
        <w:autoSpaceDE w:val="0"/>
        <w:autoSpaceDN w:val="0"/>
        <w:bidi w:val="0"/>
        <w:adjustRightInd w:val="0"/>
        <w:snapToGrid w:val="0"/>
        <w:ind w:firstLine="0"/>
        <w:textAlignment w:val="baseline"/>
        <w:rPr>
          <w:rFonts w:hint="eastAsia" w:ascii="黑体" w:hAnsi="黑体" w:eastAsia="黑体" w:cs="黑体"/>
          <w:snapToGrid w:val="0"/>
          <w:color w:val="000000"/>
          <w:spacing w:val="7"/>
          <w:sz w:val="32"/>
          <w:szCs w:val="32"/>
          <w:lang w:val="en-US" w:eastAsia="zh-CN" w:bidi="ar-SA"/>
        </w:rPr>
      </w:pPr>
    </w:p>
    <w:p w14:paraId="50B3BA0F">
      <w:pPr>
        <w:pStyle w:val="2"/>
        <w:keepNext w:val="0"/>
        <w:keepLines w:val="0"/>
        <w:pageBreakBefore w:val="0"/>
        <w:widowControl/>
        <w:kinsoku w:val="0"/>
        <w:wordWrap/>
        <w:overflowPunct/>
        <w:topLinePunct w:val="0"/>
        <w:autoSpaceDE w:val="0"/>
        <w:autoSpaceDN w:val="0"/>
        <w:bidi w:val="0"/>
        <w:adjustRightInd w:val="0"/>
        <w:snapToGrid w:val="0"/>
        <w:ind w:firstLine="0"/>
        <w:jc w:val="center"/>
        <w:textAlignment w:val="baseline"/>
        <w:rPr>
          <w:rFonts w:hint="eastAsia" w:ascii="方正小标宋简体" w:hAnsi="方正小标宋简体" w:eastAsia="方正小标宋简体" w:cs="方正小标宋简体"/>
          <w:snapToGrid w:val="0"/>
          <w:color w:val="000000"/>
          <w:spacing w:val="7"/>
          <w:sz w:val="36"/>
          <w:szCs w:val="36"/>
          <w:lang w:val="en-US" w:eastAsia="zh-CN" w:bidi="ar-SA"/>
        </w:rPr>
      </w:pPr>
      <w:r>
        <w:rPr>
          <w:rFonts w:hint="eastAsia" w:ascii="方正小标宋简体" w:hAnsi="方正小标宋简体" w:eastAsia="方正小标宋简体" w:cs="方正小标宋简体"/>
          <w:snapToGrid w:val="0"/>
          <w:color w:val="000000"/>
          <w:spacing w:val="7"/>
          <w:sz w:val="36"/>
          <w:szCs w:val="36"/>
          <w:lang w:val="en-US" w:eastAsia="zh-CN" w:bidi="ar-SA"/>
        </w:rPr>
        <w:t>铜川市政务云平台物理空间扩容及电子政务外网域名系统建设项目建设清单</w:t>
      </w:r>
    </w:p>
    <w:tbl>
      <w:tblPr>
        <w:tblStyle w:val="6"/>
        <w:tblW w:w="95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080"/>
        <w:gridCol w:w="960"/>
        <w:gridCol w:w="1547"/>
        <w:gridCol w:w="960"/>
        <w:gridCol w:w="933"/>
        <w:gridCol w:w="973"/>
        <w:gridCol w:w="1014"/>
        <w:gridCol w:w="1200"/>
      </w:tblGrid>
      <w:tr w14:paraId="3E2C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center"/>
          </w:tcPr>
          <w:p w14:paraId="74E40DB1">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序号</w:t>
            </w:r>
          </w:p>
        </w:tc>
        <w:tc>
          <w:tcPr>
            <w:tcW w:w="1080" w:type="dxa"/>
            <w:noWrap w:val="0"/>
            <w:vAlign w:val="center"/>
          </w:tcPr>
          <w:p w14:paraId="72F8274E">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品名</w:t>
            </w:r>
          </w:p>
        </w:tc>
        <w:tc>
          <w:tcPr>
            <w:tcW w:w="960" w:type="dxa"/>
            <w:noWrap w:val="0"/>
            <w:vAlign w:val="center"/>
          </w:tcPr>
          <w:p w14:paraId="75CC994B">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品牌</w:t>
            </w:r>
          </w:p>
        </w:tc>
        <w:tc>
          <w:tcPr>
            <w:tcW w:w="1547" w:type="dxa"/>
            <w:noWrap w:val="0"/>
            <w:vAlign w:val="center"/>
          </w:tcPr>
          <w:p w14:paraId="7074D299">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规格型号</w:t>
            </w:r>
          </w:p>
        </w:tc>
        <w:tc>
          <w:tcPr>
            <w:tcW w:w="960" w:type="dxa"/>
            <w:noWrap w:val="0"/>
            <w:vAlign w:val="center"/>
          </w:tcPr>
          <w:p w14:paraId="33E1F7C4">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产地</w:t>
            </w:r>
          </w:p>
        </w:tc>
        <w:tc>
          <w:tcPr>
            <w:tcW w:w="933" w:type="dxa"/>
            <w:noWrap w:val="0"/>
            <w:vAlign w:val="center"/>
          </w:tcPr>
          <w:p w14:paraId="1A9FA7E1">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数量</w:t>
            </w:r>
          </w:p>
        </w:tc>
        <w:tc>
          <w:tcPr>
            <w:tcW w:w="973" w:type="dxa"/>
            <w:noWrap w:val="0"/>
            <w:vAlign w:val="center"/>
          </w:tcPr>
          <w:p w14:paraId="1590AFD6">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单价</w:t>
            </w:r>
          </w:p>
        </w:tc>
        <w:tc>
          <w:tcPr>
            <w:tcW w:w="1014" w:type="dxa"/>
            <w:noWrap w:val="0"/>
            <w:vAlign w:val="center"/>
          </w:tcPr>
          <w:p w14:paraId="0B586370">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金额</w:t>
            </w:r>
          </w:p>
        </w:tc>
        <w:tc>
          <w:tcPr>
            <w:tcW w:w="1200" w:type="dxa"/>
            <w:noWrap w:val="0"/>
            <w:vAlign w:val="center"/>
          </w:tcPr>
          <w:p w14:paraId="6DFC35F7">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lang w:val="en-US" w:eastAsia="zh-CN"/>
              </w:rPr>
              <w:t>质保期</w:t>
            </w:r>
          </w:p>
        </w:tc>
      </w:tr>
      <w:tr w14:paraId="068B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26AED8A1">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6C67E36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0D6B86D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480E5718">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35884AF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5446CDAF">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5023F60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6BED101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367650FF">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6F64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542E33B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2C8C4EC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21CD8B0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00F10A8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6AF5028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633A0FE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67A878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2FA33F6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31BA7B3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5CA6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3E0E4B0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080ECB0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46B695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3222F47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1B510B0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66892F2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07C4AA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1976F6A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185CE24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7164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5C1888A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388D57C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1131DA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7DCA719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803681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49C503E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0CE49C4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748F67C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7BD6155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3C5B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00B9EA6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3B87ED7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5C6F8DE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2492646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6544791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1C3139E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3BD16F1">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3CB63D0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4ABF8B6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4F7A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607026B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6DBFD18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0686EE2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637C6968">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05E703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11B4EBB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7819BDA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3CEFA83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153F476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0539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4" w:type="dxa"/>
            <w:gridSpan w:val="4"/>
            <w:noWrap w:val="0"/>
            <w:vAlign w:val="center"/>
          </w:tcPr>
          <w:p w14:paraId="521B3F2F">
            <w:pPr>
              <w:pStyle w:val="2"/>
              <w:widowControl w:val="0"/>
              <w:jc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合计：</w:t>
            </w:r>
          </w:p>
        </w:tc>
        <w:tc>
          <w:tcPr>
            <w:tcW w:w="5080" w:type="dxa"/>
            <w:gridSpan w:val="5"/>
            <w:noWrap w:val="0"/>
            <w:vAlign w:val="top"/>
          </w:tcPr>
          <w:p w14:paraId="7FD02E20">
            <w:pPr>
              <w:pStyle w:val="2"/>
              <w:widowControl w:val="0"/>
              <w:jc w:val="left"/>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小写：      元</w:t>
            </w:r>
          </w:p>
          <w:p w14:paraId="1A93DAB3">
            <w:pPr>
              <w:pStyle w:val="2"/>
              <w:widowControl w:val="0"/>
              <w:jc w:val="left"/>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大写：    元整</w:t>
            </w:r>
          </w:p>
        </w:tc>
      </w:tr>
    </w:tbl>
    <w:p w14:paraId="73B877C6">
      <w:pPr>
        <w:pStyle w:val="2"/>
        <w:rPr>
          <w:rFonts w:hint="eastAsia" w:ascii="仿宋_GB2312" w:hAnsi="仿宋_GB2312" w:eastAsia="仿宋_GB2312" w:cs="仿宋_GB2312"/>
          <w:snapToGrid w:val="0"/>
          <w:color w:val="000000"/>
          <w:spacing w:val="7"/>
          <w:sz w:val="32"/>
          <w:szCs w:val="32"/>
          <w:lang w:val="en-US" w:eastAsia="zh-CN" w:bidi="ar-SA"/>
        </w:rPr>
      </w:pPr>
    </w:p>
    <w:p w14:paraId="4FC63CC6">
      <w:pPr>
        <w:pStyle w:val="2"/>
        <w:rPr>
          <w:rFonts w:hint="eastAsia" w:ascii="仿宋" w:hAnsi="仿宋" w:eastAsia="仿宋" w:cs="仿宋"/>
          <w:spacing w:val="7"/>
          <w:sz w:val="32"/>
          <w:szCs w:val="32"/>
          <w:lang w:eastAsia="zh-CN"/>
        </w:rPr>
      </w:pPr>
    </w:p>
    <w:p w14:paraId="3FE9DD3C"/>
    <w:p w14:paraId="13406BCF">
      <w:bookmarkStart w:id="0" w:name="_GoBack"/>
      <w:bookmarkEnd w:id="0"/>
    </w:p>
    <w:sectPr>
      <w:headerReference r:id="rId5" w:type="default"/>
      <w:footerReference r:id="rId6" w:type="default"/>
      <w:pgSz w:w="12070" w:h="16950"/>
      <w:pgMar w:top="2098" w:right="1474" w:bottom="1984" w:left="1587" w:header="0" w:footer="125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E033">
    <w:pPr>
      <w:spacing w:line="220" w:lineRule="auto"/>
      <w:ind w:left="4336"/>
      <w:rPr>
        <w:rFonts w:hint="eastAsia" w:ascii="宋体" w:hAnsi="宋体" w:eastAsia="宋体" w:cs="宋体"/>
        <w:sz w:val="9"/>
        <w:szCs w:val="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2EC94">
    <w:pPr>
      <w:spacing w:line="175" w:lineRule="auto"/>
      <w:ind w:left="7795"/>
      <w:rPr>
        <w:rFonts w:ascii="Times New Roman" w:hAnsi="Times New Roman" w:eastAsia="Times New Roman" w:cs="Times New Roman"/>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A140E">
    <w:pPr>
      <w:pStyle w:val="4"/>
      <w:spacing w:line="103"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80E4F">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85AAD"/>
    <w:multiLevelType w:val="singleLevel"/>
    <w:tmpl w:val="42285AAD"/>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B23E3"/>
    <w:rsid w:val="102B2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Body Text 3"/>
    <w:basedOn w:val="1"/>
    <w:unhideWhenUsed/>
    <w:qFormat/>
    <w:uiPriority w:val="99"/>
    <w:pPr>
      <w:spacing w:after="120"/>
    </w:pPr>
    <w:rPr>
      <w:sz w:val="16"/>
      <w:szCs w:val="16"/>
    </w:rPr>
  </w:style>
  <w:style w:type="paragraph" w:styleId="4">
    <w:name w:val="Body Text"/>
    <w:basedOn w:val="1"/>
    <w:qFormat/>
    <w:uiPriority w:val="0"/>
    <w:pPr>
      <w:spacing w:before="0" w:after="140" w:line="276" w:lineRule="auto"/>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2026-06-11T12:10:00Z</dcterms:created>
  <dc:creator>Administrator</dc:creator>
  <cp:lastModifiedBy>Administrator</cp:lastModifiedBy>
  <dcterms:modified xsi:type="dcterms:W3CDTF">2026-06-11T12:11:16Z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43F01F2B807E43219D935D3C7DCB4709_11</vt:lpwstr>
  </property>
  <property fmtid="{D5CDD505-2E9C-101B-9397-08002B2CF9AE}" pid="4" name="KSOTemplateDocerSaveRecord">
    <vt:lpwstr>eyJoZGlkIjoiMzQzNjdhMTdjMmI0N2YzYzA5YjhkZjZjMzcwZDkxZDEiLCJ1c2VySWQiOiIyOTU4MDMyODQifQ==</vt:lpwstr>
  </property>
</Properties>
</file>