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版本号：ZCBN-省本级-2026-0617120260624001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陕西省全员人口综合业务管理系统年度运维</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ZCBN-省本级-2026-06171</w:t>
      </w:r>
      <w:r>
        <w:br/>
      </w:r>
      <w:r>
        <w:br/>
      </w:r>
      <w:r>
        <w:br/>
      </w:r>
    </w:p>
    <w:p>
      <w:pPr>
        <w:pStyle w:val="null3"/>
        <w:jc w:val="center"/>
        <w:outlineLvl w:val="2"/>
      </w:pPr>
      <w:r>
        <w:rPr>
          <w:rFonts w:ascii="仿宋_GB2312" w:hAnsi="仿宋_GB2312" w:cs="仿宋_GB2312" w:eastAsia="仿宋_GB2312"/>
          <w:sz w:val="28"/>
          <w:b/>
        </w:rPr>
        <w:t>陕西省卫生健康信息中心</w:t>
      </w:r>
    </w:p>
    <w:p>
      <w:pPr>
        <w:pStyle w:val="null3"/>
        <w:jc w:val="center"/>
        <w:outlineLvl w:val="2"/>
      </w:pPr>
      <w:r>
        <w:rPr>
          <w:rFonts w:ascii="仿宋_GB2312" w:hAnsi="仿宋_GB2312" w:cs="仿宋_GB2312" w:eastAsia="仿宋_GB2312"/>
          <w:sz w:val="28"/>
          <w:b/>
        </w:rPr>
        <w:t>知含国际工程咨询有限公司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知含国际工程咨询有限公司</w:t>
      </w:r>
      <w:r>
        <w:rPr>
          <w:rFonts w:ascii="仿宋_GB2312" w:hAnsi="仿宋_GB2312" w:cs="仿宋_GB2312" w:eastAsia="仿宋_GB2312"/>
        </w:rPr>
        <w:t>（以下简称“代理机构”）受</w:t>
      </w:r>
      <w:r>
        <w:rPr>
          <w:rFonts w:ascii="仿宋_GB2312" w:hAnsi="仿宋_GB2312" w:cs="仿宋_GB2312" w:eastAsia="仿宋_GB2312"/>
        </w:rPr>
        <w:t>陕西省卫生健康信息中心</w:t>
      </w:r>
      <w:r>
        <w:rPr>
          <w:rFonts w:ascii="仿宋_GB2312" w:hAnsi="仿宋_GB2312" w:cs="仿宋_GB2312" w:eastAsia="仿宋_GB2312"/>
        </w:rPr>
        <w:t>委托，拟对</w:t>
      </w:r>
      <w:r>
        <w:rPr>
          <w:rFonts w:ascii="仿宋_GB2312" w:hAnsi="仿宋_GB2312" w:cs="仿宋_GB2312" w:eastAsia="仿宋_GB2312"/>
        </w:rPr>
        <w:t>陕西省全员人口综合业务管理系统年度运维</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ZCBN-省本级-2026-06171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陕西省全员人口综合业务管理系统年度运维</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全员人口综合业务管理系统包括原陕西省人口和计划生育信息化系统，具体涉及全员人口个案管理、生育登记、出生实名登记、计划生育技术服务、人口数据质控等业务模块的日常运行保障、业务实操培训、功能优化、数据上报归集、常态化数据服务、各类接口对接运维等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采购包1（陕西省全员人口综合业务管理系统年度运维）：属于专门面向中小企业采购。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1、营业执照：供应商应具有独立承担民事责任的能力的企业法人、事业法人或其他组织或自然人，并出具合法有效的营业执照或事业单位法人证书等国家规定的相关证明</w:t>
      </w:r>
    </w:p>
    <w:p>
      <w:pPr>
        <w:pStyle w:val="null3"/>
      </w:pPr>
      <w:r>
        <w:rPr>
          <w:rFonts w:ascii="仿宋_GB2312" w:hAnsi="仿宋_GB2312" w:cs="仿宋_GB2312" w:eastAsia="仿宋_GB2312"/>
        </w:rPr>
        <w:t>2、缴纳税收：提供磋商截止日前一年内已缴纳的至少一个月的纳税证明或完税证明，依法免税的单位应提供相关证明材料</w:t>
      </w:r>
    </w:p>
    <w:p>
      <w:pPr>
        <w:pStyle w:val="null3"/>
      </w:pPr>
      <w:r>
        <w:rPr>
          <w:rFonts w:ascii="仿宋_GB2312" w:hAnsi="仿宋_GB2312" w:cs="仿宋_GB2312" w:eastAsia="仿宋_GB2312"/>
        </w:rPr>
        <w:t>3、社会保障资金缴纳证明：提供磋商截止日前一年内已缴存的至少一个月的社会保障资金缴存单据或社保机构开具的社会保险参保缴费情况证明，依法不需要缴纳社会保障资金的单位应提供相关证明材料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财务状况报告：提供【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无所有者权益变动表，提供说明）及其附注、会计师事务所营业执照和2个注册会计师证书（成立时间至提交磋商响应文件截止时间不足一年的可提供成立后任意时段的资产负债表）】或【财政部门认可的政府采购专业担保机构出具的担保函】或【在磋商截止日期前三个月内其基本开户银行出具的资信证明（附开户许可证或开户备案证明或基本存款账户信息）】；以上三种形式的证明资料提供任何一种即可；</w:t>
      </w:r>
    </w:p>
    <w:p>
      <w:pPr>
        <w:pStyle w:val="null3"/>
      </w:pPr>
      <w:r>
        <w:rPr>
          <w:rFonts w:ascii="仿宋_GB2312" w:hAnsi="仿宋_GB2312" w:cs="仿宋_GB2312" w:eastAsia="仿宋_GB2312"/>
        </w:rPr>
        <w:t>5、信用记录：供应商不得列入“信用中国”（www.creditchina.gov.cn）或“中国执行信息公开网”（http://zxgk.court.gov.cn/shixin/）失信被执行人，不得列入“信用中国”（www.creditchina.gov.cn）重大税收违法失信主体，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6、法定代表人授权委托书：法定代表人直接参加磋商的，提供法定代表人身份证明并出示身份证原件；法定代表人授权他人参加磋商的，提供法定代表人委托授权书、被授权代表身份证及本单位证明（养老保险缴纳证明或劳动合同）</w:t>
      </w:r>
    </w:p>
    <w:p>
      <w:pPr>
        <w:pStyle w:val="null3"/>
      </w:pPr>
      <w:r>
        <w:rPr>
          <w:rFonts w:ascii="仿宋_GB2312" w:hAnsi="仿宋_GB2312" w:cs="仿宋_GB2312" w:eastAsia="仿宋_GB2312"/>
        </w:rPr>
        <w:t>7、书面声明：参加本次采购前3年内，在经营活动中没有重大违法记录的书面声明</w:t>
      </w:r>
    </w:p>
    <w:p>
      <w:pPr>
        <w:pStyle w:val="null3"/>
      </w:pPr>
      <w:r>
        <w:rPr>
          <w:rFonts w:ascii="仿宋_GB2312" w:hAnsi="仿宋_GB2312" w:cs="仿宋_GB2312" w:eastAsia="仿宋_GB2312"/>
        </w:rPr>
        <w:t>8、供应商履行合同所必需的设备和专业技术能力：供应商须具有履行合同所必需的设备和专业技术能力，须附相关证明材料或书面声明</w:t>
      </w:r>
    </w:p>
    <w:p>
      <w:pPr>
        <w:pStyle w:val="null3"/>
      </w:pPr>
      <w:r>
        <w:rPr>
          <w:rFonts w:ascii="仿宋_GB2312" w:hAnsi="仿宋_GB2312" w:cs="仿宋_GB2312" w:eastAsia="仿宋_GB2312"/>
        </w:rPr>
        <w:t>9、非联合体承诺书：本项目不接受联合体，单位负责人为同一人或者存在控股、管理关系的不同单位不得同时参加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陕西省卫生健康信息中心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西安市莲湖区莲湖路112号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武老师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029-87360940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知含国际工程咨询有限公司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陕西省西安市雁塔区电子二路60号城发集团二楼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龙瑾阳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029-81128319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参照国家计委关于印发《代理服务收费管理暂行办法》的通知（计价格〔2002〕1980号）、《国家发展和改革委员会办公厅关于代理服务收费有关问题的通知》（发改办价格〔2003〕857号）规定标准收取。2、在领取成交通知书前，由成交单位向采购代理机构缴纳招标代理服务费，一次性付清。3、代理服务费缴纳账户信息：账户名称：知含国际工程咨询有限公司 开户行名称：中国建设银行股份有限公司咸阳世纪大道支行 开户账号：61001635008052503621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陕西省卫生健康信息中心</w:t>
      </w:r>
      <w:r>
        <w:rPr>
          <w:rFonts w:ascii="仿宋_GB2312" w:hAnsi="仿宋_GB2312" w:cs="仿宋_GB2312" w:eastAsia="仿宋_GB2312"/>
        </w:rPr>
        <w:t>和</w:t>
      </w:r>
      <w:r>
        <w:rPr>
          <w:rFonts w:ascii="仿宋_GB2312" w:hAnsi="仿宋_GB2312" w:cs="仿宋_GB2312" w:eastAsia="仿宋_GB2312"/>
        </w:rPr>
        <w:t>知含国际工程咨询有限公司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陕西省卫生健康信息中心</w:t>
      </w:r>
      <w:r>
        <w:rPr>
          <w:rFonts w:ascii="仿宋_GB2312" w:hAnsi="仿宋_GB2312" w:cs="仿宋_GB2312" w:eastAsia="仿宋_GB2312"/>
        </w:rPr>
        <w:t>负责解释。除上述磋商文件内容，其他内容由</w:t>
      </w:r>
      <w:r>
        <w:rPr>
          <w:rFonts w:ascii="仿宋_GB2312" w:hAnsi="仿宋_GB2312" w:cs="仿宋_GB2312" w:eastAsia="仿宋_GB2312"/>
        </w:rPr>
        <w:t>知含国际工程咨询有限公司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陕西省卫生健康信息中心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知含国际工程咨询有限公司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知含国际工程咨询有限公司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知含国际工程咨询有限公司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知含国际工程咨询有限公司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联系人：龙瑾阳</w:t>
      </w:r>
    </w:p>
    <w:p>
      <w:pPr>
        <w:pStyle w:val="null3"/>
      </w:pPr>
      <w:r>
        <w:rPr>
          <w:rFonts w:ascii="仿宋_GB2312" w:hAnsi="仿宋_GB2312" w:cs="仿宋_GB2312" w:eastAsia="仿宋_GB2312"/>
        </w:rPr>
        <w:t>联系电话：029-81128319</w:t>
      </w:r>
    </w:p>
    <w:p>
      <w:pPr>
        <w:pStyle w:val="null3"/>
      </w:pPr>
      <w:r>
        <w:rPr>
          <w:rFonts w:ascii="仿宋_GB2312" w:hAnsi="仿宋_GB2312" w:cs="仿宋_GB2312" w:eastAsia="仿宋_GB2312"/>
        </w:rPr>
        <w:t>地址：陕西省西安市雁塔区电子二路60号城发集团二楼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全员人口综合业务管理系统包括原陕西省人口和计划生育信息化系统，具体涉及全员人口个案管理、生育登记、出生实名登记、计划生育技术服务、人口数据质控等业务模块的日常运行保障、业务实操培训、功能优化、数据上报归集、常态化数据服务、各类接口对接运维等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全员人口</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标的名称：全员人口</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345" w:after="330"/>
              <w:jc w:val="both"/>
            </w:pPr>
            <w:r>
              <w:rPr>
                <w:rFonts w:ascii="仿宋_GB2312" w:hAnsi="仿宋_GB2312" w:cs="仿宋_GB2312" w:eastAsia="仿宋_GB2312"/>
                <w:sz w:val="28"/>
                <w:b/>
              </w:rPr>
              <w:t>1.</w:t>
            </w:r>
            <w:r>
              <w:rPr>
                <w:rFonts w:ascii="仿宋_GB2312" w:hAnsi="仿宋_GB2312" w:cs="仿宋_GB2312" w:eastAsia="仿宋_GB2312"/>
                <w:sz w:val="28"/>
                <w:b/>
              </w:rPr>
              <w:t>运维内容</w:t>
            </w:r>
          </w:p>
          <w:p>
            <w:pPr>
              <w:pStyle w:val="null3"/>
              <w:spacing w:before="345" w:after="330"/>
              <w:ind w:firstLine="480"/>
              <w:jc w:val="both"/>
            </w:pPr>
            <w:r>
              <w:rPr>
                <w:rFonts w:ascii="仿宋_GB2312" w:hAnsi="仿宋_GB2312" w:cs="仿宋_GB2312" w:eastAsia="仿宋_GB2312"/>
                <w:sz w:val="24"/>
              </w:rPr>
              <w:t>本项目为年度运维服务项目，服务范围包括现有系统的日常运维、故障处理、漏洞修复、版本升级、一般性功能优化、接口维护、数据治理、培训和报告编制等。对于超出既有业务体系、需新增独立模块、重大业务流程重构、重大架构调整、大规模历史数据重构迁移等内容，不属于本项目包干范围，由双方另行确认实施方式。</w:t>
            </w:r>
          </w:p>
          <w:p>
            <w:pPr>
              <w:pStyle w:val="null3"/>
            </w:pPr>
            <w:r>
              <w:rPr>
                <w:rFonts w:ascii="仿宋_GB2312" w:hAnsi="仿宋_GB2312" w:cs="仿宋_GB2312" w:eastAsia="仿宋_GB2312"/>
                <w:sz w:val="28"/>
                <w:b/>
              </w:rPr>
              <w:t>1.1</w:t>
            </w:r>
            <w:r>
              <w:rPr>
                <w:rFonts w:ascii="仿宋_GB2312" w:hAnsi="仿宋_GB2312" w:cs="仿宋_GB2312" w:eastAsia="仿宋_GB2312"/>
                <w:sz w:val="28"/>
                <w:b/>
              </w:rPr>
              <w:t>陕西省全员人口综合业务管理系统基础运维服务</w:t>
            </w:r>
          </w:p>
          <w:p>
            <w:pPr>
              <w:pStyle w:val="null3"/>
              <w:ind w:firstLine="480"/>
              <w:jc w:val="both"/>
            </w:pPr>
            <w:r>
              <w:rPr>
                <w:rFonts w:ascii="仿宋_GB2312" w:hAnsi="仿宋_GB2312" w:cs="仿宋_GB2312" w:eastAsia="仿宋_GB2312"/>
                <w:sz w:val="24"/>
              </w:rPr>
              <w:t>陕西省全员人口综合业务管理系统包括原陕西省人口和计划生育信息化系统，具体涉及全员人口个案管理、生育登记、出生实名登记、计划生育技术服务、人口数据质控等业务模块的日常运行保障、业务实操培训、功能优化、数据上报归集、常态化数据服务、各类接口对接运维等工作。</w:t>
            </w:r>
          </w:p>
          <w:p>
            <w:pPr>
              <w:pStyle w:val="null3"/>
              <w:ind w:firstLine="480"/>
              <w:jc w:val="both"/>
            </w:pPr>
            <w:r>
              <w:rPr>
                <w:rFonts w:ascii="仿宋_GB2312" w:hAnsi="仿宋_GB2312" w:cs="仿宋_GB2312" w:eastAsia="仿宋_GB2312"/>
                <w:sz w:val="24"/>
              </w:rPr>
              <w:t>项目的运维范围包括：</w:t>
            </w:r>
          </w:p>
          <w:p>
            <w:pPr>
              <w:pStyle w:val="null3"/>
              <w:ind w:firstLine="480"/>
              <w:jc w:val="both"/>
            </w:pPr>
            <w:r>
              <w:rPr>
                <w:rFonts w:ascii="仿宋_GB2312" w:hAnsi="仿宋_GB2312" w:cs="仿宋_GB2312" w:eastAsia="仿宋_GB2312"/>
                <w:sz w:val="24"/>
              </w:rPr>
              <w:t>1.各业务模块的日常运维保障，包括基于运行环境运维，如服务器资源规划、调整与运行维护，虚拟技术产品的规划、实施与运行维护（包括虚拟机、虚拟磁盘、虚拟带库等），新增设备的联调与监测，设备现场巡检与维护，每周不少于一次，并按时填写巡检记录表，纳入甲方工单或运维台账管理，作为履约考核和验收依据。对网络、服务器、存储等进行实时监控及性能分析。系统运维，包括系统安全保障、系统故障处理、系统版本升级、区划维护、系统日常问题处理等。7*24小时在线服务支持，系统出现故障后10分钟内响应。故障处置时限按照本文件“运维服务响应要求”中对应优先级（P1-P4）执行。对重大故障应优先恢复核心业务可用性。特殊情况下，根据甲方要求的时间进行修复。</w:t>
            </w:r>
          </w:p>
          <w:p>
            <w:pPr>
              <w:pStyle w:val="null3"/>
              <w:ind w:firstLine="480"/>
              <w:jc w:val="both"/>
            </w:pPr>
            <w:r>
              <w:rPr>
                <w:rFonts w:ascii="仿宋_GB2312" w:hAnsi="仿宋_GB2312" w:cs="仿宋_GB2312" w:eastAsia="仿宋_GB2312"/>
                <w:sz w:val="24"/>
              </w:rPr>
              <w:t>2.各系统界面优化、业务功能优化、系统漏洞的处理修复及其他日常维护。</w:t>
            </w:r>
          </w:p>
          <w:p>
            <w:pPr>
              <w:pStyle w:val="null3"/>
              <w:ind w:firstLine="480"/>
              <w:jc w:val="both"/>
            </w:pPr>
            <w:r>
              <w:rPr>
                <w:rFonts w:ascii="仿宋_GB2312" w:hAnsi="仿宋_GB2312" w:cs="仿宋_GB2312" w:eastAsia="仿宋_GB2312"/>
                <w:sz w:val="24"/>
              </w:rPr>
              <w:t>根据采购人业务需要，供应商应配合开展生育登记服务子系统用户上传材料</w:t>
            </w:r>
            <w:r>
              <w:rPr>
                <w:rFonts w:ascii="仿宋_GB2312" w:hAnsi="仿宋_GB2312" w:cs="仿宋_GB2312" w:eastAsia="仿宋_GB2312"/>
                <w:sz w:val="24"/>
              </w:rPr>
              <w:t>OCR识别功能的可行性分析、技术方案设计、测试验证及实施支持工作。待采购人确认业务规则、部署条件、安全合规要求及相关支撑条件具备后，再以书面需求单、工单或变更单方式明确具体实施内容。</w:t>
            </w:r>
          </w:p>
          <w:p>
            <w:pPr>
              <w:pStyle w:val="null3"/>
              <w:ind w:firstLine="480"/>
              <w:jc w:val="both"/>
            </w:pPr>
            <w:r>
              <w:rPr>
                <w:rFonts w:ascii="仿宋_GB2312" w:hAnsi="仿宋_GB2312" w:cs="仿宋_GB2312" w:eastAsia="仿宋_GB2312"/>
                <w:sz w:val="24"/>
              </w:rPr>
              <w:t>3.向全省各个地市、所有区县及基层用户通过客服电话受理针对陕西省全员人口综合业务管理系统的服务请求，对用户的服务请求做出响应，解决用户在使用、管理过程中遇到的问题、处理用户提出的建议或者解决用户发现的系统相关故障，根据平台功能优化需求不定期开展培训。</w:t>
            </w:r>
          </w:p>
          <w:p>
            <w:pPr>
              <w:pStyle w:val="null3"/>
              <w:ind w:firstLine="480"/>
              <w:jc w:val="both"/>
            </w:pPr>
            <w:r>
              <w:rPr>
                <w:rFonts w:ascii="仿宋_GB2312" w:hAnsi="仿宋_GB2312" w:cs="仿宋_GB2312" w:eastAsia="仿宋_GB2312"/>
                <w:sz w:val="24"/>
              </w:rPr>
              <w:t>4.根据国家及省级要求，提供数据上报归集、常态化数据服务、数据质控规则维护。</w:t>
            </w:r>
          </w:p>
          <w:p>
            <w:pPr>
              <w:pStyle w:val="null3"/>
              <w:ind w:firstLine="480"/>
              <w:jc w:val="both"/>
            </w:pPr>
            <w:r>
              <w:rPr>
                <w:rFonts w:ascii="仿宋_GB2312" w:hAnsi="仿宋_GB2312" w:cs="仿宋_GB2312" w:eastAsia="仿宋_GB2312"/>
                <w:sz w:val="24"/>
              </w:rPr>
              <w:t>5.确保各业务系统数据对接接口的正常运行，包括接口监控、接口传输情况、接口优化、接口文档更新等。</w:t>
            </w:r>
          </w:p>
          <w:p>
            <w:pPr>
              <w:pStyle w:val="null3"/>
              <w:ind w:firstLine="480"/>
              <w:jc w:val="both"/>
            </w:pPr>
            <w:r>
              <w:rPr>
                <w:rFonts w:ascii="仿宋_GB2312" w:hAnsi="仿宋_GB2312" w:cs="仿宋_GB2312" w:eastAsia="仿宋_GB2312"/>
                <w:sz w:val="24"/>
              </w:rPr>
              <w:t>6.为满足省全员人口综合业务管理系统向群众和工作人员发送业务办理短信提醒的功能，需要向第三方采购短信服务，要求提供能够满足运维期内的所有类型、系统页面的短信服务。</w:t>
            </w:r>
          </w:p>
          <w:p>
            <w:pPr>
              <w:pStyle w:val="null3"/>
              <w:ind w:firstLine="480"/>
              <w:jc w:val="left"/>
            </w:pPr>
            <w:r>
              <w:rPr>
                <w:rFonts w:ascii="仿宋_GB2312" w:hAnsi="仿宋_GB2312" w:cs="仿宋_GB2312" w:eastAsia="仿宋_GB2312"/>
                <w:sz w:val="24"/>
              </w:rPr>
              <w:t>7.每次月5日之前提交上月系统运维月报</w:t>
            </w:r>
          </w:p>
          <w:p>
            <w:pPr>
              <w:pStyle w:val="null3"/>
            </w:pPr>
            <w:r>
              <w:rPr>
                <w:rFonts w:ascii="仿宋_GB2312" w:hAnsi="仿宋_GB2312" w:cs="仿宋_GB2312" w:eastAsia="仿宋_GB2312"/>
                <w:sz w:val="28"/>
                <w:b/>
              </w:rPr>
              <w:t>1.2</w:t>
            </w:r>
            <w:r>
              <w:rPr>
                <w:rFonts w:ascii="仿宋_GB2312" w:hAnsi="仿宋_GB2312" w:cs="仿宋_GB2312" w:eastAsia="仿宋_GB2312"/>
                <w:sz w:val="28"/>
                <w:b/>
              </w:rPr>
              <w:t>陕西省全员人口综合业务管理系统相关数据库（含人口基础数据库）运维服务</w:t>
            </w:r>
          </w:p>
          <w:p>
            <w:pPr>
              <w:pStyle w:val="null3"/>
              <w:ind w:firstLine="480"/>
              <w:jc w:val="both"/>
            </w:pPr>
            <w:r>
              <w:rPr>
                <w:rFonts w:ascii="仿宋_GB2312" w:hAnsi="仿宋_GB2312" w:cs="仿宋_GB2312" w:eastAsia="仿宋_GB2312"/>
                <w:sz w:val="24"/>
              </w:rPr>
              <w:t>陕西省全员人口综合业务管理系统相关数据库（含人口基础数据库）运维服务的范围包括：省卫健委托管理于省电子政务统一平台中心机房内网的主机、存储以及支撑应用系统运行的系统软件和人口基础数据库；位于省信息化中心的支撑陕西省全员人口综合业务管理系统的全员人口库、业务数据库、质控数据库。</w:t>
            </w:r>
          </w:p>
          <w:p>
            <w:pPr>
              <w:pStyle w:val="null3"/>
              <w:ind w:firstLine="480"/>
              <w:jc w:val="both"/>
            </w:pPr>
            <w:r>
              <w:rPr>
                <w:rFonts w:ascii="仿宋_GB2312" w:hAnsi="仿宋_GB2312" w:cs="仿宋_GB2312" w:eastAsia="仿宋_GB2312"/>
                <w:sz w:val="24"/>
              </w:rPr>
              <w:t>要求做好业务系统数据库基础环境和性能维护，保障数据库安全稳定运行，保障业务数据的安全性和保密性，并实现数据质量提升，同时配合进行与其他相关业务系统的数据共享，定期提供数据库月度运维月报。</w:t>
            </w:r>
          </w:p>
          <w:p>
            <w:pPr>
              <w:pStyle w:val="null3"/>
              <w:ind w:firstLine="480"/>
              <w:jc w:val="both"/>
            </w:pPr>
            <w:r>
              <w:rPr>
                <w:rFonts w:ascii="仿宋_GB2312" w:hAnsi="仿宋_GB2312" w:cs="仿宋_GB2312" w:eastAsia="仿宋_GB2312"/>
                <w:sz w:val="24"/>
              </w:rPr>
              <w:t>具体要求如下：</w:t>
            </w:r>
          </w:p>
          <w:p>
            <w:pPr>
              <w:pStyle w:val="null3"/>
            </w:pPr>
            <w:r>
              <w:rPr>
                <w:rFonts w:ascii="仿宋_GB2312" w:hAnsi="仿宋_GB2312" w:cs="仿宋_GB2312" w:eastAsia="仿宋_GB2312"/>
                <w:sz w:val="28"/>
                <w:b/>
              </w:rPr>
              <w:t>1.2.1</w:t>
            </w:r>
            <w:r>
              <w:rPr>
                <w:rFonts w:ascii="仿宋_GB2312" w:hAnsi="仿宋_GB2312" w:cs="仿宋_GB2312" w:eastAsia="仿宋_GB2312"/>
                <w:sz w:val="28"/>
                <w:b/>
              </w:rPr>
              <w:t>数据库基础环境和运行性能维护</w:t>
            </w:r>
          </w:p>
          <w:p>
            <w:pPr>
              <w:pStyle w:val="null3"/>
              <w:ind w:firstLine="480"/>
              <w:jc w:val="both"/>
            </w:pPr>
            <w:r>
              <w:rPr>
                <w:rFonts w:ascii="仿宋_GB2312" w:hAnsi="仿宋_GB2312" w:cs="仿宋_GB2312" w:eastAsia="仿宋_GB2312"/>
                <w:sz w:val="24"/>
              </w:rPr>
              <w:t>要求定期对数据库进行数据备份、数据恢复、性能优化、数据完整性检查等基础运维工作，对数据库系统各项性能参数配置进行合理调优。</w:t>
            </w:r>
          </w:p>
          <w:p>
            <w:pPr>
              <w:pStyle w:val="null3"/>
              <w:ind w:firstLine="480"/>
              <w:jc w:val="both"/>
            </w:pPr>
            <w:r>
              <w:rPr>
                <w:rFonts w:ascii="仿宋_GB2312" w:hAnsi="仿宋_GB2312" w:cs="仿宋_GB2312" w:eastAsia="仿宋_GB2312"/>
                <w:sz w:val="24"/>
              </w:rPr>
              <w:t>要求定期对数据库进行性能优化。结合日常检查、数据库巡检、客户应用需求和客户重大事件，制定数据库系统性能调优工作方案。针对当前数据库运行情况以及收集的性能信息，提出系统各项性能参数配置合理调优或扩容建议。在获得客户同意后，对数据库系统各项性能参数配置进行合理调优。</w:t>
            </w:r>
          </w:p>
          <w:p>
            <w:pPr>
              <w:pStyle w:val="null3"/>
              <w:ind w:firstLine="480"/>
              <w:jc w:val="both"/>
            </w:pPr>
            <w:r>
              <w:rPr>
                <w:rFonts w:ascii="仿宋_GB2312" w:hAnsi="仿宋_GB2312" w:cs="仿宋_GB2312" w:eastAsia="仿宋_GB2312"/>
                <w:sz w:val="24"/>
              </w:rPr>
              <w:t>在对数据库系统性能调优前，应制定数据库性能调优方案，包括调优操作步骤、应急方案和措施、必要的信息备份等。在获得客户同意后，进行数据库性能优化或</w:t>
            </w:r>
            <w:r>
              <w:rPr>
                <w:rFonts w:ascii="仿宋_GB2312" w:hAnsi="仿宋_GB2312" w:cs="仿宋_GB2312" w:eastAsia="仿宋_GB2312"/>
                <w:sz w:val="24"/>
              </w:rPr>
              <w:t>SQL优化。针对由于数据库性能问题导致的系统问题，提供可实现的保障服务并提出有效解决方案。</w:t>
            </w:r>
          </w:p>
          <w:p>
            <w:pPr>
              <w:pStyle w:val="null3"/>
              <w:ind w:firstLine="480"/>
              <w:jc w:val="both"/>
            </w:pPr>
            <w:r>
              <w:rPr>
                <w:rFonts w:ascii="仿宋_GB2312" w:hAnsi="仿宋_GB2312" w:cs="仿宋_GB2312" w:eastAsia="仿宋_GB2312"/>
                <w:sz w:val="24"/>
              </w:rPr>
              <w:t>要求开展数据库日常巡检服务，定期检查数据库相关软件、数据库配置情况，按经采购人确认的备份策略定期进行数据库本地、异地备份，并对备份数据定期开展还原测试，确定备份数据是否正常。</w:t>
            </w:r>
          </w:p>
          <w:p>
            <w:pPr>
              <w:pStyle w:val="null3"/>
              <w:ind w:firstLine="480"/>
              <w:jc w:val="both"/>
            </w:pPr>
            <w:r>
              <w:rPr>
                <w:rFonts w:ascii="仿宋_GB2312" w:hAnsi="仿宋_GB2312" w:cs="仿宋_GB2312" w:eastAsia="仿宋_GB2312"/>
                <w:sz w:val="24"/>
              </w:rPr>
              <w:t>要求定期统计数据库表空间、数据文件使用情况并记录相关数据。</w:t>
            </w:r>
          </w:p>
          <w:p>
            <w:pPr>
              <w:pStyle w:val="null3"/>
              <w:ind w:firstLine="480"/>
              <w:jc w:val="both"/>
            </w:pPr>
            <w:r>
              <w:rPr>
                <w:rFonts w:ascii="仿宋_GB2312" w:hAnsi="仿宋_GB2312" w:cs="仿宋_GB2312" w:eastAsia="仿宋_GB2312"/>
                <w:sz w:val="24"/>
              </w:rPr>
              <w:t>要求定期检查系统用户、数据库用户的安全性。</w:t>
            </w:r>
          </w:p>
          <w:p>
            <w:pPr>
              <w:pStyle w:val="null3"/>
              <w:ind w:firstLine="480"/>
              <w:jc w:val="both"/>
            </w:pPr>
            <w:r>
              <w:rPr>
                <w:rFonts w:ascii="仿宋_GB2312" w:hAnsi="仿宋_GB2312" w:cs="仿宋_GB2312" w:eastAsia="仿宋_GB2312"/>
                <w:sz w:val="24"/>
              </w:rPr>
              <w:t>要求提供应急保障服务。当出现由于各种原因引起数据库不可用或者部分不可用的状况时，服务团队应精通灾备技术，快速恢复各种灾难性故障。利用备份数据实现快速故障恢复，针对数据灾难情形提供强有力的挽救技术或工具。</w:t>
            </w:r>
          </w:p>
          <w:p>
            <w:pPr>
              <w:pStyle w:val="null3"/>
              <w:ind w:firstLine="480"/>
              <w:jc w:val="both"/>
            </w:pPr>
            <w:r>
              <w:rPr>
                <w:rFonts w:ascii="仿宋_GB2312" w:hAnsi="仿宋_GB2312" w:cs="仿宋_GB2312" w:eastAsia="仿宋_GB2312"/>
                <w:sz w:val="24"/>
              </w:rPr>
              <w:t>要求配备专业的数据库管理运维人员，能够开展日常的数据库操作、数据库安全管理、数据备份还原、数据导入导出、数据库脚本编写、数据库漏洞修复等工作，也能进行数据库系统空间合理配置、数据库性能优化，以保证数据库和业务系统的稳定运行。</w:t>
            </w:r>
          </w:p>
          <w:p>
            <w:pPr>
              <w:pStyle w:val="null3"/>
            </w:pPr>
            <w:r>
              <w:rPr>
                <w:rFonts w:ascii="仿宋_GB2312" w:hAnsi="仿宋_GB2312" w:cs="仿宋_GB2312" w:eastAsia="仿宋_GB2312"/>
                <w:sz w:val="28"/>
                <w:b/>
              </w:rPr>
              <w:t>1.2.2</w:t>
            </w:r>
            <w:r>
              <w:rPr>
                <w:rFonts w:ascii="仿宋_GB2312" w:hAnsi="仿宋_GB2312" w:cs="仿宋_GB2312" w:eastAsia="仿宋_GB2312"/>
                <w:sz w:val="28"/>
                <w:b/>
              </w:rPr>
              <w:t>全员人口数据库（含人口基础数据库）数据质量提升</w:t>
            </w:r>
          </w:p>
          <w:p>
            <w:pPr>
              <w:pStyle w:val="null3"/>
              <w:ind w:firstLine="480"/>
              <w:jc w:val="both"/>
            </w:pPr>
            <w:r>
              <w:rPr>
                <w:rFonts w:ascii="仿宋_GB2312" w:hAnsi="仿宋_GB2312" w:cs="仿宋_GB2312" w:eastAsia="仿宋_GB2312"/>
                <w:sz w:val="24"/>
              </w:rPr>
              <w:t>1.根据国家要求，需要开展省级全员人口数据库数据清理和校核工作，包括冗余数据清理、信息补登纠错、统一识别代码等工作，通过采用数据质控子系统对全员人口库的基础数据进行清理和校核，通过数据传输接口向国家进行数据报送，包括存量信息报送及持续的按月增量信息报送，通过调用数据反馈接口服务接收国家反馈的数据，对国家反馈的问题数据进行处理和分析，并定期生成数据问题分析和处理报告。</w:t>
            </w:r>
          </w:p>
          <w:p>
            <w:pPr>
              <w:pStyle w:val="null3"/>
              <w:ind w:firstLine="480"/>
              <w:jc w:val="both"/>
            </w:pPr>
            <w:r>
              <w:rPr>
                <w:rFonts w:ascii="仿宋_GB2312" w:hAnsi="仿宋_GB2312" w:cs="仿宋_GB2312" w:eastAsia="仿宋_GB2312"/>
                <w:sz w:val="24"/>
              </w:rPr>
              <w:t>2.优化数据质控模块与业务系统数据交互，确保质控后的数据能够快速推送至业务系统，提升人口数据质量。</w:t>
            </w:r>
          </w:p>
          <w:p>
            <w:pPr>
              <w:pStyle w:val="null3"/>
              <w:ind w:firstLine="480"/>
              <w:jc w:val="both"/>
            </w:pPr>
            <w:r>
              <w:rPr>
                <w:rFonts w:ascii="仿宋_GB2312" w:hAnsi="仿宋_GB2312" w:cs="仿宋_GB2312" w:eastAsia="仿宋_GB2312"/>
                <w:sz w:val="24"/>
              </w:rPr>
              <w:t>3.数据共享：按需求定期将全员人口相关数据，与其他业务系统、陕西省全民健康信息平台数据交换枢纽等进行数据共享和对接，根据需求开发数据交换接口，满足各业务系统数据需求，并通过数据共享提高全员人口数据库质量。</w:t>
            </w:r>
          </w:p>
          <w:p>
            <w:pPr>
              <w:pStyle w:val="null3"/>
            </w:pPr>
            <w:r>
              <w:rPr>
                <w:rFonts w:ascii="仿宋_GB2312" w:hAnsi="仿宋_GB2312" w:cs="仿宋_GB2312" w:eastAsia="仿宋_GB2312"/>
                <w:sz w:val="28"/>
                <w:b/>
              </w:rPr>
              <w:t>1.2.3</w:t>
            </w:r>
            <w:r>
              <w:rPr>
                <w:rFonts w:ascii="仿宋_GB2312" w:hAnsi="仿宋_GB2312" w:cs="仿宋_GB2312" w:eastAsia="仿宋_GB2312"/>
                <w:sz w:val="28"/>
                <w:b/>
              </w:rPr>
              <w:t>全员人口质控库运行维护</w:t>
            </w:r>
          </w:p>
          <w:p>
            <w:pPr>
              <w:pStyle w:val="null3"/>
              <w:ind w:firstLine="480"/>
              <w:jc w:val="both"/>
            </w:pPr>
            <w:r>
              <w:rPr>
                <w:rFonts w:ascii="仿宋_GB2312" w:hAnsi="仿宋_GB2312" w:cs="仿宋_GB2312" w:eastAsia="仿宋_GB2312"/>
                <w:sz w:val="24"/>
              </w:rPr>
              <w:t>1.数据标准与对接规范持续维护更新。常态化管理所有对接数据源及全员人口核心库，梳理对接数据源台账、规范数据源接入准入、变更、退出流程，动态校验数据源合规性、规范性，保障全省人口数据对接、汇聚、存储、输出全流程标准统一、有据可依。</w:t>
            </w:r>
          </w:p>
          <w:p>
            <w:pPr>
              <w:pStyle w:val="null3"/>
              <w:ind w:firstLine="480"/>
              <w:jc w:val="both"/>
            </w:pPr>
            <w:r>
              <w:rPr>
                <w:rFonts w:ascii="仿宋_GB2312" w:hAnsi="仿宋_GB2312" w:cs="仿宋_GB2312" w:eastAsia="仿宋_GB2312"/>
                <w:sz w:val="24"/>
              </w:rPr>
              <w:t>2.多源数据共享比对与自动校核运维服务。建立对多源人口信息进行比对、自动校核的智能化机制，针对人口出生、死亡行政区划调整等各类人口变动个案，配置、迭代精细化数据校核规则，实现多源数据自动比对、逻辑校验、差异标注。跟进异常数据、重复人员数据处理情况，持续清洗纠错、去重补全、标准修正，解决数据不一致、缺失、错误、冗余等问题，提升全员人口库数据完整性、准确性、一致性、时效性。</w:t>
            </w:r>
          </w:p>
          <w:p>
            <w:pPr>
              <w:pStyle w:val="null3"/>
              <w:ind w:firstLine="480"/>
              <w:jc w:val="both"/>
            </w:pPr>
            <w:r>
              <w:rPr>
                <w:rFonts w:ascii="仿宋_GB2312" w:hAnsi="仿宋_GB2312" w:cs="仿宋_GB2312" w:eastAsia="仿宋_GB2312"/>
                <w:sz w:val="24"/>
              </w:rPr>
              <w:t>3.持续优化人口质控数据库与全员人口库接口、数据传输、数据同步链路，排查解决接口中断、数据超时、同步失败、数据丢失、数据错位等问题，保障跨系统数据高效、稳定流转。建立健全数据双向反馈运维机制，针对多源数据对接、业务数据交互过程中发现的人口数据问题、业务适配问题，打通数据共享、问题校核、整改反馈全链路，实现质控数据库与人口基础数据动态联动、同步更新。</w:t>
            </w:r>
          </w:p>
          <w:p>
            <w:pPr>
              <w:pStyle w:val="null3"/>
              <w:ind w:firstLine="480"/>
              <w:jc w:val="both"/>
            </w:pPr>
            <w:r>
              <w:rPr>
                <w:rFonts w:ascii="仿宋_GB2312" w:hAnsi="仿宋_GB2312" w:cs="仿宋_GB2312" w:eastAsia="仿宋_GB2312"/>
                <w:sz w:val="24"/>
              </w:rPr>
              <w:t>4.要求持续完善全员人口数据集标准和数据对接标准，管理对接的数据源和全员人口库。对人口质控库接入的数据源进行持续优化，包括出生数据、死亡数据等，完善数据接入统计能力，统计数据源接入数量、接入频次、数据同步成功率、新增数据量、变更数据量、异常数据量等核心指标，直观呈现全省人口数据汇聚接入整体情况。持续优化数据质控监测能力，动态展示数据合格率、问题数据类型分布、区域数据质量差异、未整改情况台账等信息，为人口数据管理、质量管控、业务研判提供常态化数据监测支撑。</w:t>
            </w:r>
          </w:p>
          <w:p>
            <w:pPr>
              <w:pStyle w:val="null3"/>
              <w:ind w:firstLine="480"/>
              <w:jc w:val="both"/>
            </w:pPr>
            <w:r>
              <w:rPr>
                <w:rFonts w:ascii="仿宋_GB2312" w:hAnsi="仿宋_GB2312" w:cs="仿宋_GB2312" w:eastAsia="仿宋_GB2312"/>
                <w:sz w:val="24"/>
              </w:rPr>
              <w:t>5.对人口监测模块的监测指标进行优化及完善。根据国家、省级要求，优化数据监测指标。</w:t>
            </w:r>
          </w:p>
          <w:p>
            <w:pPr>
              <w:pStyle w:val="null3"/>
              <w:ind w:firstLine="480"/>
              <w:jc w:val="both"/>
            </w:pPr>
            <w:r>
              <w:rPr>
                <w:rFonts w:ascii="仿宋_GB2312" w:hAnsi="仿宋_GB2312" w:cs="仿宋_GB2312" w:eastAsia="仿宋_GB2312"/>
                <w:sz w:val="24"/>
              </w:rPr>
              <w:t>6.数据上报及统计报表优化。根据国家、省级要求，对人口质控库及陕西省全员人口综合业务管理系统现有报表进行优化完善，完善统计规则、查询条件等。</w:t>
            </w:r>
          </w:p>
          <w:p>
            <w:pPr>
              <w:pStyle w:val="null3"/>
              <w:ind w:firstLine="480"/>
              <w:jc w:val="both"/>
            </w:pPr>
            <w:r>
              <w:rPr>
                <w:rFonts w:ascii="仿宋_GB2312" w:hAnsi="仿宋_GB2312" w:cs="仿宋_GB2312" w:eastAsia="仿宋_GB2312"/>
                <w:sz w:val="24"/>
              </w:rPr>
              <w:t>7.持续优化完善数据治理流程。持续完善数据治理流程，形成治理标准体系，持续完善并输出数据治理过程文档。</w:t>
            </w:r>
          </w:p>
          <w:p>
            <w:pPr>
              <w:pStyle w:val="null3"/>
            </w:pPr>
            <w:r>
              <w:rPr>
                <w:rFonts w:ascii="仿宋_GB2312" w:hAnsi="仿宋_GB2312" w:cs="仿宋_GB2312" w:eastAsia="仿宋_GB2312"/>
                <w:sz w:val="28"/>
                <w:b/>
              </w:rPr>
              <w:t>1.3</w:t>
            </w:r>
            <w:r>
              <w:rPr>
                <w:rFonts w:ascii="仿宋_GB2312" w:hAnsi="仿宋_GB2312" w:cs="仿宋_GB2312" w:eastAsia="仿宋_GB2312"/>
                <w:sz w:val="28"/>
                <w:b/>
              </w:rPr>
              <w:t>陕西省全员人口综合业务管理系统数据交换接口维护</w:t>
            </w:r>
          </w:p>
          <w:p>
            <w:pPr>
              <w:pStyle w:val="null3"/>
              <w:ind w:firstLine="480"/>
              <w:jc w:val="both"/>
            </w:pPr>
            <w:r>
              <w:rPr>
                <w:rFonts w:ascii="仿宋_GB2312" w:hAnsi="仿宋_GB2312" w:cs="仿宋_GB2312" w:eastAsia="仿宋_GB2312"/>
                <w:sz w:val="24"/>
              </w:rPr>
              <w:t>陕西省全员人口综合业务管理系统数据交换接口维护包括但不限于平台与</w:t>
            </w:r>
            <w:r>
              <w:rPr>
                <w:rFonts w:ascii="仿宋_GB2312" w:hAnsi="仿宋_GB2312" w:cs="仿宋_GB2312" w:eastAsia="仿宋_GB2312"/>
                <w:sz w:val="24"/>
              </w:rPr>
              <w:t>4个地市（咸阳、渭南、安康、商洛）相关生育登记数据获取接口维护、国家互联互通接口维护、国家加密传输接口维护、与育儿补贴系统孩次查询接口开发、调试和维护、与省一体化政务服务中心“一件事一次办”生育登记接口维护、与省政务服务中心“高效办成一件事”生育登记接口维护、技术服务系统按月统计报表接口维护、数据质控系统与陕西省全员人口综合业务管理系统的接口维护、人口数据质控库与现有死因监测数据共享维护、全员人口统计报表按季度、半年、一年统计接口维护，以及其他与相关机构、国家级平台的接口维护等。</w:t>
            </w:r>
          </w:p>
          <w:p>
            <w:pPr>
              <w:pStyle w:val="null3"/>
              <w:ind w:firstLine="480"/>
              <w:jc w:val="both"/>
            </w:pPr>
            <w:r>
              <w:rPr>
                <w:rFonts w:ascii="仿宋_GB2312" w:hAnsi="仿宋_GB2312" w:cs="仿宋_GB2312" w:eastAsia="仿宋_GB2312"/>
                <w:sz w:val="24"/>
              </w:rPr>
              <w:t>对现有接口开展日常监控、维护、调试和优化；根据采购人业务需要，对与现有业务体系直接相关的数据交换接口进行新增、调整和联调。涉及新增独立系统、重大业务重构或明显超出本项目合理工作量的接口建设内容，由双方另行确认。</w:t>
            </w:r>
          </w:p>
          <w:p>
            <w:pPr>
              <w:pStyle w:val="null3"/>
            </w:pPr>
            <w:r>
              <w:rPr>
                <w:rFonts w:ascii="仿宋_GB2312" w:hAnsi="仿宋_GB2312" w:cs="仿宋_GB2312" w:eastAsia="仿宋_GB2312"/>
                <w:sz w:val="28"/>
                <w:b/>
              </w:rPr>
              <w:t>2.</w:t>
            </w:r>
            <w:r>
              <w:rPr>
                <w:rFonts w:ascii="仿宋_GB2312" w:hAnsi="仿宋_GB2312" w:cs="仿宋_GB2312" w:eastAsia="仿宋_GB2312"/>
                <w:sz w:val="28"/>
                <w:b/>
              </w:rPr>
              <w:t>运维服务要求</w:t>
            </w:r>
          </w:p>
          <w:p>
            <w:pPr>
              <w:pStyle w:val="null3"/>
              <w:spacing w:before="255" w:after="255"/>
              <w:jc w:val="both"/>
            </w:pPr>
            <w:r>
              <w:rPr>
                <w:rFonts w:ascii="仿宋_GB2312" w:hAnsi="仿宋_GB2312" w:cs="仿宋_GB2312" w:eastAsia="仿宋_GB2312"/>
                <w:sz w:val="28"/>
                <w:b/>
              </w:rPr>
              <w:t>2.1</w:t>
            </w:r>
            <w:r>
              <w:rPr>
                <w:rFonts w:ascii="仿宋_GB2312" w:hAnsi="仿宋_GB2312" w:cs="仿宋_GB2312" w:eastAsia="仿宋_GB2312"/>
                <w:sz w:val="28"/>
                <w:b/>
              </w:rPr>
              <w:t>运维服务具体内容</w:t>
            </w:r>
          </w:p>
          <w:tbl>
            <w:tblPr>
              <w:tblInd w:type="dxa" w:w="120"/>
              <w:tblBorders>
                <w:top w:val="none" w:color="000000" w:sz="4"/>
                <w:left w:val="none" w:color="000000" w:sz="4"/>
                <w:bottom w:val="none" w:color="000000" w:sz="4"/>
                <w:right w:val="none" w:color="000000" w:sz="4"/>
                <w:insideH w:val="none"/>
                <w:insideV w:val="none"/>
              </w:tblBorders>
            </w:tblPr>
            <w:tblGrid>
              <w:gridCol w:w="494"/>
              <w:gridCol w:w="520"/>
              <w:gridCol w:w="1540"/>
            </w:tblGrid>
            <w:tr>
              <w:tc>
                <w:tcPr>
                  <w:tcW w:type="dxa" w:w="4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服务类别</w:t>
                  </w:r>
                </w:p>
              </w:tc>
              <w:tc>
                <w:tcPr>
                  <w:tcW w:type="dxa" w:w="5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服务项目</w:t>
                  </w:r>
                </w:p>
              </w:tc>
              <w:tc>
                <w:tcPr>
                  <w:tcW w:type="dxa" w:w="15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具体说明</w:t>
                  </w:r>
                </w:p>
              </w:tc>
            </w:tr>
            <w:tr>
              <w:tc>
                <w:tcPr>
                  <w:tcW w:type="dxa" w:w="4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软件类运维</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公共座席服务</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呼叫中心故障受理，事件派单、事件处理跟踪、服务质量监督，服务回访，月度事件汇总分析</w:t>
                  </w:r>
                </w:p>
              </w:tc>
            </w:tr>
            <w:tr>
              <w:tc>
                <w:tcPr>
                  <w:tcW w:type="dxa" w:w="494"/>
                  <w:vMerge/>
                  <w:tcBorders>
                    <w:top w:val="none" w:color="000000" w:sz="4"/>
                    <w:left w:val="single" w:color="000000" w:sz="4"/>
                    <w:bottom w:val="single" w:color="000000" w:sz="4"/>
                    <w:right w:val="single" w:color="000000" w:sz="4"/>
                  </w:tcBorders>
                </w:tcP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日常检查</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应用服务有效性维护、应用程序备份、应用登录检查、应用配置信息备份、应用每周计划性重启、应用周期性日志清理、应用备用环境安装、应用备用环境可用性检查</w:t>
                  </w:r>
                </w:p>
              </w:tc>
            </w:tr>
            <w:tr>
              <w:tc>
                <w:tcPr>
                  <w:tcW w:type="dxa" w:w="494"/>
                  <w:vMerge/>
                  <w:tcBorders>
                    <w:top w:val="none" w:color="000000" w:sz="4"/>
                    <w:left w:val="single" w:color="000000" w:sz="4"/>
                    <w:bottom w:val="single" w:color="000000" w:sz="4"/>
                    <w:right w:val="single" w:color="000000" w:sz="4"/>
                  </w:tcBorders>
                </w:tcP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故障处理</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故障的排除及恢复、确认排除及恢复的结果、应用系统日志分析及跟踪处理</w:t>
                  </w:r>
                </w:p>
              </w:tc>
            </w:tr>
            <w:tr>
              <w:tc>
                <w:tcPr>
                  <w:tcW w:type="dxa" w:w="494"/>
                  <w:vMerge/>
                  <w:tcBorders>
                    <w:top w:val="none" w:color="000000" w:sz="4"/>
                    <w:left w:val="single" w:color="000000" w:sz="4"/>
                    <w:bottom w:val="single" w:color="000000" w:sz="4"/>
                    <w:right w:val="single" w:color="000000" w:sz="4"/>
                  </w:tcBorders>
                </w:tcP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应用监控</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主要包括应用主程序有效性监控、应用首页面有效性监控、应用系统相关系统的监控（应用主程序</w:t>
                  </w:r>
                  <w:r>
                    <w:rPr>
                      <w:rFonts w:ascii="仿宋_GB2312" w:hAnsi="仿宋_GB2312" w:cs="仿宋_GB2312" w:eastAsia="仿宋_GB2312"/>
                      <w:sz w:val="21"/>
                    </w:rPr>
                    <w:t>CPU 占用率、应用主程序内存占用率）</w:t>
                  </w:r>
                </w:p>
              </w:tc>
            </w:tr>
            <w:tr>
              <w:tc>
                <w:tcPr>
                  <w:tcW w:type="dxa" w:w="494"/>
                  <w:vMerge/>
                  <w:tcBorders>
                    <w:top w:val="none" w:color="000000" w:sz="4"/>
                    <w:left w:val="single" w:color="000000" w:sz="4"/>
                    <w:bottom w:val="single" w:color="000000" w:sz="4"/>
                    <w:right w:val="single" w:color="000000" w:sz="4"/>
                  </w:tcBorders>
                </w:tcP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系统巡检</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系统使用情况分析、完善及改善性建议</w:t>
                  </w:r>
                </w:p>
                <w:p>
                  <w:pPr>
                    <w:pStyle w:val="null3"/>
                    <w:jc w:val="both"/>
                  </w:pPr>
                  <w:r>
                    <w:rPr>
                      <w:rFonts w:ascii="仿宋_GB2312" w:hAnsi="仿宋_GB2312" w:cs="仿宋_GB2312" w:eastAsia="仿宋_GB2312"/>
                      <w:sz w:val="21"/>
                    </w:rPr>
                    <w:t>应用完善及改进性方案执行、准备及检查发布环境、应用发布测试、应用发布、应用变更发布后运行情况跟踪</w:t>
                  </w:r>
                </w:p>
              </w:tc>
            </w:tr>
            <w:tr>
              <w:tc>
                <w:tcPr>
                  <w:tcW w:type="dxa" w:w="494"/>
                  <w:vMerge/>
                  <w:tcBorders>
                    <w:top w:val="none" w:color="000000" w:sz="4"/>
                    <w:left w:val="single" w:color="000000" w:sz="4"/>
                    <w:bottom w:val="single" w:color="000000" w:sz="4"/>
                    <w:right w:val="single" w:color="000000" w:sz="4"/>
                  </w:tcBorders>
                </w:tcP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人员巡检及调研</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包括现场维护解决问题，由公司派遣工程师；以及陪同省卫健委下基层检查及调研系统使用情况</w:t>
                  </w:r>
                </w:p>
              </w:tc>
            </w:tr>
            <w:tr>
              <w:tc>
                <w:tcPr>
                  <w:tcW w:type="dxa" w:w="494"/>
                  <w:vMerge/>
                  <w:tcBorders>
                    <w:top w:val="none" w:color="000000" w:sz="4"/>
                    <w:left w:val="single" w:color="000000" w:sz="4"/>
                    <w:bottom w:val="single" w:color="000000" w:sz="4"/>
                    <w:right w:val="single" w:color="000000" w:sz="4"/>
                  </w:tcBorders>
                </w:tcP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网络安全管理</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根据网络安全管理制度定期对现有网络环境进行评估，并提供对应网络安全加固方案</w:t>
                  </w:r>
                </w:p>
              </w:tc>
            </w:tr>
            <w:tr>
              <w:tc>
                <w:tcPr>
                  <w:tcW w:type="dxa" w:w="494"/>
                  <w:vMerge/>
                  <w:tcBorders>
                    <w:top w:val="none" w:color="000000" w:sz="4"/>
                    <w:left w:val="single" w:color="000000" w:sz="4"/>
                    <w:bottom w:val="single" w:color="000000" w:sz="4"/>
                    <w:right w:val="single" w:color="000000" w:sz="4"/>
                  </w:tcBorders>
                </w:tcP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系统安全管理及恶意代码防范管理</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根据系统安全管理制度定期对重点业务系统进行漏洞扫描，检查防病毒管理情况，并提供对应的系统安全加固方案，根据方案需要完成操作系统加固、数据库加固、代码加固等工作</w:t>
                  </w:r>
                </w:p>
              </w:tc>
            </w:tr>
            <w:tr>
              <w:tc>
                <w:tcPr>
                  <w:tcW w:type="dxa" w:w="494"/>
                  <w:vMerge/>
                  <w:tcBorders>
                    <w:top w:val="none" w:color="000000" w:sz="4"/>
                    <w:left w:val="single" w:color="000000" w:sz="4"/>
                    <w:bottom w:val="single" w:color="000000" w:sz="4"/>
                    <w:right w:val="single" w:color="000000" w:sz="4"/>
                  </w:tcBorders>
                </w:tcP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平台中间件运维升级</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根据定期开展的漏洞扫描，发现中间件存在的漏洞，并进行中间件升级，进行漏洞的修复</w:t>
                  </w:r>
                </w:p>
              </w:tc>
            </w:tr>
            <w:tr>
              <w:tc>
                <w:tcPr>
                  <w:tcW w:type="dxa" w:w="4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数据分析处理</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按客户要求完成数据分析处理，为各地市提供处理所需数据，并提供定时或临时所需的数据统计分析（包括国家上报所需全员、出生登记、出生审批等数据）</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应用系统用户信息初始化、应用系统模板初始化、应用系统业务流程初始化、应用系统业务数据整理、清洗、发布、汇总；按相应格式编辑信息、信息校对、信息编排定稿、信息送审；完成业务系统数据的备份、归档；接收各类信息、将信息分类整理、信息录入、检验数据录入的正确性；按照相应格式进行数据检索、信息编排定稿、信息送审；设计信息发布版面、按权限发布信息、发布信息；协助客户方进行数据采集汇聚、数据清洗质控、数据核查上报、数据统计分析工作</w:t>
                  </w:r>
                </w:p>
              </w:tc>
            </w:tr>
            <w:tr>
              <w:tc>
                <w:tcPr>
                  <w:tcW w:type="dxa" w:w="494"/>
                  <w:vMerge/>
                  <w:tcBorders>
                    <w:top w:val="none" w:color="000000" w:sz="4"/>
                    <w:left w:val="single" w:color="000000" w:sz="4"/>
                    <w:bottom w:val="single" w:color="000000" w:sz="4"/>
                    <w:right w:val="single" w:color="000000" w:sz="4"/>
                  </w:tcBorders>
                </w:tcP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离线数据处理</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对通过离线方式提供的死亡数据、出生数据等通过比对，校核处理后进行入库，并同步全员人口库</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平台功能培训</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不定期开展平台系统功能应用培训</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根据平台日常功能升级情况，运维商开展包括不定期发布功能手册、线上和线下培训等在内的一系列培训工作</w:t>
                  </w:r>
                </w:p>
              </w:tc>
            </w:tr>
          </w:tbl>
          <w:p>
            <w:pPr>
              <w:pStyle w:val="null3"/>
            </w:pPr>
            <w:r>
              <w:rPr>
                <w:rFonts w:ascii="仿宋_GB2312" w:hAnsi="仿宋_GB2312" w:cs="仿宋_GB2312" w:eastAsia="仿宋_GB2312"/>
                <w:sz w:val="28"/>
                <w:b/>
              </w:rPr>
              <w:t>2.2</w:t>
            </w:r>
            <w:r>
              <w:rPr>
                <w:rFonts w:ascii="仿宋_GB2312" w:hAnsi="仿宋_GB2312" w:cs="仿宋_GB2312" w:eastAsia="仿宋_GB2312"/>
                <w:sz w:val="28"/>
                <w:b/>
              </w:rPr>
              <w:t>运维服务具体要求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1）可用性要求</w:t>
            </w:r>
          </w:p>
          <w:p>
            <w:pPr>
              <w:pStyle w:val="null3"/>
              <w:ind w:firstLine="480"/>
              <w:jc w:val="both"/>
            </w:pPr>
            <w:r>
              <w:rPr>
                <w:rFonts w:ascii="仿宋_GB2312" w:hAnsi="仿宋_GB2312" w:cs="仿宋_GB2312" w:eastAsia="仿宋_GB2312"/>
                <w:sz w:val="24"/>
              </w:rPr>
              <w:t>网络系统：连续工作无阻断，可用率</w:t>
            </w:r>
            <w:r>
              <w:rPr>
                <w:rFonts w:ascii="仿宋_GB2312" w:hAnsi="仿宋_GB2312" w:cs="仿宋_GB2312" w:eastAsia="仿宋_GB2312"/>
                <w:sz w:val="24"/>
              </w:rPr>
              <w:t>≥99.5%</w:t>
            </w:r>
          </w:p>
          <w:p>
            <w:pPr>
              <w:pStyle w:val="null3"/>
              <w:ind w:firstLine="480"/>
              <w:jc w:val="both"/>
            </w:pPr>
            <w:r>
              <w:rPr>
                <w:rFonts w:ascii="仿宋_GB2312" w:hAnsi="仿宋_GB2312" w:cs="仿宋_GB2312" w:eastAsia="仿宋_GB2312"/>
                <w:sz w:val="24"/>
              </w:rPr>
              <w:t>服务器、存储及核心软件：在主备状态下保持所承载的业务系统连续工作，数据安全可用</w:t>
            </w:r>
          </w:p>
          <w:p>
            <w:pPr>
              <w:pStyle w:val="null3"/>
              <w:ind w:firstLine="480"/>
              <w:jc w:val="both"/>
            </w:pPr>
            <w:r>
              <w:rPr>
                <w:rFonts w:ascii="仿宋_GB2312" w:hAnsi="仿宋_GB2312" w:cs="仿宋_GB2312" w:eastAsia="仿宋_GB2312"/>
                <w:sz w:val="24"/>
              </w:rPr>
              <w:t>数据：数据完整、安全可用。</w:t>
            </w:r>
          </w:p>
          <w:p>
            <w:pPr>
              <w:pStyle w:val="null3"/>
              <w:ind w:firstLine="480"/>
              <w:jc w:val="both"/>
            </w:pPr>
            <w:r>
              <w:rPr>
                <w:rFonts w:ascii="仿宋_GB2312" w:hAnsi="仿宋_GB2312" w:cs="仿宋_GB2312" w:eastAsia="仿宋_GB2312"/>
                <w:sz w:val="24"/>
              </w:rPr>
              <w:t>不出现因运行环境原因造成用户业务数据丢失的事件。</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2）安全性要求</w:t>
            </w:r>
          </w:p>
          <w:p>
            <w:pPr>
              <w:pStyle w:val="null3"/>
              <w:ind w:firstLine="480"/>
              <w:jc w:val="both"/>
            </w:pPr>
            <w:r>
              <w:rPr>
                <w:rFonts w:ascii="仿宋_GB2312" w:hAnsi="仿宋_GB2312" w:cs="仿宋_GB2312" w:eastAsia="仿宋_GB2312"/>
                <w:sz w:val="24"/>
              </w:rPr>
              <w:t>系统安全：避免发生因病毒、木马等外部因素造成业务系统大面积瘫痪的事件。</w:t>
            </w:r>
          </w:p>
          <w:p>
            <w:pPr>
              <w:pStyle w:val="null3"/>
              <w:ind w:firstLine="480"/>
              <w:jc w:val="both"/>
            </w:pPr>
            <w:r>
              <w:rPr>
                <w:rFonts w:ascii="仿宋_GB2312" w:hAnsi="仿宋_GB2312" w:cs="仿宋_GB2312" w:eastAsia="仿宋_GB2312"/>
                <w:sz w:val="24"/>
              </w:rPr>
              <w:t>信息安全：避免发生业务系统数据泄露并造成恶劣影响的事件。</w:t>
            </w:r>
          </w:p>
          <w:p>
            <w:pPr>
              <w:pStyle w:val="null3"/>
              <w:ind w:firstLine="480"/>
              <w:jc w:val="both"/>
            </w:pPr>
            <w:r>
              <w:rPr>
                <w:rFonts w:ascii="仿宋_GB2312" w:hAnsi="仿宋_GB2312" w:cs="仿宋_GB2312" w:eastAsia="仿宋_GB2312"/>
                <w:sz w:val="24"/>
              </w:rPr>
              <w:t>风险防范及安全保密规范：要经常检查和评估所有信息安全防护系统及相关制度规范的有效性；要有严格的涉密信息系统运维管理制度并严格执行；定期进行安全保密教育和培训；对涉密岗位要加强管理；移动介质管理办法要切实可行。</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3）及时性要求</w:t>
            </w:r>
          </w:p>
          <w:p>
            <w:pPr>
              <w:pStyle w:val="null3"/>
              <w:ind w:firstLine="480"/>
              <w:jc w:val="both"/>
            </w:pPr>
            <w:r>
              <w:rPr>
                <w:rFonts w:ascii="仿宋_GB2312" w:hAnsi="仿宋_GB2312" w:cs="仿宋_GB2312" w:eastAsia="仿宋_GB2312"/>
                <w:sz w:val="24"/>
              </w:rPr>
              <w:t>事件响应及时率</w:t>
            </w:r>
            <w:r>
              <w:rPr>
                <w:rFonts w:ascii="仿宋_GB2312" w:hAnsi="仿宋_GB2312" w:cs="仿宋_GB2312" w:eastAsia="仿宋_GB2312"/>
                <w:sz w:val="24"/>
              </w:rPr>
              <w:t>≥95%，事件解决率≥95%。</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4）规范性要求</w:t>
            </w:r>
          </w:p>
          <w:p>
            <w:pPr>
              <w:pStyle w:val="null3"/>
              <w:ind w:firstLine="480"/>
              <w:jc w:val="both"/>
            </w:pPr>
            <w:r>
              <w:rPr>
                <w:rFonts w:ascii="仿宋_GB2312" w:hAnsi="仿宋_GB2312" w:cs="仿宋_GB2312" w:eastAsia="仿宋_GB2312"/>
                <w:sz w:val="24"/>
              </w:rPr>
              <w:t>操作规范：有相应岗位职责说明、详细的操作指南、严格的管理制度、必要的培训和准确翔实清晰完整的工作日志。</w:t>
            </w:r>
          </w:p>
          <w:p>
            <w:pPr>
              <w:pStyle w:val="null3"/>
              <w:ind w:firstLine="480"/>
              <w:jc w:val="both"/>
            </w:pPr>
            <w:r>
              <w:rPr>
                <w:rFonts w:ascii="仿宋_GB2312" w:hAnsi="仿宋_GB2312" w:cs="仿宋_GB2312" w:eastAsia="仿宋_GB2312"/>
                <w:sz w:val="24"/>
              </w:rPr>
              <w:t>服务报告：包括详细的工作月报、系统评估报告、其他不定期报告（如重大事件的请示报告）、相关工作实施技术方案、工作进展汇报和工作完成情况报告等。</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5）满意度要求</w:t>
            </w:r>
          </w:p>
          <w:p>
            <w:pPr>
              <w:pStyle w:val="null3"/>
              <w:ind w:firstLine="480"/>
              <w:jc w:val="both"/>
            </w:pPr>
            <w:r>
              <w:rPr>
                <w:rFonts w:ascii="仿宋_GB2312" w:hAnsi="仿宋_GB2312" w:cs="仿宋_GB2312" w:eastAsia="仿宋_GB2312"/>
                <w:sz w:val="24"/>
              </w:rPr>
              <w:t>服务投诉事件：用户对运维服务不满意并提出投诉的事件每半年不超过</w:t>
            </w:r>
            <w:r>
              <w:rPr>
                <w:rFonts w:ascii="仿宋_GB2312" w:hAnsi="仿宋_GB2312" w:cs="仿宋_GB2312" w:eastAsia="仿宋_GB2312"/>
                <w:sz w:val="24"/>
              </w:rPr>
              <w:t>3 次。</w:t>
            </w:r>
          </w:p>
          <w:p>
            <w:pPr>
              <w:pStyle w:val="null3"/>
            </w:pPr>
            <w:r>
              <w:rPr>
                <w:rFonts w:ascii="仿宋_GB2312" w:hAnsi="仿宋_GB2312" w:cs="仿宋_GB2312" w:eastAsia="仿宋_GB2312"/>
                <w:sz w:val="28"/>
                <w:b/>
              </w:rPr>
              <w:t>2.3</w:t>
            </w:r>
            <w:r>
              <w:rPr>
                <w:rFonts w:ascii="仿宋_GB2312" w:hAnsi="仿宋_GB2312" w:cs="仿宋_GB2312" w:eastAsia="仿宋_GB2312"/>
                <w:sz w:val="28"/>
                <w:b/>
              </w:rPr>
              <w:t>运维服务方式</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1）例行检查</w:t>
            </w:r>
          </w:p>
          <w:p>
            <w:pPr>
              <w:pStyle w:val="null3"/>
              <w:ind w:firstLine="480"/>
              <w:jc w:val="both"/>
            </w:pPr>
            <w:r>
              <w:rPr>
                <w:rFonts w:ascii="仿宋_GB2312" w:hAnsi="仿宋_GB2312" w:cs="仿宋_GB2312" w:eastAsia="仿宋_GB2312"/>
                <w:sz w:val="24"/>
              </w:rPr>
              <w:t>每日例行检查：监控工程师通过监控软件加人工巡检的方式对陕西省全员人口综合业务管理系统可用性进行日常检查。</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2）响应支持</w:t>
            </w:r>
          </w:p>
          <w:p>
            <w:pPr>
              <w:pStyle w:val="null3"/>
              <w:ind w:firstLine="480"/>
              <w:jc w:val="both"/>
            </w:pPr>
            <w:r>
              <w:rPr>
                <w:rFonts w:ascii="仿宋_GB2312" w:hAnsi="仿宋_GB2312" w:cs="仿宋_GB2312" w:eastAsia="仿宋_GB2312"/>
                <w:sz w:val="24"/>
              </w:rPr>
              <w:t>服务台响应：由需方提出各种服务请求，引发针对服务对象、服务等级作出调整或修改的响应性服务。</w:t>
            </w:r>
          </w:p>
          <w:p>
            <w:pPr>
              <w:pStyle w:val="null3"/>
              <w:ind w:firstLine="480"/>
              <w:jc w:val="both"/>
            </w:pPr>
            <w:r>
              <w:rPr>
                <w:rFonts w:ascii="仿宋_GB2312" w:hAnsi="仿宋_GB2312" w:cs="仿宋_GB2312" w:eastAsia="仿宋_GB2312"/>
                <w:sz w:val="24"/>
              </w:rPr>
              <w:t>现场响应：根据需求，向用户提供不定期的现场技术服务，现场驻守人员可以响应和解决任何时间段出现的与运维服务有关的问题，确保服务及时性。</w:t>
            </w:r>
          </w:p>
          <w:p>
            <w:pPr>
              <w:pStyle w:val="null3"/>
              <w:ind w:firstLine="480"/>
              <w:jc w:val="both"/>
            </w:pPr>
            <w:r>
              <w:rPr>
                <w:rFonts w:ascii="仿宋_GB2312" w:hAnsi="仿宋_GB2312" w:cs="仿宋_GB2312" w:eastAsia="仿宋_GB2312"/>
                <w:sz w:val="24"/>
              </w:rPr>
              <w:t>远程响应：在完善权限管理的前提下，服务中心工程技术人员可以在用户监督下登录到用户端的设备上，进行远程诊断和维护。</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3）调研评估</w:t>
            </w:r>
          </w:p>
          <w:p>
            <w:pPr>
              <w:pStyle w:val="null3"/>
              <w:ind w:firstLine="480"/>
              <w:jc w:val="both"/>
            </w:pPr>
            <w:r>
              <w:rPr>
                <w:rFonts w:ascii="仿宋_GB2312" w:hAnsi="仿宋_GB2312" w:cs="仿宋_GB2312" w:eastAsia="仿宋_GB2312"/>
                <w:sz w:val="24"/>
              </w:rPr>
              <w:t>配合用户进行各业务系统的调研及评估工作，形成调研评估报告提交用户。</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4）优化改善</w:t>
            </w:r>
          </w:p>
          <w:p>
            <w:pPr>
              <w:pStyle w:val="null3"/>
              <w:ind w:firstLine="480"/>
              <w:jc w:val="both"/>
            </w:pPr>
            <w:r>
              <w:rPr>
                <w:rFonts w:ascii="仿宋_GB2312" w:hAnsi="仿宋_GB2312" w:cs="仿宋_GB2312" w:eastAsia="仿宋_GB2312"/>
                <w:sz w:val="24"/>
              </w:rPr>
              <w:t>适应性改进：为使服务对象在已变化或正在变化的环境中可持续运行而实施的改进。</w:t>
            </w:r>
          </w:p>
          <w:p>
            <w:pPr>
              <w:pStyle w:val="null3"/>
              <w:ind w:firstLine="480"/>
              <w:jc w:val="both"/>
            </w:pPr>
            <w:r>
              <w:rPr>
                <w:rFonts w:ascii="仿宋_GB2312" w:hAnsi="仿宋_GB2312" w:cs="仿宋_GB2312" w:eastAsia="仿宋_GB2312"/>
                <w:sz w:val="24"/>
              </w:rPr>
              <w:t>增强型改进：根据运行服务需求或服务对象的缺陷，采取相应改进措施，以增强服务中心的安全性、可用性和可靠性。</w:t>
            </w:r>
          </w:p>
          <w:p>
            <w:pPr>
              <w:pStyle w:val="null3"/>
              <w:ind w:firstLine="480"/>
              <w:jc w:val="both"/>
            </w:pPr>
            <w:r>
              <w:rPr>
                <w:rFonts w:ascii="仿宋_GB2312" w:hAnsi="仿宋_GB2312" w:cs="仿宋_GB2312" w:eastAsia="仿宋_GB2312"/>
                <w:sz w:val="24"/>
              </w:rPr>
              <w:t>预防性改进：检查和纠正服务对象运行过程中潜在的问题或缺陷，以降低系统风险。供应商应形成并提交与安全运维相关的台账和记录，包括但不限于漏洞扫描及整改记录、安全加固记录、权限审计台账、安全事件处置记录、应急演练记录、制度修订记录等。</w:t>
            </w:r>
          </w:p>
          <w:p>
            <w:pPr>
              <w:pStyle w:val="null3"/>
            </w:pPr>
            <w:r>
              <w:rPr>
                <w:rFonts w:ascii="仿宋_GB2312" w:hAnsi="仿宋_GB2312" w:cs="仿宋_GB2312" w:eastAsia="仿宋_GB2312"/>
                <w:sz w:val="28"/>
                <w:b/>
              </w:rPr>
              <w:t>2.4</w:t>
            </w:r>
            <w:r>
              <w:rPr>
                <w:rFonts w:ascii="仿宋_GB2312" w:hAnsi="仿宋_GB2312" w:cs="仿宋_GB2312" w:eastAsia="仿宋_GB2312"/>
                <w:sz w:val="28"/>
                <w:b/>
              </w:rPr>
              <w:t>运维服务响应要求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1）人员组织</w:t>
            </w:r>
          </w:p>
          <w:p>
            <w:pPr>
              <w:pStyle w:val="null3"/>
              <w:ind w:firstLine="480"/>
              <w:jc w:val="both"/>
            </w:pPr>
            <w:r>
              <w:rPr>
                <w:rFonts w:ascii="仿宋_GB2312" w:hAnsi="仿宋_GB2312" w:cs="仿宋_GB2312" w:eastAsia="仿宋_GB2312"/>
                <w:sz w:val="24"/>
              </w:rPr>
              <w:t>省全员人口综合业务管理系统运维小组下设一线技术支持、二线技术支持、三线技术支持。要求一线技术支持不少于</w:t>
            </w:r>
            <w:r>
              <w:rPr>
                <w:rFonts w:ascii="仿宋_GB2312" w:hAnsi="仿宋_GB2312" w:cs="仿宋_GB2312" w:eastAsia="仿宋_GB2312"/>
                <w:sz w:val="24"/>
              </w:rPr>
              <w:t>2人；二线技术支持不少于10人。各运维岗位技术人员职责清晰，分工明确。</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2）服务时间</w:t>
            </w:r>
          </w:p>
          <w:p>
            <w:pPr>
              <w:pStyle w:val="null3"/>
              <w:ind w:firstLine="480"/>
              <w:jc w:val="both"/>
            </w:pPr>
            <w:r>
              <w:rPr>
                <w:rFonts w:ascii="仿宋_GB2312" w:hAnsi="仿宋_GB2312" w:cs="仿宋_GB2312" w:eastAsia="仿宋_GB2312"/>
                <w:sz w:val="24"/>
              </w:rPr>
              <w:t>响应时间指自用户提出故障申告、服务请求之时起，至运维服务提供商开始对故障、服务请求进行处理，用户可查询处理状态的时间。针对不同服务优先级，省全员人口综合业务管理系统运维小组将在相应的响应时间内响应，并根据实际情况提供现场服务。具体服务指标要求如下：</w:t>
            </w:r>
          </w:p>
          <w:p>
            <w:pPr>
              <w:pStyle w:val="null3"/>
              <w:ind w:firstLine="480"/>
              <w:jc w:val="both"/>
            </w:pPr>
            <w:r>
              <w:rPr>
                <w:rFonts w:ascii="仿宋_GB2312" w:hAnsi="仿宋_GB2312" w:cs="仿宋_GB2312" w:eastAsia="仿宋_GB2312"/>
                <w:sz w:val="24"/>
              </w:rPr>
              <w:t>优先级</w:t>
            </w:r>
            <w:r>
              <w:rPr>
                <w:rFonts w:ascii="仿宋_GB2312" w:hAnsi="仿宋_GB2312" w:cs="仿宋_GB2312" w:eastAsia="仿宋_GB2312"/>
                <w:sz w:val="24"/>
              </w:rPr>
              <w:t>1（P1）：10 分钟响应，如必要西安市内 1 小时到达现场；</w:t>
            </w:r>
          </w:p>
          <w:p>
            <w:pPr>
              <w:pStyle w:val="null3"/>
              <w:ind w:firstLine="480"/>
              <w:jc w:val="both"/>
            </w:pPr>
            <w:r>
              <w:rPr>
                <w:rFonts w:ascii="仿宋_GB2312" w:hAnsi="仿宋_GB2312" w:cs="仿宋_GB2312" w:eastAsia="仿宋_GB2312"/>
                <w:sz w:val="24"/>
              </w:rPr>
              <w:t>优先级</w:t>
            </w:r>
            <w:r>
              <w:rPr>
                <w:rFonts w:ascii="仿宋_GB2312" w:hAnsi="仿宋_GB2312" w:cs="仿宋_GB2312" w:eastAsia="仿宋_GB2312"/>
                <w:sz w:val="24"/>
              </w:rPr>
              <w:t>2（P2）：10 分钟响应，如必要西安市内 2 小时到达现场；</w:t>
            </w:r>
          </w:p>
          <w:p>
            <w:pPr>
              <w:pStyle w:val="null3"/>
              <w:ind w:firstLine="480"/>
              <w:jc w:val="both"/>
            </w:pPr>
            <w:r>
              <w:rPr>
                <w:rFonts w:ascii="仿宋_GB2312" w:hAnsi="仿宋_GB2312" w:cs="仿宋_GB2312" w:eastAsia="仿宋_GB2312"/>
                <w:sz w:val="24"/>
              </w:rPr>
              <w:t>优先级</w:t>
            </w:r>
            <w:r>
              <w:rPr>
                <w:rFonts w:ascii="仿宋_GB2312" w:hAnsi="仿宋_GB2312" w:cs="仿宋_GB2312" w:eastAsia="仿宋_GB2312"/>
                <w:sz w:val="24"/>
              </w:rPr>
              <w:t>3（P3）：30 分钟响应，如必要西安市内 3 小时到达现场；</w:t>
            </w:r>
          </w:p>
          <w:p>
            <w:pPr>
              <w:pStyle w:val="null3"/>
              <w:ind w:firstLine="480"/>
              <w:jc w:val="both"/>
            </w:pPr>
            <w:r>
              <w:rPr>
                <w:rFonts w:ascii="仿宋_GB2312" w:hAnsi="仿宋_GB2312" w:cs="仿宋_GB2312" w:eastAsia="仿宋_GB2312"/>
                <w:sz w:val="24"/>
              </w:rPr>
              <w:t>优先级</w:t>
            </w:r>
            <w:r>
              <w:rPr>
                <w:rFonts w:ascii="仿宋_GB2312" w:hAnsi="仿宋_GB2312" w:cs="仿宋_GB2312" w:eastAsia="仿宋_GB2312"/>
                <w:sz w:val="24"/>
              </w:rPr>
              <w:t>4（P4）：以与用户协商的时间为准；一般不超过 2 个工作日；</w:t>
            </w:r>
          </w:p>
          <w:p>
            <w:pPr>
              <w:pStyle w:val="null3"/>
              <w:ind w:firstLine="480"/>
              <w:jc w:val="both"/>
            </w:pPr>
            <w:r>
              <w:rPr>
                <w:rFonts w:ascii="仿宋_GB2312" w:hAnsi="仿宋_GB2312" w:cs="仿宋_GB2312" w:eastAsia="仿宋_GB2312"/>
                <w:sz w:val="24"/>
              </w:rPr>
              <w:t>服务排障时间要求</w:t>
            </w:r>
          </w:p>
          <w:p>
            <w:pPr>
              <w:pStyle w:val="null3"/>
              <w:ind w:firstLine="480"/>
              <w:jc w:val="both"/>
            </w:pPr>
            <w:r>
              <w:rPr>
                <w:rFonts w:ascii="仿宋_GB2312" w:hAnsi="仿宋_GB2312" w:cs="仿宋_GB2312" w:eastAsia="仿宋_GB2312"/>
                <w:sz w:val="24"/>
              </w:rPr>
              <w:t>优先级</w:t>
            </w:r>
            <w:r>
              <w:rPr>
                <w:rFonts w:ascii="仿宋_GB2312" w:hAnsi="仿宋_GB2312" w:cs="仿宋_GB2312" w:eastAsia="仿宋_GB2312"/>
                <w:sz w:val="24"/>
              </w:rPr>
              <w:t>1（P1）：2 小时内提交解决方案。具体时间以与用户协商的时间为准。</w:t>
            </w:r>
          </w:p>
          <w:p>
            <w:pPr>
              <w:pStyle w:val="null3"/>
              <w:ind w:firstLine="480"/>
              <w:jc w:val="both"/>
            </w:pPr>
            <w:r>
              <w:rPr>
                <w:rFonts w:ascii="仿宋_GB2312" w:hAnsi="仿宋_GB2312" w:cs="仿宋_GB2312" w:eastAsia="仿宋_GB2312"/>
                <w:sz w:val="24"/>
              </w:rPr>
              <w:t>优先级</w:t>
            </w:r>
            <w:r>
              <w:rPr>
                <w:rFonts w:ascii="仿宋_GB2312" w:hAnsi="仿宋_GB2312" w:cs="仿宋_GB2312" w:eastAsia="仿宋_GB2312"/>
                <w:sz w:val="24"/>
              </w:rPr>
              <w:t>2（P2）：2 小时内提交解决方案。4 小时内完全解决事故或明确故障原因；</w:t>
            </w:r>
          </w:p>
          <w:p>
            <w:pPr>
              <w:pStyle w:val="null3"/>
              <w:ind w:firstLine="480"/>
              <w:jc w:val="both"/>
            </w:pPr>
            <w:r>
              <w:rPr>
                <w:rFonts w:ascii="仿宋_GB2312" w:hAnsi="仿宋_GB2312" w:cs="仿宋_GB2312" w:eastAsia="仿宋_GB2312"/>
                <w:sz w:val="24"/>
              </w:rPr>
              <w:t>优先级</w:t>
            </w:r>
            <w:r>
              <w:rPr>
                <w:rFonts w:ascii="仿宋_GB2312" w:hAnsi="仿宋_GB2312" w:cs="仿宋_GB2312" w:eastAsia="仿宋_GB2312"/>
                <w:sz w:val="24"/>
              </w:rPr>
              <w:t>3（P3）：4 小时内提交解决方案。8 小时内完全解决事故或明确故障原因；</w:t>
            </w:r>
          </w:p>
          <w:p>
            <w:pPr>
              <w:pStyle w:val="null3"/>
              <w:ind w:firstLine="480"/>
              <w:jc w:val="both"/>
            </w:pPr>
            <w:r>
              <w:rPr>
                <w:rFonts w:ascii="仿宋_GB2312" w:hAnsi="仿宋_GB2312" w:cs="仿宋_GB2312" w:eastAsia="仿宋_GB2312"/>
                <w:sz w:val="24"/>
              </w:rPr>
              <w:t>优先级</w:t>
            </w:r>
            <w:r>
              <w:rPr>
                <w:rFonts w:ascii="仿宋_GB2312" w:hAnsi="仿宋_GB2312" w:cs="仿宋_GB2312" w:eastAsia="仿宋_GB2312"/>
                <w:sz w:val="24"/>
              </w:rPr>
              <w:t>4（P4）：以与用户协商的时间为准；一般不超过 2 个工作日；</w:t>
            </w:r>
          </w:p>
          <w:p>
            <w:pPr>
              <w:pStyle w:val="null3"/>
              <w:ind w:firstLine="480"/>
              <w:jc w:val="both"/>
            </w:pPr>
            <w:r>
              <w:rPr>
                <w:rFonts w:ascii="仿宋_GB2312" w:hAnsi="仿宋_GB2312" w:cs="仿宋_GB2312" w:eastAsia="仿宋_GB2312"/>
                <w:sz w:val="24"/>
              </w:rPr>
              <w:t>注：由于运营商问题或用户请求解决的系统终端问题，不在上述响应及排障时间内，具体问题需与运营商或用户商定。</w:t>
            </w:r>
          </w:p>
          <w:p>
            <w:pPr>
              <w:pStyle w:val="null3"/>
              <w:jc w:val="both"/>
            </w:pPr>
            <w:r>
              <w:rPr>
                <w:rFonts w:ascii="仿宋_GB2312" w:hAnsi="仿宋_GB2312" w:cs="仿宋_GB2312" w:eastAsia="仿宋_GB2312"/>
                <w:sz w:val="28"/>
                <w:b/>
              </w:rPr>
              <w:t>2.5</w:t>
            </w:r>
            <w:r>
              <w:rPr>
                <w:rFonts w:ascii="仿宋_GB2312" w:hAnsi="仿宋_GB2312" w:cs="仿宋_GB2312" w:eastAsia="仿宋_GB2312"/>
                <w:sz w:val="28"/>
                <w:b/>
              </w:rPr>
              <w:t>事件管理要求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1）事件定级</w:t>
            </w:r>
          </w:p>
          <w:p>
            <w:pPr>
              <w:pStyle w:val="null3"/>
              <w:ind w:firstLine="480"/>
              <w:jc w:val="both"/>
            </w:pPr>
            <w:r>
              <w:rPr>
                <w:rFonts w:ascii="仿宋_GB2312" w:hAnsi="仿宋_GB2312" w:cs="仿宋_GB2312" w:eastAsia="仿宋_GB2312"/>
                <w:sz w:val="24"/>
              </w:rPr>
              <w:t>根据省全员人口综合业务管理系统的特殊性、重要性、影响范围的不同，从低到高分为四级。针对服务器和应用软件分开定义，在软件分级定义中又因角色（如乡镇、县级用户）和事件紧急程度（录入、密码修改等）的不同而进行定义。</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2）处理事件原则</w:t>
            </w:r>
          </w:p>
          <w:p>
            <w:pPr>
              <w:pStyle w:val="null3"/>
              <w:ind w:firstLine="480"/>
              <w:jc w:val="both"/>
            </w:pPr>
            <w:r>
              <w:rPr>
                <w:rFonts w:ascii="仿宋_GB2312" w:hAnsi="仿宋_GB2312" w:cs="仿宋_GB2312" w:eastAsia="仿宋_GB2312"/>
                <w:sz w:val="24"/>
              </w:rPr>
              <w:t>处理事件的原则是尽可能减小对业务的影响；</w:t>
            </w:r>
          </w:p>
          <w:p>
            <w:pPr>
              <w:pStyle w:val="null3"/>
              <w:ind w:firstLine="480"/>
              <w:jc w:val="both"/>
            </w:pPr>
            <w:r>
              <w:rPr>
                <w:rFonts w:ascii="仿宋_GB2312" w:hAnsi="仿宋_GB2312" w:cs="仿宋_GB2312" w:eastAsia="仿宋_GB2312"/>
                <w:sz w:val="24"/>
              </w:rPr>
              <w:t>事件管理流程必须包括管理服务事件影响的步骤，比如评估影响、沟通、提供变通方案等，使事件对用户业务活动的影响降至最小。</w:t>
            </w:r>
          </w:p>
          <w:p>
            <w:pPr>
              <w:pStyle w:val="null3"/>
              <w:ind w:firstLine="480"/>
              <w:jc w:val="both"/>
            </w:pPr>
            <w:r>
              <w:rPr>
                <w:rFonts w:ascii="仿宋_GB2312" w:hAnsi="仿宋_GB2312" w:cs="仿宋_GB2312" w:eastAsia="仿宋_GB2312"/>
                <w:sz w:val="24"/>
              </w:rPr>
              <w:t>在可能的情况下，应该向用户提供继续进行业务活动的手段，即使需要降低服务级别。</w:t>
            </w:r>
          </w:p>
          <w:p>
            <w:pPr>
              <w:pStyle w:val="null3"/>
              <w:ind w:firstLine="480"/>
              <w:jc w:val="both"/>
            </w:pPr>
            <w:r>
              <w:rPr>
                <w:rFonts w:ascii="仿宋_GB2312" w:hAnsi="仿宋_GB2312" w:cs="仿宋_GB2312" w:eastAsia="仿宋_GB2312"/>
                <w:sz w:val="24"/>
              </w:rPr>
              <w:t>比如禁用一项有错误的功能，目的是将事件对用户业务活动的影响降至最小。</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3）变更处理流程</w:t>
            </w:r>
          </w:p>
          <w:p>
            <w:pPr>
              <w:pStyle w:val="null3"/>
              <w:ind w:firstLine="480"/>
              <w:jc w:val="both"/>
            </w:pPr>
            <w:r>
              <w:rPr>
                <w:rFonts w:ascii="仿宋_GB2312" w:hAnsi="仿宋_GB2312" w:cs="仿宋_GB2312" w:eastAsia="仿宋_GB2312"/>
                <w:sz w:val="24"/>
              </w:rPr>
              <w:t>确保标准方法和过程可以得到使用，从而使变更可以很快地、对服务质量影响最小的方式提高服务质量，为陕西省全员人口综合业务管理系统运维提供更优质的</w:t>
            </w:r>
            <w:r>
              <w:rPr>
                <w:rFonts w:ascii="仿宋_GB2312" w:hAnsi="仿宋_GB2312" w:cs="仿宋_GB2312" w:eastAsia="仿宋_GB2312"/>
                <w:sz w:val="24"/>
              </w:rPr>
              <w:t>IT服务，并且可以有效地实施其他相关程序，如配置管理程序和发布管理程序。变更管理流程需要建立一个完整的变更管理体系，从而实现：管理和引导用户变更需求。</w:t>
            </w:r>
          </w:p>
          <w:p>
            <w:pPr>
              <w:pStyle w:val="null3"/>
              <w:ind w:firstLine="480"/>
              <w:jc w:val="both"/>
            </w:pPr>
            <w:r>
              <w:rPr>
                <w:rFonts w:ascii="仿宋_GB2312" w:hAnsi="仿宋_GB2312" w:cs="仿宋_GB2312" w:eastAsia="仿宋_GB2312"/>
                <w:sz w:val="24"/>
              </w:rPr>
              <w:t>通过对所有变更的正确评估，可以维护生产</w:t>
            </w:r>
            <w:r>
              <w:rPr>
                <w:rFonts w:ascii="仿宋_GB2312" w:hAnsi="仿宋_GB2312" w:cs="仿宋_GB2312" w:eastAsia="仿宋_GB2312"/>
                <w:sz w:val="24"/>
              </w:rPr>
              <w:t>/运行环境的完整性。</w:t>
            </w:r>
          </w:p>
          <w:p>
            <w:pPr>
              <w:pStyle w:val="null3"/>
              <w:ind w:firstLine="480"/>
              <w:jc w:val="both"/>
            </w:pPr>
            <w:r>
              <w:rPr>
                <w:rFonts w:ascii="仿宋_GB2312" w:hAnsi="仿宋_GB2312" w:cs="仿宋_GB2312" w:eastAsia="仿宋_GB2312"/>
                <w:sz w:val="24"/>
              </w:rPr>
              <w:t>变更和变更实施得到正确记录，并提供审核统计。</w:t>
            </w:r>
          </w:p>
          <w:p>
            <w:pPr>
              <w:pStyle w:val="null3"/>
              <w:ind w:firstLine="480"/>
              <w:jc w:val="both"/>
            </w:pPr>
            <w:r>
              <w:rPr>
                <w:rFonts w:ascii="仿宋_GB2312" w:hAnsi="仿宋_GB2312" w:cs="仿宋_GB2312" w:eastAsia="仿宋_GB2312"/>
                <w:sz w:val="24"/>
              </w:rPr>
              <w:t>减少或消除由于变更实施准备不当等原因出现的对</w:t>
            </w:r>
            <w:r>
              <w:rPr>
                <w:rFonts w:ascii="仿宋_GB2312" w:hAnsi="仿宋_GB2312" w:cs="仿宋_GB2312" w:eastAsia="仿宋_GB2312"/>
                <w:sz w:val="24"/>
              </w:rPr>
              <w:t>IT 环境的破坏；</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4）服务台电话处理流程</w:t>
            </w:r>
          </w:p>
          <w:p>
            <w:pPr>
              <w:pStyle w:val="null3"/>
              <w:ind w:firstLine="480"/>
              <w:jc w:val="both"/>
            </w:pPr>
            <w:r>
              <w:rPr>
                <w:rFonts w:ascii="仿宋_GB2312" w:hAnsi="仿宋_GB2312" w:cs="仿宋_GB2312" w:eastAsia="仿宋_GB2312"/>
                <w:sz w:val="24"/>
              </w:rPr>
              <w:t>服务请求转事件后应立即电话联系事件处理人对事件进行接收和处理。</w:t>
            </w:r>
          </w:p>
          <w:p>
            <w:pPr>
              <w:pStyle w:val="null3"/>
              <w:ind w:firstLine="480"/>
              <w:jc w:val="both"/>
            </w:pPr>
            <w:r>
              <w:rPr>
                <w:rFonts w:ascii="仿宋_GB2312" w:hAnsi="仿宋_GB2312" w:cs="仿宋_GB2312" w:eastAsia="仿宋_GB2312"/>
                <w:sz w:val="24"/>
              </w:rPr>
              <w:t>事件提醒要求：服务台人员每天按事件级别要求（需与用户商定）对前一天由服务台创建未关闭的服务请求、事件、变更进行跟踪并以邮件和电话方式提醒事件流程处理人员及时处理。</w:t>
            </w:r>
          </w:p>
          <w:p>
            <w:pPr>
              <w:pStyle w:val="null3"/>
            </w:pPr>
            <w:r>
              <w:rPr>
                <w:rFonts w:ascii="仿宋_GB2312" w:hAnsi="仿宋_GB2312" w:cs="仿宋_GB2312" w:eastAsia="仿宋_GB2312"/>
                <w:sz w:val="28"/>
                <w:b/>
              </w:rPr>
              <w:t>2.6</w:t>
            </w:r>
            <w:r>
              <w:rPr>
                <w:rFonts w:ascii="仿宋_GB2312" w:hAnsi="仿宋_GB2312" w:cs="仿宋_GB2312" w:eastAsia="仿宋_GB2312"/>
                <w:sz w:val="28"/>
                <w:b/>
              </w:rPr>
              <w:t>应急处置要求</w:t>
            </w:r>
          </w:p>
          <w:p>
            <w:pPr>
              <w:pStyle w:val="null3"/>
              <w:ind w:firstLine="480"/>
              <w:jc w:val="both"/>
            </w:pPr>
            <w:r>
              <w:rPr>
                <w:rFonts w:ascii="仿宋_GB2312" w:hAnsi="仿宋_GB2312" w:cs="仿宋_GB2312" w:eastAsia="仿宋_GB2312"/>
                <w:sz w:val="24"/>
              </w:rPr>
              <w:t>陕西省全员人口综合业务管理系统针对安全事件制定应急管理措施，根据国家标准</w:t>
            </w:r>
            <w:r>
              <w:rPr>
                <w:rFonts w:ascii="仿宋_GB2312" w:hAnsi="仿宋_GB2312" w:cs="仿宋_GB2312" w:eastAsia="仿宋_GB2312"/>
                <w:sz w:val="24"/>
              </w:rPr>
              <w:t>GB/Z20986-2007《信息安全技术</w:t>
            </w:r>
            <w:r>
              <w:rPr>
                <w:rFonts w:ascii="仿宋_GB2312" w:hAnsi="仿宋_GB2312" w:cs="仿宋_GB2312" w:eastAsia="仿宋_GB2312"/>
              </w:rPr>
              <w:t xml:space="preserve"> </w:t>
            </w:r>
            <w:r>
              <w:rPr>
                <w:rFonts w:ascii="仿宋_GB2312" w:hAnsi="仿宋_GB2312" w:cs="仿宋_GB2312" w:eastAsia="仿宋_GB2312"/>
                <w:sz w:val="24"/>
              </w:rPr>
              <w:t>信息安全事件分类分级指南》制定安全事件的等级，将信息安全事件划分为四个级别：特别重大事件、重大事件、较大事件和一般事件。建立应急组织管理机构，建立应急响应机制，制定应急预案。</w:t>
            </w:r>
          </w:p>
          <w:p>
            <w:pPr>
              <w:pStyle w:val="null3"/>
            </w:pPr>
            <w:r>
              <w:rPr>
                <w:rFonts w:ascii="仿宋_GB2312" w:hAnsi="仿宋_GB2312" w:cs="仿宋_GB2312" w:eastAsia="仿宋_GB2312"/>
                <w:sz w:val="28"/>
                <w:b/>
              </w:rPr>
              <w:t>2.7</w:t>
            </w:r>
            <w:r>
              <w:rPr>
                <w:rFonts w:ascii="仿宋_GB2312" w:hAnsi="仿宋_GB2312" w:cs="仿宋_GB2312" w:eastAsia="仿宋_GB2312"/>
                <w:sz w:val="28"/>
                <w:b/>
              </w:rPr>
              <w:t>运维服务安全管理要求</w:t>
            </w:r>
          </w:p>
          <w:p>
            <w:pPr>
              <w:pStyle w:val="null3"/>
              <w:ind w:firstLine="480"/>
              <w:jc w:val="both"/>
            </w:pPr>
            <w:r>
              <w:rPr>
                <w:rFonts w:ascii="仿宋_GB2312" w:hAnsi="仿宋_GB2312" w:cs="仿宋_GB2312" w:eastAsia="仿宋_GB2312"/>
                <w:sz w:val="24"/>
              </w:rPr>
              <w:t>必须确保陕西省全员人口综合业务管理系统的各项信息资产以及客户数据都能得到妥善保护，确保信息的保密性、完整性，保持信息的可用性，防止用户数据的非授权访问。</w:t>
            </w:r>
          </w:p>
          <w:p>
            <w:pPr>
              <w:pStyle w:val="null3"/>
              <w:ind w:firstLine="480"/>
              <w:jc w:val="both"/>
            </w:pPr>
            <w:r>
              <w:rPr>
                <w:rFonts w:ascii="仿宋_GB2312" w:hAnsi="仿宋_GB2312" w:cs="仿宋_GB2312" w:eastAsia="仿宋_GB2312"/>
                <w:sz w:val="24"/>
              </w:rPr>
              <w:t>根据业务要求建立用户对信息的访问规则，并对业务系统和服务的用户访问权的分配建立正式的程序，对用户权限和口令进行严格管理。</w:t>
            </w:r>
          </w:p>
          <w:p>
            <w:pPr>
              <w:pStyle w:val="null3"/>
              <w:ind w:firstLine="480"/>
              <w:jc w:val="both"/>
            </w:pPr>
            <w:r>
              <w:rPr>
                <w:rFonts w:ascii="仿宋_GB2312" w:hAnsi="仿宋_GB2312" w:cs="仿宋_GB2312" w:eastAsia="仿宋_GB2312"/>
                <w:sz w:val="24"/>
              </w:rPr>
              <w:t>供应商应形成并提交与安全运维相关的台账和记录，包括但不限于漏洞扫描及整改记录、安全加固记录、权限审计台账、安全事件处置记录、应急演练记录、制度修订记录等。</w:t>
            </w:r>
          </w:p>
          <w:p>
            <w:pPr>
              <w:pStyle w:val="null3"/>
            </w:pPr>
            <w:r>
              <w:rPr>
                <w:rFonts w:ascii="仿宋_GB2312" w:hAnsi="仿宋_GB2312" w:cs="仿宋_GB2312" w:eastAsia="仿宋_GB2312"/>
                <w:sz w:val="28"/>
                <w:b/>
              </w:rPr>
              <w:t>2.8</w:t>
            </w:r>
            <w:r>
              <w:rPr>
                <w:rFonts w:ascii="仿宋_GB2312" w:hAnsi="仿宋_GB2312" w:cs="仿宋_GB2312" w:eastAsia="仿宋_GB2312"/>
                <w:sz w:val="28"/>
                <w:b/>
              </w:rPr>
              <w:t>安全环境保障</w:t>
            </w:r>
          </w:p>
          <w:p>
            <w:pPr>
              <w:pStyle w:val="null3"/>
              <w:ind w:firstLine="480"/>
              <w:jc w:val="both"/>
            </w:pPr>
            <w:r>
              <w:rPr>
                <w:rFonts w:ascii="仿宋_GB2312" w:hAnsi="仿宋_GB2312" w:cs="仿宋_GB2312" w:eastAsia="仿宋_GB2312"/>
                <w:sz w:val="24"/>
              </w:rPr>
              <w:t>对业务应用系统进行安全加固，有效保障陕西省全员人口综合业务管理系统安全、稳定、不间断地运行。</w:t>
            </w:r>
          </w:p>
          <w:p>
            <w:pPr>
              <w:pStyle w:val="null3"/>
            </w:pPr>
            <w:r>
              <w:rPr>
                <w:rFonts w:ascii="仿宋_GB2312" w:hAnsi="仿宋_GB2312" w:cs="仿宋_GB2312" w:eastAsia="仿宋_GB2312"/>
                <w:sz w:val="28"/>
                <w:b/>
              </w:rPr>
              <w:t>2.9</w:t>
            </w:r>
            <w:r>
              <w:rPr>
                <w:rFonts w:ascii="仿宋_GB2312" w:hAnsi="仿宋_GB2312" w:cs="仿宋_GB2312" w:eastAsia="仿宋_GB2312"/>
                <w:sz w:val="28"/>
                <w:b/>
              </w:rPr>
              <w:t>安全管理规范</w:t>
            </w:r>
          </w:p>
          <w:p>
            <w:pPr>
              <w:pStyle w:val="null3"/>
              <w:ind w:firstLine="480"/>
              <w:jc w:val="both"/>
            </w:pPr>
            <w:r>
              <w:rPr>
                <w:rFonts w:ascii="仿宋_GB2312" w:hAnsi="仿宋_GB2312" w:cs="仿宋_GB2312" w:eastAsia="仿宋_GB2312"/>
                <w:sz w:val="24"/>
              </w:rPr>
              <w:t>优化完善陕西省全员人口综合业务管理系统安全管理规范。</w:t>
            </w:r>
          </w:p>
          <w:p>
            <w:pPr>
              <w:pStyle w:val="null3"/>
            </w:pPr>
            <w:r>
              <w:rPr>
                <w:rFonts w:ascii="仿宋_GB2312" w:hAnsi="仿宋_GB2312" w:cs="仿宋_GB2312" w:eastAsia="仿宋_GB2312"/>
                <w:sz w:val="28"/>
                <w:b/>
              </w:rPr>
              <w:t>2.10</w:t>
            </w:r>
            <w:r>
              <w:rPr>
                <w:rFonts w:ascii="仿宋_GB2312" w:hAnsi="仿宋_GB2312" w:cs="仿宋_GB2312" w:eastAsia="仿宋_GB2312"/>
                <w:sz w:val="28"/>
                <w:b/>
              </w:rPr>
              <w:t>保密管理制度</w:t>
            </w:r>
          </w:p>
          <w:p>
            <w:pPr>
              <w:pStyle w:val="null3"/>
              <w:ind w:firstLine="480"/>
              <w:jc w:val="both"/>
            </w:pPr>
            <w:r>
              <w:rPr>
                <w:rFonts w:ascii="仿宋_GB2312" w:hAnsi="仿宋_GB2312" w:cs="仿宋_GB2312" w:eastAsia="仿宋_GB2312"/>
                <w:sz w:val="24"/>
              </w:rPr>
              <w:t>强化信息保密观念，通过加强法规制度建设、加强涉密计算机系统保密管理制度建设、加强技术防范能力建设来实现。</w:t>
            </w:r>
          </w:p>
          <w:p>
            <w:pPr>
              <w:pStyle w:val="null3"/>
            </w:pPr>
            <w:r>
              <w:rPr>
                <w:rFonts w:ascii="仿宋_GB2312" w:hAnsi="仿宋_GB2312" w:cs="仿宋_GB2312" w:eastAsia="仿宋_GB2312"/>
                <w:sz w:val="28"/>
                <w:b/>
              </w:rPr>
              <w:t>2.11</w:t>
            </w:r>
            <w:r>
              <w:rPr>
                <w:rFonts w:ascii="仿宋_GB2312" w:hAnsi="仿宋_GB2312" w:cs="仿宋_GB2312" w:eastAsia="仿宋_GB2312"/>
                <w:sz w:val="28"/>
                <w:b/>
              </w:rPr>
              <w:t>运维服务制度管理</w:t>
            </w:r>
          </w:p>
          <w:p>
            <w:pPr>
              <w:pStyle w:val="null3"/>
              <w:ind w:firstLine="480"/>
              <w:jc w:val="both"/>
            </w:pPr>
            <w:r>
              <w:rPr>
                <w:rFonts w:ascii="仿宋_GB2312" w:hAnsi="仿宋_GB2312" w:cs="仿宋_GB2312" w:eastAsia="仿宋_GB2312"/>
                <w:sz w:val="24"/>
              </w:rPr>
              <w:t>提供完善的运维管理制度。</w:t>
            </w:r>
          </w:p>
          <w:p>
            <w:pPr>
              <w:pStyle w:val="null3"/>
            </w:pPr>
            <w:r>
              <w:rPr>
                <w:rFonts w:ascii="仿宋_GB2312" w:hAnsi="仿宋_GB2312" w:cs="仿宋_GB2312" w:eastAsia="仿宋_GB2312"/>
                <w:sz w:val="28"/>
                <w:b/>
              </w:rPr>
              <w:t>3.</w:t>
            </w:r>
            <w:r>
              <w:rPr>
                <w:rFonts w:ascii="仿宋_GB2312" w:hAnsi="仿宋_GB2312" w:cs="仿宋_GB2312" w:eastAsia="仿宋_GB2312"/>
                <w:sz w:val="28"/>
                <w:b/>
              </w:rPr>
              <w:t>安全要求</w:t>
            </w:r>
          </w:p>
          <w:p>
            <w:pPr>
              <w:pStyle w:val="null3"/>
              <w:ind w:firstLine="480"/>
              <w:jc w:val="both"/>
            </w:pPr>
            <w:r>
              <w:rPr>
                <w:rFonts w:ascii="仿宋_GB2312" w:hAnsi="仿宋_GB2312" w:cs="仿宋_GB2312" w:eastAsia="仿宋_GB2312"/>
                <w:sz w:val="24"/>
              </w:rPr>
              <w:t>符合截至开标之日还在生效期内的所有与网络安全有关的法律法规文件的要求。</w:t>
            </w:r>
          </w:p>
          <w:p>
            <w:pPr>
              <w:pStyle w:val="null3"/>
              <w:ind w:firstLine="480"/>
              <w:jc w:val="both"/>
            </w:pPr>
            <w:r>
              <w:rPr>
                <w:rFonts w:ascii="仿宋_GB2312" w:hAnsi="仿宋_GB2312" w:cs="仿宋_GB2312" w:eastAsia="仿宋_GB2312"/>
                <w:sz w:val="24"/>
              </w:rPr>
              <w:t>如果出台新的网络安全方面的法律法规，在项目的运维期，投标单位有义务完成升级，达到法律法规相关要求。</w:t>
            </w:r>
          </w:p>
          <w:p>
            <w:pPr>
              <w:pStyle w:val="null3"/>
              <w:ind w:firstLine="480"/>
              <w:jc w:val="both"/>
            </w:pPr>
            <w:r>
              <w:rPr>
                <w:rFonts w:ascii="仿宋_GB2312" w:hAnsi="仿宋_GB2312" w:cs="仿宋_GB2312" w:eastAsia="仿宋_GB2312"/>
                <w:sz w:val="24"/>
              </w:rPr>
              <w:t>不得使用国家或者行业相关法律法规等政策性文件明令禁止的安全硬件和软件产品、算法、服务等相关内容。</w:t>
            </w:r>
          </w:p>
          <w:p>
            <w:pPr>
              <w:pStyle w:val="null3"/>
              <w:ind w:firstLine="480"/>
              <w:jc w:val="both"/>
            </w:pPr>
            <w:r>
              <w:rPr>
                <w:rFonts w:ascii="仿宋_GB2312" w:hAnsi="仿宋_GB2312" w:cs="仿宋_GB2312" w:eastAsia="仿宋_GB2312"/>
                <w:sz w:val="24"/>
              </w:rPr>
              <w:t>配合完成本项目有关的安全建设、测评、等级保护（三级）等相关工作。</w:t>
            </w:r>
          </w:p>
          <w:p>
            <w:pPr>
              <w:pStyle w:val="null3"/>
            </w:pPr>
            <w:r>
              <w:rPr>
                <w:rFonts w:ascii="仿宋_GB2312" w:hAnsi="仿宋_GB2312" w:cs="仿宋_GB2312" w:eastAsia="仿宋_GB2312"/>
                <w:sz w:val="28"/>
                <w:b/>
              </w:rPr>
              <w:t>4.</w:t>
            </w:r>
            <w:r>
              <w:rPr>
                <w:rFonts w:ascii="仿宋_GB2312" w:hAnsi="仿宋_GB2312" w:cs="仿宋_GB2312" w:eastAsia="仿宋_GB2312"/>
                <w:sz w:val="28"/>
                <w:b/>
              </w:rPr>
              <w:t>知识产权要求</w:t>
            </w:r>
          </w:p>
          <w:p>
            <w:pPr>
              <w:pStyle w:val="null3"/>
              <w:ind w:firstLine="480"/>
              <w:jc w:val="both"/>
            </w:pPr>
            <w:r>
              <w:rPr>
                <w:rFonts w:ascii="仿宋_GB2312" w:hAnsi="仿宋_GB2312" w:cs="仿宋_GB2312" w:eastAsia="仿宋_GB2312"/>
                <w:sz w:val="24"/>
              </w:rPr>
              <w:t>采购人拥有该运维项目知识产权。项目供应商应根据采购人要求，但不限于提供项目在本招标内容升级开发工作中的所有项目升级源代码、项目升级技术文档、数据库相关文档、相关管理员权限、相关超管账户等资料。</w:t>
            </w:r>
          </w:p>
          <w:p>
            <w:pPr>
              <w:pStyle w:val="null3"/>
              <w:ind w:firstLine="480"/>
              <w:jc w:val="both"/>
            </w:pPr>
            <w:r>
              <w:rPr>
                <w:rFonts w:ascii="仿宋_GB2312" w:hAnsi="仿宋_GB2312" w:cs="仿宋_GB2312" w:eastAsia="仿宋_GB2312"/>
                <w:sz w:val="24"/>
              </w:rPr>
              <w:t>项目供应商须保证采购人在中华人民共和国境内使用其提供的服务或其任何一部分时，享有不受限制的无偿使用权，不会产生因第三方提出侵犯其专利权、商标权或其他知识产权而引起的法律或经济纠纷。如供应商不拥有相应的知识产权，则在投标总价中必须包括合法获取该知识产权的一切相关费用，如因此导致采购人损失的，供应商须承担全部赔偿责任。供应商如欲在项目运维过程中采用自有知识成果，须在响应文件中声明，并提供相关知识产权证明文件。</w:t>
            </w:r>
          </w:p>
          <w:p>
            <w:pPr>
              <w:pStyle w:val="null3"/>
            </w:pPr>
            <w:r>
              <w:rPr>
                <w:rFonts w:ascii="仿宋_GB2312" w:hAnsi="仿宋_GB2312" w:cs="仿宋_GB2312" w:eastAsia="仿宋_GB2312"/>
                <w:sz w:val="28"/>
                <w:b/>
              </w:rPr>
              <w:t>5.</w:t>
            </w:r>
            <w:r>
              <w:rPr>
                <w:rFonts w:ascii="仿宋_GB2312" w:hAnsi="仿宋_GB2312" w:cs="仿宋_GB2312" w:eastAsia="仿宋_GB2312"/>
                <w:sz w:val="28"/>
                <w:b/>
              </w:rPr>
              <w:t>项目验收要求</w:t>
            </w:r>
          </w:p>
          <w:p>
            <w:pPr>
              <w:pStyle w:val="null3"/>
              <w:jc w:val="both"/>
            </w:pPr>
            <w:r>
              <w:rPr>
                <w:rFonts w:ascii="仿宋_GB2312" w:hAnsi="仿宋_GB2312" w:cs="仿宋_GB2312" w:eastAsia="仿宋_GB2312"/>
                <w:sz w:val="24"/>
              </w:rPr>
              <w:t>本项目采取月度检查与期满验收相结合的方式进行验收。供应商应按要求提交运维月报、巡检记录、故障和事件处理台账、变更和发布记录、数据库备份及恢复测试记录、接口维护记录、安全运维资料、培训记录、数据治理及质控工作台账、年度运维总结报告等。采购人根据合同约定服务内容、服务指标完成情况及资料完整性进行验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拟派项目负责人须具备信息化运行维护经验，熟悉常见的安全设备及项目管理流程，提供毕业证书、工作简历等相关证明材料。</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自合同签订之日起12个月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采取月度检查与期满验收相结合的方式进行验收。供应商应按要求提交运维月报、巡检记录、故障和事件处理台账、变更和发布记录、数据库备份及恢复测试记录、接口维护记录、安全运维资料、培训记录、数据治理及质控工作台账、年度运维总结报告等。采购人根据合同约定服务内容、服务指标完成情况及资料完整性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预付款，合同签订后，乙方向甲方提供等额增值税普通发票之日起，达到付款条件起15个工作日内，支付合同总金额的80.0%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其他，待乙方按照合同要求完成所有服务，甲方验收合格后，乙方向甲方提供等额增值税普通发票之日起，达到付款条件起15个工作日内，支付合同总金额的20.0%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1.按《中华人民共和国民法典》中的相关条款和本合同的约定执行。 2.未按合同或政府采购招投标文件要求提供产品、服务，或供应的产品、服务质量不能满足采购人技术要求，经书面告知在合理期限内整改但仍不予调整的，采购人有权终止合同，并有权对违约行为进行追究。 3.任何一方有其他违反本合同情形的，应赔偿守约方全部损失，该损失包括但不限于对守约方所造成的直接损失、可得利益损失、守约方支付给第三方的赔偿费用/违约金/罚款、调查取证费用/公证费、诉讼费用、律师费用以及因此而支付的其他合理费用。 4.采购人的违约责任：采购人因自身原因不按合同约定向供应商付款，每逾期一天，须按迟延付款额的0.01%向供应商支付延期付款的违约金，累计违约金最高不超过合同总额的 5%。采购人不按照合同约定提供相关资料及其它协作事项的，应提前7个日历天书面通知供应商，项目完成时间予以顺延。 5.供应商的违约责任：供应商未按照本合同约定保质保量提供产品或服务，或其服务成果存在侵权行为的，或对服务过程中出现的问题推诿、拖延，超出 24小时未作出服务响应，经采购人催告后履行仍不符合合同约定的，采购人有权解除本合同，并要求供应商退还已付款项，同时有权要求供应商按照合同价款的10%承担违约金，违约金不足以赔偿甲方损失的，乙方应赔偿超出部分的全部损失。采购人维权支付的诉讼费、保全费、律师费等费用由供应商承担。 合同履行期限结束，供应商未能按期完成服务期限的内容，供应商应继续履行自身义务直至符合合同约定。同时从合同履行期限届满之日开始起算，每逾期一天按合同总金额的0.03%向采购人支付违约金。 若本项目经采购人验收不合格，采购人有权要求供应商在10日历天内整改完善，供应商必须予以整改完善。因此导致成果逾期提交的，履行期限不予顺延，每逾期一天，应按合同总金额的0.03%向采购人支付违约金；限期补充完善仍未达到采购人要求的，采购人有权单方解除合同，供应商除应承担上述逾期违约金外，还应赔偿因此给采购人造成的实际损失（例如：鉴定费、委托第三方为采购人提供完善项目所产生的费用、项目建设进度顺延给采购人造成的损失、诉讼费、律师费等），赔偿金额原则上不超过本合同总金额的30%，但采购人的实际损失超过合同总金额30%的，供应商应当承担补足责任。 甲乙双方任何一方违反保密义务的，违约方应向对方支付合同总金额10%的违约金，违约金不足以弥补对方损失的还应当承担补足责任。 供应商没有采购人的书面同意转让合同或将项目的全部或部分分包或转包出去，采购人可向供应商发出书面违约通知书，提出终止部分或全部合同。若采购人部分终止合同的，供应商应继续履行合同其他义务，并按照合同金额的10%支付违约金。若采购人全部终止合同的，供应商应按合同总金额30%的支付违约金。同时采购人的实际损失超过合同总金额30%的，供应商应当承担补足责任。 供应商违反合同约定的其它责任、义务视为违约，需向采购人支付合同总价款的30%违约金。同时采购人的实际损失超过合同总金额30%的，供应商应当承担补足责任。 合同争议的解决：合同执行中发生争议的，当事人双方应协商解决，协商达不成一致时，可向采购人所在地人民法院提请诉讼。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通过电子化交易系统协商，供应商需在电子化交易系统上传响应的文件。成交供应商领取中标（成交）通知书时，向采购代理机构提供一正两副纸质响应文件及电子版1份（签字盖章扫描PDF和word文档格式，U盘存储）。 2.供应商应自协商文件递交截止时间起至磋商结束，保持在线状态。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无所有者权益变动表，提供说明）及其附注、会计师事务所营业执照和2个注册会计师证书（成立时间至提交磋商响应文件截止时间不足一年的可提供成立后任意时段的资产负债表）】或【财政部门认可的政府采购专业担保机构出具的担保函】或【在磋商截止日期前三个月内其基本开户银行出具的资信证明（附开户许可证或开户备案证明或基本存款账户信息）】；以上三种形式的证明资料提供任何一种即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供应商应具有独立承担民事责任的能力的企业法人、事业法人或其他组织或自然人，并出具合法有效的营业执照或事业单位法人证书等国家规定的相关证明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缴纳税收</w:t>
            </w:r>
          </w:p>
        </w:tc>
        <w:tc>
          <w:tcPr>
            <w:tcW w:type="dxa" w:w="3322"/>
          </w:tcPr>
          <w:p>
            <w:pPr>
              <w:pStyle w:val="null3"/>
            </w:pPr>
            <w:r>
              <w:rPr>
                <w:rFonts w:ascii="仿宋_GB2312" w:hAnsi="仿宋_GB2312" w:cs="仿宋_GB2312" w:eastAsia="仿宋_GB2312"/>
              </w:rPr>
              <w:t>提供磋商截止日前一年内已缴纳的至少一个月的纳税证明或完税证明，依法免税的单位应提供相关证明材料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无所有者权益变动表，提供说明）及其附注、会计师事务所营业执照和2个注册会计师证书（成立时间至提交磋商响应文件截止时间不足一年的可提供成立后任意时段的资产负债表）】或【财政部门认可的政府采购专业担保机构出具的担保函】或【在磋商截止日期前三个月内其基本开户银行出具的资信证明（附开户许可证或开户备案证明或基本存款账户信息）】；以上三种形式的证明资料提供任何一种即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列入“信用中国”（www.creditchina.gov.cn）或“中国执行信息公开网”（http://zxgk.court.gov.cn/shixin/）失信被执行人，不得列入“信用中国”（www.creditchina.gov.cn）重大税收违法失信主体，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法定代表人直接参加磋商的，提供法定代表人身份证明并出示身份证原件；法定代表人授权他人参加磋商的，提供法定代表人委托授权书、被授权代表身份证及本单位证明（养老保险缴纳证明或劳动合同）</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参加本次采购前3年内，在经营活动中没有重大违法记录的书面声明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供应商履行合同所必需的设备和专业技术能力</w:t>
            </w:r>
          </w:p>
        </w:tc>
        <w:tc>
          <w:tcPr>
            <w:tcW w:type="dxa" w:w="3322"/>
          </w:tcPr>
          <w:p>
            <w:pPr>
              <w:pStyle w:val="null3"/>
            </w:pPr>
            <w:r>
              <w:rPr>
                <w:rFonts w:ascii="仿宋_GB2312" w:hAnsi="仿宋_GB2312" w:cs="仿宋_GB2312" w:eastAsia="仿宋_GB2312"/>
              </w:rPr>
              <w:t>供应商须具有履行合同所必需的设备和专业技术能力，须附相关证明材料或书面声明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非联合体承诺书</w:t>
            </w:r>
          </w:p>
        </w:tc>
        <w:tc>
          <w:tcPr>
            <w:tcW w:type="dxa" w:w="3322"/>
          </w:tcPr>
          <w:p>
            <w:pPr>
              <w:pStyle w:val="null3"/>
            </w:pPr>
            <w:r>
              <w:rPr>
                <w:rFonts w:ascii="仿宋_GB2312" w:hAnsi="仿宋_GB2312" w:cs="仿宋_GB2312" w:eastAsia="仿宋_GB2312"/>
              </w:rPr>
              <w:t>本项目不接受联合体，单位负责人为同一人或者存在控股、管理关系的不同单位不得同时参加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业绩一览表.docx 中小企业声明函 商务应答表 服务内容及服务要求应答表 报价表 响应文件封面 供应商应提交的相关资格证明材料.docx 残疾人福利性单位声明函 服务方案 供应商认为有必要说明的其他问题.docx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（1）磋商报价符合唯一性要求；（2）第一次磋商报价表填写符合要求；（3）计量单位、报价货币均符合磋商文件要求；（4）未超出采购预算或磋商文件规定的最高限价。</w:t>
            </w:r>
          </w:p>
        </w:tc>
        <w:tc>
          <w:tcPr>
            <w:tcW w:type="dxa" w:w="1661"/>
          </w:tcPr>
          <w:p>
            <w:pPr>
              <w:pStyle w:val="null3"/>
            </w:pPr>
            <w:r>
              <w:rPr>
                <w:rFonts w:ascii="仿宋_GB2312" w:hAnsi="仿宋_GB2312" w:cs="仿宋_GB2312" w:eastAsia="仿宋_GB2312"/>
              </w:rPr>
              <w:t>响应文件封面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技术要求</w:t>
            </w:r>
          </w:p>
        </w:tc>
        <w:tc>
          <w:tcPr>
            <w:tcW w:type="dxa" w:w="2492"/>
          </w:tcPr>
          <w:p>
            <w:pPr>
              <w:pStyle w:val="null3"/>
            </w:pPr>
            <w:r>
              <w:rPr>
                <w:rFonts w:ascii="仿宋_GB2312" w:hAnsi="仿宋_GB2312" w:cs="仿宋_GB2312" w:eastAsia="仿宋_GB2312"/>
              </w:rPr>
              <w:t>供应商对本次采购项目的用户需求书中采购需求的响应程度，满足磋商文件所要求的各项技术要求，以上技术要求供应商需提供充足的佐证材料，满分20分，每负偏离一项或未提供有效的证明材料的扣2.5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项目采购需求分析</w:t>
            </w:r>
          </w:p>
        </w:tc>
        <w:tc>
          <w:tcPr>
            <w:tcW w:type="dxa" w:w="2492"/>
          </w:tcPr>
          <w:p>
            <w:pPr>
              <w:pStyle w:val="null3"/>
            </w:pPr>
            <w:r>
              <w:rPr>
                <w:rFonts w:ascii="仿宋_GB2312" w:hAnsi="仿宋_GB2312" w:cs="仿宋_GB2312" w:eastAsia="仿宋_GB2312"/>
              </w:rPr>
              <w:t>一、评审内容：根据供应商提供的采购需求分析，包括但不限于：①对工作内容、目标理解；②对项目重点难点分析及解决方案等响应情况进行综合评审： 二、评审标准：1、完整性：方案须全面，对评审内容中的各项要求有详细描述及说明； 2、可实施性：切合本项目实际情况，实施步骤清晰、合理； 3、针对性：方案能够紧扣项目实际情况，内容科学合理。 三、赋分标准（满分3分） 1、对工作内容、目标理解：每完全满足一个评审标准得0.5分，满分1.5分；缺项得0分。 2、对项目重点难点分析及解决方案：每完全满足一个评审标准得0.5分，满分1.5分；缺项得0分。 注：每有1项评审内容有1个评审标准存在缺陷的扣（0-0.5）分，扣完为止。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一、评审内容：根据供应商针对本项目提供的实施方案，包括但不限于：①功能优化方案；②数据运维方案；③系统运维方案；④安全及性能保障方案；⑤应急方案。 二、评审标准：1、完整性：方案须全面，对评审内容中的各项要求有详细描述及说明； 2、可实施性：切合本项目实际情况，实施步骤清晰、合理； 3、针对性：方案能够紧扣项目实际情况，内容科学合理。 三、赋分标准（满分15分） 1、功能优化方案：每完全满足一个评审标准得1分，满分3分；缺项得0分 2、数据运维方案：每完全满足一个评审标准得1分，满分3分；缺项得0分； 3、系统运维方案：每完全满足一个评审标准得1分，满分3分；缺项得0分； 4、安全及性能保障方案：每完全满足一个评审标准得1分，满分3分；缺项得0分； 5、应急方案：每完全满足一个评审标准得1分，满分3分；缺项得0分。 注：每有1项评审内容有1个评审标准存在缺陷的扣（0-1）分，扣完为止。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拟派项目负责人须具备信息化运行维护经验，熟悉常见的安全设备及项目管理流程，提供毕业证书、工作简历等相关证明材料加盖公章，得5分，不完全满足不得分。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一、评审内容：根据供应商提供的项目团队人员配备，包括但不限于：①项目服务团队架构及工作人员投入计划；②项目人员岗位划分及工作职责；③项目人员管理制度。 二、评审标准：1、完整性：方案须全面，对评审内容中的各项要求有详细描述及说明； 2、可实施性：切合本项目实际情况，实施步骤清晰、合理； 3、针对性：方案能够紧扣项目实际情况，内容科学合理。 三、赋分标准（满分6分） 1、项目服务团队架构及工作人员投入计划：每完全满足一个评审标准得0.5分，满分1.5分；缺项得0分。 2、项目人员岗位划分及工作职责：每完全满足一个评审标准得0.5分，满分1.5分；缺项得0分。 3、项目人员管理制度：每完全满足一个评审标准得1分，满分3分；缺项得0分。 注：每有1项评审内容有1个评审标准存在缺陷的扣（0-0.5）分，扣完为止。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实施进度及计划</w:t>
            </w:r>
          </w:p>
        </w:tc>
        <w:tc>
          <w:tcPr>
            <w:tcW w:type="dxa" w:w="2492"/>
          </w:tcPr>
          <w:p>
            <w:pPr>
              <w:pStyle w:val="null3"/>
            </w:pPr>
            <w:r>
              <w:rPr>
                <w:rFonts w:ascii="仿宋_GB2312" w:hAnsi="仿宋_GB2312" w:cs="仿宋_GB2312" w:eastAsia="仿宋_GB2312"/>
              </w:rPr>
              <w:t>一、评审内容：根据供应商针对本项目提供的项目实施进度计划方案，包括但不限于：①项目实施进度安排；②运维服务计划安排等响应情况进行综合评审： 二、评审标准： 1、完整性：方案须全面，对评审内容中的各项要求有详细描述及说明； 2、可实施性：切合本项目实际情况，实施步骤清晰、合理； 3、针对性：方案能够紧扣项目实际情况，内容科学合理。 三、赋分标准（满分3分） 1、项目实施进度安排：每完全满足一个评审标准得0.5分，满分1.5分；缺项得0分。 2、运维服务计划安排：每完全满足一个评审标准得0.5分，满分1.5分；缺项得0分。 注：每有1项评审内容有1个评审标准存在缺陷的扣（0-0.5）分，扣完为止。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一、评审内容：针对本项目提供具体可行的培训方案，包括但不限于：①培训计划；②培训目标及培训内容等响应情况进行综合评审： 二、评审标准： 1、完整性：方案须全面，对评审内容中的各项要求有详细描述及说明； 2、可实施性：切合本项目实际情况，实施步骤清晰、合理； 3、针对性：方案能够紧扣项目实际情况，内容科学合理。 三、赋分标准（满分3分） 1、培训计划：每完全满足一个评审标准得0.5分，满分1.5分；缺项得0分。 2、培训目标及培训内容：每完全满足一个评审标准得0.5分，满分1.5分；缺项得0分。 注：每有1项评审内容有1个评审标准存在缺陷的扣（0-0.5）分，扣完为止。 说明：缺陷是指内容没有结合项目实际需求、虽有内容但不完善、内容表述前后不一致、套用其他项目方案或与项目需求不匹配及其他不利于项目实施的等任意一种情形。 注：由派遣全程参与本项目建设的项目负责人完成培训任务。</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服务质量保障体系</w:t>
            </w:r>
          </w:p>
        </w:tc>
        <w:tc>
          <w:tcPr>
            <w:tcW w:type="dxa" w:w="2492"/>
          </w:tcPr>
          <w:p>
            <w:pPr>
              <w:pStyle w:val="null3"/>
            </w:pPr>
            <w:r>
              <w:rPr>
                <w:rFonts w:ascii="仿宋_GB2312" w:hAnsi="仿宋_GB2312" w:cs="仿宋_GB2312" w:eastAsia="仿宋_GB2312"/>
              </w:rPr>
              <w:t>一、评审内容：提供服务质量保障体系，包含：①维保制度建设；②维保队伍建设；③服务监督机制；④服务承诺等服务质量管理手段及措施等响应情况进行综合评审： 二、评审标准: 1、完整性：方案须全面，对评审内容中的各项要求有详细描述及说明； 2、可实施性：切合本项目实际情况，实施步骤清晰、合理； 3、针对性：方案能够紧扣项目实际情况，内容科学合理。 三、赋分标准（满分6分） 1、维保制度建设：每完全满足一个评审标准得0.5分，满分1.5分；缺项得0分。 2、维保队伍建设：每完全满足一个评审标准得0.5分，满分1.5分；缺项得0分。 3、服务监督机制：每完全满足一个评审标准得0.5分，满分1.5分；缺项得0分。 4、服务承诺等服务质量管理手段及措施：每完全满足一个评审标准得0.5分，满分1.5分；缺项得0分。 注：每有1项评审内容有1个评审标准存在缺陷的扣（0-0.5）分，扣完为止。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一、评审内容：供应商针对本项目提出其他合理技术服务建议。 包括但不限于：①项目执行；②技术支持等响应情况进行综合评审： 二、评审标准: 1、完整性：方案须全面，对评审内容中的各项要求有详细描述及说明； 2、可实施性：切合本项目实际情况，实施步骤清晰、合理； 3、针对性：方案能够紧扣项目实际情况，内容科学合理。 三、赋分标准（满分3分） 1、项目执行：每完全满足一个评审标准得0.5分，满分1.5分；缺项得0分。 2、技术支持：每完全满足一个评审标准得0.5分，满分1.5分；缺项得0分。 注：每有1项评审内容有1个评审标准存在缺陷的扣（0-0.5）分，扣完为止。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企业资质</w:t>
            </w:r>
          </w:p>
        </w:tc>
        <w:tc>
          <w:tcPr>
            <w:tcW w:type="dxa" w:w="2492"/>
          </w:tcPr>
          <w:p>
            <w:pPr>
              <w:pStyle w:val="null3"/>
            </w:pPr>
            <w:r>
              <w:rPr>
                <w:rFonts w:ascii="仿宋_GB2312" w:hAnsi="仿宋_GB2312" w:cs="仿宋_GB2312" w:eastAsia="仿宋_GB2312"/>
              </w:rPr>
              <w:t>供应商具备ISO9001质量管理体系认证证书，得1分；具备ISO20000信息技术服务管理体系标准证书，得1分；具备ISO27001信息安全管理证书，得1分； 以上提供证书复印件，并加盖公章。否则不计分。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企业能力</w:t>
            </w:r>
          </w:p>
        </w:tc>
        <w:tc>
          <w:tcPr>
            <w:tcW w:type="dxa" w:w="2492"/>
          </w:tcPr>
          <w:p>
            <w:pPr>
              <w:pStyle w:val="null3"/>
            </w:pPr>
            <w:r>
              <w:rPr>
                <w:rFonts w:ascii="仿宋_GB2312" w:hAnsi="仿宋_GB2312" w:cs="仿宋_GB2312" w:eastAsia="仿宋_GB2312"/>
              </w:rPr>
              <w:t>在全员人口信息化工作方面具备专业能力，提供相关证明材料，如全员人口信息、人口业务综合治理、人口健康资源共享、人口数据采集分析、人口数据处理、人口监测、卫生计生信息数据挖掘与决策分析类、大数据决策分析类、人口大数据共享服务、人口信息资源共享，包括但不限于专利、著作权等。每提供1项得1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提供2023年1月1日至今（以合同签订时间为准）完成类似项目业绩，每提供一份得2分，最多得10分。 注：以磋商响应文件中所附的合同复印件为准。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满足竞争性磋商文件要求且最低的磋商报价为评审基准价，其价格分为满分。 各供应商的报价得分按下列公式计算： 报价得分=（基准价/磋商报价）×15磋商报价不完整的，不计入磋商基准价的计算，本项得0分。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详见附件：供应商认为有必要说明的其他问题.docx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