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版本号：ZCSP-临渭区-2026-0017020260709001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渭南市临渭区森林植被恢复项目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ZCSP-临渭区-2026-00170</w:t>
      </w:r>
      <w:r>
        <w:br/>
      </w:r>
      <w:r>
        <w:br/>
      </w:r>
      <w:r>
        <w:br/>
      </w:r>
    </w:p>
    <w:p>
      <w:pPr>
        <w:pStyle w:val="null3"/>
        <w:jc w:val="center"/>
        <w:outlineLvl w:val="2"/>
      </w:pPr>
      <w:r>
        <w:rPr>
          <w:rFonts w:ascii="仿宋_GB2312" w:hAnsi="仿宋_GB2312" w:cs="仿宋_GB2312" w:eastAsia="仿宋_GB2312"/>
          <w:sz w:val="28"/>
          <w:b/>
        </w:rPr>
        <w:t>渭南市临渭区林业局</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渭南市临渭区林业局</w:t>
      </w:r>
      <w:r>
        <w:rPr>
          <w:rFonts w:ascii="仿宋_GB2312" w:hAnsi="仿宋_GB2312" w:cs="仿宋_GB2312" w:eastAsia="仿宋_GB2312"/>
        </w:rPr>
        <w:t>委托，拟对</w:t>
      </w:r>
      <w:r>
        <w:rPr>
          <w:rFonts w:ascii="仿宋_GB2312" w:hAnsi="仿宋_GB2312" w:cs="仿宋_GB2312" w:eastAsia="仿宋_GB2312"/>
        </w:rPr>
        <w:t>渭南市临渭区森林植被恢复项目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ZCSP-临渭区-2026-00170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渭南市临渭区森林植被恢复项目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在关中环线两侧实施6公里生态修复与提升治理，造林100亩。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采购包1（渭南市临渭区森林植被恢复项目）：属于专门面向中小企业采购。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1、项目负责人：项目负责人须具备林业类或园林类专业中级及以上职称或市政公用工程专业二级建造师及安全生产考核B证，且无在建项目；</w:t>
      </w:r>
    </w:p>
    <w:p>
      <w:pPr>
        <w:pStyle w:val="null3"/>
      </w:pPr>
      <w:r>
        <w:rPr>
          <w:rFonts w:ascii="仿宋_GB2312" w:hAnsi="仿宋_GB2312" w:cs="仿宋_GB2312" w:eastAsia="仿宋_GB2312"/>
        </w:rPr>
        <w:t>2、法定代表人身份证明书或授权委托书：法定代表人参与投标时需提供法定代表人身份证明书；被授权人参与投标时需提供法定代表人身份证明书及法定代表人授权委托书</w:t>
      </w:r>
    </w:p>
    <w:p>
      <w:pPr>
        <w:pStyle w:val="null3"/>
      </w:pPr>
      <w:r>
        <w:rPr>
          <w:rFonts w:ascii="仿宋_GB2312" w:hAnsi="仿宋_GB2312" w:cs="仿宋_GB2312" w:eastAsia="仿宋_GB2312"/>
        </w:rPr>
        <w:t>3、磋商保证金：磋商保证金交纳凭证</w:t>
      </w:r>
    </w:p>
    <w:p>
      <w:pPr>
        <w:pStyle w:val="null3"/>
      </w:pPr>
      <w:r>
        <w:rPr>
          <w:rFonts w:ascii="仿宋_GB2312" w:hAnsi="仿宋_GB2312" w:cs="仿宋_GB2312" w:eastAsia="仿宋_GB2312"/>
        </w:rPr>
        <w:t>4、信用信息：供应商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东风大街东段临渭区行政服务中心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0913-3039585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陕西省渭南市临渭区陕西省渭南市临渭区乐天大街福乐新村东1号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在标准的基础上下浮55%，按照标准计算结果的45%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渭南市临渭区林业局</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服务质量：合格，符合国家行业现行技术标准。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联系人：田晶</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地址：陕西省渭南市临渭区解放路与双王街十字东南角商贸楼三楼东侧（槐衙曦和公馆南门斜对面）</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在关中环线两侧实施6公里生态修复与提升治理，造林100亩。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渭南市临渭区森林植被恢复项目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标的名称：渭南市临渭区森林植被恢复项目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rPr>
              <w:t>临渭区森林植被恢复补助项目任务量为在关中环线两侧实施6公里生态修复与提升治理；造林100亩。造林地点在关中环线东侧阳郭镇三官庙村荒山荒坡，造林作业面积为管护6公里、造林100亩。本项目设计林种为生态林，造林地类为荒山荒坡。造林100亩，栽植树种为侧柏；关中环线沿线绿化提升，补植树种为树状月季、紫荆、白皮松。根据各树种造林面积和初植密度进行计算，项目建设共需各类苗木11426株，其中：树状月季100株、紫荆141株、白皮松56株、银杏9株、樱花4株、花石榴丛生10株、海棠6株、侧柏11100株。</w:t>
            </w:r>
          </w:p>
          <w:p>
            <w:pPr>
              <w:pStyle w:val="null3"/>
            </w:pPr>
            <w:r>
              <w:rPr>
                <w:rFonts w:ascii="仿宋_GB2312" w:hAnsi="仿宋_GB2312" w:cs="仿宋_GB2312" w:eastAsia="仿宋_GB2312"/>
              </w:rPr>
              <w:t>苗木规格</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树种品名</w:t>
                  </w:r>
                </w:p>
              </w:tc>
              <w:tc>
                <w:tcPr>
                  <w:tcW w:type="dxa" w:w="638"/>
                </w:tcPr>
                <w:p>
                  <w:pPr>
                    <w:pStyle w:val="null3"/>
                  </w:pPr>
                  <w:r>
                    <w:rPr>
                      <w:rFonts w:ascii="仿宋_GB2312" w:hAnsi="仿宋_GB2312" w:cs="仿宋_GB2312" w:eastAsia="仿宋_GB2312"/>
                    </w:rPr>
                    <w:t>粗度（cm）</w:t>
                  </w:r>
                </w:p>
              </w:tc>
              <w:tc>
                <w:tcPr>
                  <w:tcW w:type="dxa" w:w="638"/>
                </w:tcPr>
                <w:p>
                  <w:pPr>
                    <w:pStyle w:val="null3"/>
                  </w:pPr>
                  <w:r>
                    <w:rPr>
                      <w:rFonts w:ascii="仿宋_GB2312" w:hAnsi="仿宋_GB2312" w:cs="仿宋_GB2312" w:eastAsia="仿宋_GB2312"/>
                    </w:rPr>
                    <w:t>高度(m)</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树状月季</w:t>
                  </w:r>
                </w:p>
              </w:tc>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红花</w:t>
                  </w:r>
                </w:p>
              </w:tc>
            </w:tr>
            <w:tr>
              <w:tc>
                <w:tcPr>
                  <w:tcW w:type="dxa" w:w="638"/>
                </w:tcPr>
                <w:p>
                  <w:pPr>
                    <w:pStyle w:val="null3"/>
                  </w:pPr>
                  <w:r>
                    <w:rPr>
                      <w:rFonts w:ascii="仿宋_GB2312" w:hAnsi="仿宋_GB2312" w:cs="仿宋_GB2312" w:eastAsia="仿宋_GB2312"/>
                    </w:rPr>
                    <w:t>紫荆</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1.5</w:t>
                  </w:r>
                </w:p>
              </w:tc>
              <w:tc>
                <w:tcPr>
                  <w:tcW w:type="dxa" w:w="638"/>
                </w:tcPr>
                <w:p>
                  <w:pPr>
                    <w:pStyle w:val="null3"/>
                  </w:pPr>
                  <w:r>
                    <w:rPr>
                      <w:rFonts w:ascii="仿宋_GB2312" w:hAnsi="仿宋_GB2312" w:cs="仿宋_GB2312" w:eastAsia="仿宋_GB2312"/>
                    </w:rPr>
                    <w:t>5年丛生，多分枝</w:t>
                  </w:r>
                </w:p>
              </w:tc>
            </w:tr>
            <w:tr>
              <w:tc>
                <w:tcPr>
                  <w:tcW w:type="dxa" w:w="638"/>
                </w:tcPr>
                <w:p>
                  <w:pPr>
                    <w:pStyle w:val="null3"/>
                  </w:pPr>
                  <w:r>
                    <w:rPr>
                      <w:rFonts w:ascii="仿宋_GB2312" w:hAnsi="仿宋_GB2312" w:cs="仿宋_GB2312" w:eastAsia="仿宋_GB2312"/>
                    </w:rPr>
                    <w:t>白皮松</w:t>
                  </w:r>
                </w:p>
              </w:tc>
              <w:tc>
                <w:tcPr>
                  <w:tcW w:type="dxa" w:w="638"/>
                </w:tcPr>
                <w:p>
                  <w:pPr>
                    <w:pStyle w:val="null3"/>
                  </w:pPr>
                  <w:r>
                    <w:rPr>
                      <w:rFonts w:ascii="仿宋_GB2312" w:hAnsi="仿宋_GB2312" w:cs="仿宋_GB2312" w:eastAsia="仿宋_GB2312"/>
                    </w:rPr>
                    <w:t>/</w:t>
                  </w:r>
                </w:p>
              </w:tc>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容器苗</w:t>
                  </w:r>
                </w:p>
              </w:tc>
            </w:tr>
            <w:tr>
              <w:tc>
                <w:tcPr>
                  <w:tcW w:type="dxa" w:w="638"/>
                </w:tcPr>
                <w:p>
                  <w:pPr>
                    <w:pStyle w:val="null3"/>
                  </w:pPr>
                  <w:r>
                    <w:rPr>
                      <w:rFonts w:ascii="仿宋_GB2312" w:hAnsi="仿宋_GB2312" w:cs="仿宋_GB2312" w:eastAsia="仿宋_GB2312"/>
                    </w:rPr>
                    <w:t>银杏</w:t>
                  </w:r>
                </w:p>
              </w:tc>
              <w:tc>
                <w:tcPr>
                  <w:tcW w:type="dxa" w:w="638"/>
                </w:tcPr>
                <w:p>
                  <w:pPr>
                    <w:pStyle w:val="null3"/>
                  </w:pPr>
                  <w:r>
                    <w:rPr>
                      <w:rFonts w:ascii="仿宋_GB2312" w:hAnsi="仿宋_GB2312" w:cs="仿宋_GB2312" w:eastAsia="仿宋_GB2312"/>
                    </w:rPr>
                    <w:t>10-12</w:t>
                  </w:r>
                </w:p>
              </w:tc>
              <w:tc>
                <w:tcPr>
                  <w:tcW w:type="dxa" w:w="638"/>
                </w:tcPr>
                <w:p>
                  <w:pPr>
                    <w:pStyle w:val="null3"/>
                  </w:pPr>
                  <w:r>
                    <w:rPr>
                      <w:rFonts w:ascii="仿宋_GB2312" w:hAnsi="仿宋_GB2312" w:cs="仿宋_GB2312" w:eastAsia="仿宋_GB2312"/>
                    </w:rPr>
                    <w:t>/</w:t>
                  </w:r>
                </w:p>
              </w:tc>
              <w:tc>
                <w:tcPr>
                  <w:tcW w:type="dxa" w:w="638"/>
                </w:tcPr>
                <w:p>
                  <w:pPr>
                    <w:pStyle w:val="null3"/>
                  </w:pPr>
                  <w:r>
                    <w:rPr>
                      <w:rFonts w:ascii="仿宋_GB2312" w:hAnsi="仿宋_GB2312" w:cs="仿宋_GB2312" w:eastAsia="仿宋_GB2312"/>
                    </w:rPr>
                    <w:t>全冠</w:t>
                  </w:r>
                </w:p>
              </w:tc>
            </w:tr>
            <w:tr>
              <w:tc>
                <w:tcPr>
                  <w:tcW w:type="dxa" w:w="638"/>
                </w:tcPr>
                <w:p>
                  <w:pPr>
                    <w:pStyle w:val="null3"/>
                  </w:pPr>
                  <w:r>
                    <w:rPr>
                      <w:rFonts w:ascii="仿宋_GB2312" w:hAnsi="仿宋_GB2312" w:cs="仿宋_GB2312" w:eastAsia="仿宋_GB2312"/>
                    </w:rPr>
                    <w:t>樱花</w:t>
                  </w:r>
                </w:p>
              </w:tc>
              <w:tc>
                <w:tcPr>
                  <w:tcW w:type="dxa" w:w="638"/>
                </w:tcPr>
                <w:p>
                  <w:pPr>
                    <w:pStyle w:val="null3"/>
                  </w:pPr>
                  <w:r>
                    <w:rPr>
                      <w:rFonts w:ascii="仿宋_GB2312" w:hAnsi="仿宋_GB2312" w:cs="仿宋_GB2312" w:eastAsia="仿宋_GB2312"/>
                    </w:rPr>
                    <w:t>14-16</w:t>
                  </w:r>
                </w:p>
              </w:tc>
              <w:tc>
                <w:tcPr>
                  <w:tcW w:type="dxa" w:w="638"/>
                </w:tcPr>
                <w:p>
                  <w:pPr>
                    <w:pStyle w:val="null3"/>
                  </w:pPr>
                  <w:r>
                    <w:rPr>
                      <w:rFonts w:ascii="仿宋_GB2312" w:hAnsi="仿宋_GB2312" w:cs="仿宋_GB2312" w:eastAsia="仿宋_GB2312"/>
                    </w:rPr>
                    <w:t>/</w:t>
                  </w:r>
                </w:p>
              </w:tc>
              <w:tc>
                <w:tcPr>
                  <w:tcW w:type="dxa" w:w="638"/>
                </w:tcPr>
                <w:p>
                  <w:pPr>
                    <w:pStyle w:val="null3"/>
                  </w:pPr>
                  <w:r>
                    <w:rPr>
                      <w:rFonts w:ascii="仿宋_GB2312" w:hAnsi="仿宋_GB2312" w:cs="仿宋_GB2312" w:eastAsia="仿宋_GB2312"/>
                    </w:rPr>
                    <w:t>全冠</w:t>
                  </w:r>
                </w:p>
              </w:tc>
            </w:tr>
            <w:tr>
              <w:tc>
                <w:tcPr>
                  <w:tcW w:type="dxa" w:w="638"/>
                </w:tcPr>
                <w:p>
                  <w:pPr>
                    <w:pStyle w:val="null3"/>
                  </w:pPr>
                  <w:r>
                    <w:rPr>
                      <w:rFonts w:ascii="仿宋_GB2312" w:hAnsi="仿宋_GB2312" w:cs="仿宋_GB2312" w:eastAsia="仿宋_GB2312"/>
                    </w:rPr>
                    <w:t>花石榴</w:t>
                  </w:r>
                </w:p>
              </w:tc>
              <w:tc>
                <w:tcPr>
                  <w:tcW w:type="dxa" w:w="638"/>
                </w:tcPr>
                <w:p>
                  <w:pPr>
                    <w:pStyle w:val="null3"/>
                  </w:pPr>
                  <w:r>
                    <w:rPr>
                      <w:rFonts w:ascii="仿宋_GB2312" w:hAnsi="仿宋_GB2312" w:cs="仿宋_GB2312" w:eastAsia="仿宋_GB2312"/>
                    </w:rPr>
                    <w:t>/</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丛生</w:t>
                  </w:r>
                </w:p>
              </w:tc>
            </w:tr>
            <w:tr>
              <w:tc>
                <w:tcPr>
                  <w:tcW w:type="dxa" w:w="638"/>
                </w:tcPr>
                <w:p>
                  <w:pPr>
                    <w:pStyle w:val="null3"/>
                  </w:pPr>
                  <w:r>
                    <w:rPr>
                      <w:rFonts w:ascii="仿宋_GB2312" w:hAnsi="仿宋_GB2312" w:cs="仿宋_GB2312" w:eastAsia="仿宋_GB2312"/>
                    </w:rPr>
                    <w:t>海棠</w:t>
                  </w:r>
                </w:p>
              </w:tc>
              <w:tc>
                <w:tcPr>
                  <w:tcW w:type="dxa" w:w="638"/>
                </w:tcPr>
                <w:p>
                  <w:pPr>
                    <w:pStyle w:val="null3"/>
                  </w:pPr>
                  <w:r>
                    <w:rPr>
                      <w:rFonts w:ascii="仿宋_GB2312" w:hAnsi="仿宋_GB2312" w:cs="仿宋_GB2312" w:eastAsia="仿宋_GB2312"/>
                    </w:rPr>
                    <w:t>6-8</w:t>
                  </w:r>
                </w:p>
              </w:tc>
              <w:tc>
                <w:tcPr>
                  <w:tcW w:type="dxa" w:w="638"/>
                </w:tcPr>
                <w:p>
                  <w:pPr>
                    <w:pStyle w:val="null3"/>
                  </w:pPr>
                  <w:r>
                    <w:rPr>
                      <w:rFonts w:ascii="仿宋_GB2312" w:hAnsi="仿宋_GB2312" w:cs="仿宋_GB2312" w:eastAsia="仿宋_GB2312"/>
                    </w:rPr>
                    <w:t>/</w:t>
                  </w:r>
                </w:p>
              </w:tc>
              <w:tc>
                <w:tcPr>
                  <w:tcW w:type="dxa" w:w="638"/>
                </w:tcPr>
                <w:p>
                  <w:pPr>
                    <w:pStyle w:val="null3"/>
                  </w:pPr>
                  <w:r>
                    <w:rPr>
                      <w:rFonts w:ascii="仿宋_GB2312" w:hAnsi="仿宋_GB2312" w:cs="仿宋_GB2312" w:eastAsia="仿宋_GB2312"/>
                    </w:rPr>
                    <w:t>全冠</w:t>
                  </w:r>
                </w:p>
              </w:tc>
            </w:tr>
            <w:tr>
              <w:tc>
                <w:tcPr>
                  <w:tcW w:type="dxa" w:w="638"/>
                </w:tcPr>
                <w:p>
                  <w:pPr>
                    <w:pStyle w:val="null3"/>
                  </w:pPr>
                  <w:r>
                    <w:rPr>
                      <w:rFonts w:ascii="仿宋_GB2312" w:hAnsi="仿宋_GB2312" w:cs="仿宋_GB2312" w:eastAsia="仿宋_GB2312"/>
                    </w:rPr>
                    <w:t>侧柏</w:t>
                  </w:r>
                </w:p>
              </w:tc>
              <w:tc>
                <w:tcPr>
                  <w:tcW w:type="dxa" w:w="638"/>
                </w:tcPr>
                <w:p>
                  <w:pPr>
                    <w:pStyle w:val="null3"/>
                  </w:pPr>
                  <w:r>
                    <w:rPr>
                      <w:rFonts w:ascii="仿宋_GB2312" w:hAnsi="仿宋_GB2312" w:cs="仿宋_GB2312" w:eastAsia="仿宋_GB2312"/>
                    </w:rPr>
                    <w:t>≥0.2</w:t>
                  </w:r>
                </w:p>
              </w:tc>
              <w:tc>
                <w:tcPr>
                  <w:tcW w:type="dxa" w:w="638"/>
                </w:tcPr>
                <w:p>
                  <w:pPr>
                    <w:pStyle w:val="null3"/>
                  </w:pPr>
                  <w:r>
                    <w:rPr>
                      <w:rFonts w:ascii="仿宋_GB2312" w:hAnsi="仿宋_GB2312" w:cs="仿宋_GB2312" w:eastAsia="仿宋_GB2312"/>
                    </w:rPr>
                    <w:t>0.6</w:t>
                  </w:r>
                </w:p>
              </w:tc>
              <w:tc>
                <w:tcPr>
                  <w:tcW w:type="dxa" w:w="638"/>
                </w:tcPr>
                <w:p>
                  <w:pPr>
                    <w:pStyle w:val="null3"/>
                  </w:pPr>
                  <w:r>
                    <w:rPr>
                      <w:rFonts w:ascii="仿宋_GB2312" w:hAnsi="仿宋_GB2312" w:cs="仿宋_GB2312" w:eastAsia="仿宋_GB2312"/>
                    </w:rPr>
                    <w:t>容器苗</w:t>
                  </w:r>
                </w:p>
              </w:tc>
            </w:tr>
          </w:tbl>
          <w:p>
            <w:pPr>
              <w:pStyle w:val="null3"/>
            </w:pPr>
            <w:r>
              <w:rPr>
                <w:rFonts w:ascii="仿宋_GB2312" w:hAnsi="仿宋_GB2312" w:cs="仿宋_GB2312" w:eastAsia="仿宋_GB2312"/>
              </w:rPr>
              <w:t>养护措施：幼林抚育是指在造林后至郁闭前这段时间里所进行的各种技术措施。新造幼林一般要经历缓苗、扎根、生长并逐步进入速生的过程，对林木以后的快速生长影响极大。幼林抚育的根本任务在于为幼苗、幼树提供一个优越的生长环境，满足幼树对水、肥、气、热的要求。通过松土、除草、扩穴等改善土壤的理化性质，给幼苗幼树创造一个良好的生长环境。</w:t>
            </w:r>
          </w:p>
          <w:p>
            <w:pPr>
              <w:pStyle w:val="null3"/>
            </w:pPr>
            <w:r>
              <w:rPr>
                <w:rFonts w:ascii="仿宋_GB2312" w:hAnsi="仿宋_GB2312" w:cs="仿宋_GB2312" w:eastAsia="仿宋_GB2312"/>
              </w:rPr>
              <w:t>注：本项目的作业内容及作业方式和要求以本项目作业设计为准。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1、作业完成后由供应商先进行自查验收，验收合格后报请采购人进行验收，采购人验收合格后报请上级林业主管部门进行验收 2、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施工作业质量、资金使用情况及项目成效、存在问题与建议等。 3、本项目由采购人及相关部门定期对项目进行阶段性验收。 4、验收标准：按磋商文件、响应文件及澄清函、项目检查情况等综合指标进行验收。各项指标均应符合验收标准及要求。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进度款，合同签订后支付40%的预付款，达到付款条件起10个工作日内，支付合同总金额的40.0%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进度款，完工后支付合同价款的30%，达到付款条件起10个工作日内，支付合同总金额的30.0%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进度款，项目任务全部完成且验收合格后付清全部合同价款，达到付款条件起10个工作日内，支付合同总金额的30.0%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本项目包含的所有服务内容；2、服务要求：满足采购人及采购文件要求；3、服务标准：合格；4、本项目所属行业：农、林、牧、渔业。营业收入20000万元以下的为中小微型企业。其中，营业收入500万元及以上的为中型企业，营业收入50万元及以上的为小型企业，营业收入50万元以下的为微型企业。5、根据《政府采购法实施条例》释义，银行、保险、石油石化、电力、电信等有行业特殊情况的，允许法人的分支机构参加政府采购活动。 6、中标（成交）供应商在中标（成交）结果公告发布后3个工作日内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 （3）社会保障资金缴纳证明：提供响应文件递交截止时间前一年内任意一个月的社保缴费凭据或社保机构开具的社会保险参保缴费情况证明；依法不需要缴纳社会保障资金的供应商应提供相关文件证明； 注：根据陕西省财政厅《关于进一步优化政府采购营商环境有关事项的通知》（陕财办采〔2023〕4号）关于供应商参与政府采购活动实行“承诺+信用管理”准入制度的要求，以上三项内容若采用承诺制，供应商可按本招标文件格式要求出具承诺函；若供应商提供证明材料，则无需填写此承诺书；若二者同时提供，评审时以证明材料为准。中标供应商的承诺函将与中标结果一并公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参加政府采购活动前三年内在经营活动中无重大违法记录的承诺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参与的供应商（联合体）服务全部由符合政策要求的中小企业承接。本项目所属行业：农、林、牧、渔业。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项目负责人须具备林业类或园林类专业中级及以上职称或市政公用工程专业二级建造师及安全生产考核B证，且无在建项目；</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响应文件按竞争性磋商文件要求进行签章</w:t>
            </w:r>
          </w:p>
        </w:tc>
        <w:tc>
          <w:tcPr>
            <w:tcW w:type="dxa" w:w="1661"/>
          </w:tcPr>
          <w:p>
            <w:pPr>
              <w:pStyle w:val="null3"/>
            </w:pPr>
            <w:r>
              <w:rPr>
                <w:rFonts w:ascii="仿宋_GB2312" w:hAnsi="仿宋_GB2312" w:cs="仿宋_GB2312" w:eastAsia="仿宋_GB2312"/>
              </w:rPr>
              <w:t>响应文件封面 政府采购供应商拒绝政府采购领域商业贿赂承诺书.docx 中小企业声明函 残疾人福利性单位声明函 商务应答表 服务方案 服务内容及服务要求应答表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磋商报价没有超出本项目最高限价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无其他做无效磋商处理的情况</w:t>
            </w:r>
          </w:p>
        </w:tc>
        <w:tc>
          <w:tcPr>
            <w:tcW w:type="dxa" w:w="1661"/>
          </w:tcPr>
          <w:p>
            <w:pPr>
              <w:pStyle w:val="null3"/>
            </w:pPr>
            <w:r>
              <w:rPr>
                <w:rFonts w:ascii="仿宋_GB2312" w:hAnsi="仿宋_GB2312" w:cs="仿宋_GB2312" w:eastAsia="仿宋_GB2312"/>
              </w:rPr>
              <w:t>响应文件封面 政府采购供应商拒绝政府采购领域商业贿赂承诺书.docx 中小企业声明函 残疾人福利性单位声明函 商务应答表 服务方案 服务内容及服务要求应答表 标的清单 报价表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供应商针对本项目制定的总体方案，包含但不限于①项目需求理解；②造林措施；③养护措施；④重难点分析；⑤服务进度计划安排；⑥进度保障措施。赋分标准（18分）每项评审内容不存在缺陷得3分，满分18分；每项评审内容每存在一处缺陷扣0.5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包含：①服务质量保障措施；②服务质量标准；③保证人员按时到岗措施。赋分标准（9分）：每项评审内容不存在缺陷得3分，满分9分；每项评审内容每存在一处缺陷扣0.5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突发情况的应急处理方案</w:t>
            </w:r>
          </w:p>
        </w:tc>
        <w:tc>
          <w:tcPr>
            <w:tcW w:type="dxa" w:w="2492"/>
          </w:tcPr>
          <w:p>
            <w:pPr>
              <w:pStyle w:val="null3"/>
            </w:pPr>
            <w:r>
              <w:rPr>
                <w:rFonts w:ascii="仿宋_GB2312" w:hAnsi="仿宋_GB2312" w:cs="仿宋_GB2312" w:eastAsia="仿宋_GB2312"/>
              </w:rPr>
              <w:t>供应商根据本项目特点，提供项目突发情况的应急处理方案，具体包括：①夏季火情应急预案；②人为砍伐应急预案；③干旱等自然灾害危害应急预案等。④其他紧急情况的预案。赋分标准（12分）：每项评审内容不存在缺陷得3分，满分12分；每项评审内容每存在一处缺陷扣0.5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供应商具有（2023年7月至今）的类似业绩（按合同签订时间计算）每个计2分，最多计6分。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依据服务内容配置服务所需设施设备；提供证明材料（需提供以下材料至少一项，亦可提交其他相关证明材料，例如：设备实物图、发票、合同等），每配备一项设备（不同类型）得2分，最多得12分。未提供证明材料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项目负责人经验</w:t>
            </w:r>
          </w:p>
        </w:tc>
        <w:tc>
          <w:tcPr>
            <w:tcW w:type="dxa" w:w="2492"/>
          </w:tcPr>
          <w:p>
            <w:pPr>
              <w:pStyle w:val="null3"/>
            </w:pPr>
            <w:r>
              <w:rPr>
                <w:rFonts w:ascii="仿宋_GB2312" w:hAnsi="仿宋_GB2312" w:cs="仿宋_GB2312" w:eastAsia="仿宋_GB2312"/>
              </w:rPr>
              <w:t>项目负责人近三年具备类似项目负责人服务经验，每1项得2分，最多得2分；须提供佐证材料（包括不限于合同负责人页、项目成果文件、验收材料等任一均可），未提供佐证此项0分。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专业服务团队保障</w:t>
            </w:r>
          </w:p>
        </w:tc>
        <w:tc>
          <w:tcPr>
            <w:tcW w:type="dxa" w:w="2492"/>
          </w:tcPr>
          <w:p>
            <w:pPr>
              <w:pStyle w:val="null3"/>
            </w:pPr>
            <w:r>
              <w:rPr>
                <w:rFonts w:ascii="仿宋_GB2312" w:hAnsi="仿宋_GB2312" w:cs="仿宋_GB2312" w:eastAsia="仿宋_GB2312"/>
              </w:rPr>
              <w:t>1、服务团队（12分）：项目组成人员，除项目负责人外，分工明确、责任明确，结构合理，每具有一个人员得2分，最高得12分。需提供佐证材料，包括但不限于身份证、毕业证、岗位证等任一均可，未提供不得分。 2、技术力量（9）服务团队人员，除项目负责人外，每具有一个林业类或园林类相关专业中级职称得2分；每具有一个相关专业高级职称得3分，本项最多得9分；本项需提供佐证材料，未提供不得分。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满足采购文件要求且最后报价最低的供应商价格为基准价得20分； 其他供应商的价格分按下列公式计算： 报价得分=（基准价/最终报价）×20%×100。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